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Default="001B770C" w:rsidP="001B770C">
      <w:pPr>
        <w:rPr>
          <w:rFonts w:cs="Times New Roman"/>
        </w:rPr>
      </w:pPr>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r w:rsidRPr="001B770C">
        <w:rPr>
          <w:rFonts w:cs="Times New Roman"/>
        </w:rPr>
        <w:t xml:space="preserve">.  </w:t>
      </w:r>
    </w:p>
    <w:p w:rsidR="00C021FC" w:rsidRDefault="00C021FC" w:rsidP="001B770C">
      <w:pPr>
        <w:rPr>
          <w:rFonts w:cs="Times New Roman"/>
        </w:rPr>
      </w:pPr>
    </w:p>
    <w:p w:rsidR="00C021FC" w:rsidRDefault="00C021FC" w:rsidP="001B770C">
      <w:pPr>
        <w:rPr>
          <w:rFonts w:cs="Times New Roman"/>
          <w:i/>
        </w:rPr>
      </w:pPr>
      <w:r>
        <w:rPr>
          <w:rFonts w:cs="Times New Roman"/>
          <w:i/>
        </w:rPr>
        <w:t xml:space="preserve">I removed this from the intro (last paragraph) because I didn’t actually test these two hypotheses directly. Further, the starling hypothesis does not have support, because buckthorn spread west prior to starlings, and the </w:t>
      </w:r>
      <w:proofErr w:type="spellStart"/>
      <w:r>
        <w:rPr>
          <w:rFonts w:cs="Times New Roman"/>
          <w:i/>
        </w:rPr>
        <w:t>frappier</w:t>
      </w:r>
      <w:proofErr w:type="spellEnd"/>
      <w:r>
        <w:rPr>
          <w:rFonts w:cs="Times New Roman"/>
          <w:i/>
        </w:rPr>
        <w:t xml:space="preserve"> hypothesis is hard to test.</w:t>
      </w:r>
      <w:r w:rsidR="001705A1">
        <w:rPr>
          <w:rFonts w:cs="Times New Roman"/>
          <w:i/>
        </w:rPr>
        <w:t xml:space="preserve"> Might be useful for the discussion section though.</w:t>
      </w:r>
    </w:p>
    <w:p w:rsidR="00C021FC" w:rsidRPr="00C021FC" w:rsidRDefault="00C021FC" w:rsidP="001B770C">
      <w:pPr>
        <w:rPr>
          <w:rFonts w:cs="Times New Roman"/>
          <w:i/>
        </w:rPr>
      </w:pPr>
    </w:p>
    <w:p w:rsidR="00C021FC" w:rsidRDefault="001705A1" w:rsidP="001B770C">
      <w:pPr>
        <w:rPr>
          <w:rFonts w:cs="Times New Roman"/>
          <w:iCs/>
        </w:rPr>
      </w:pPr>
      <w:r>
        <w:rPr>
          <w:rFonts w:cs="Times New Roman"/>
          <w:iCs/>
        </w:rPr>
        <w:t>“</w:t>
      </w:r>
      <w:r w:rsidR="00C021FC" w:rsidRPr="00C01D68">
        <w:rPr>
          <w:rFonts w:cs="Times New Roman"/>
          <w:iCs/>
        </w:rPr>
        <w:t xml:space="preserve">While some authors have proposed that the extended lag phase for </w:t>
      </w:r>
      <w:r w:rsidR="00C021FC" w:rsidRPr="00C01D68">
        <w:rPr>
          <w:rFonts w:cs="Times New Roman"/>
          <w:i/>
          <w:iCs/>
        </w:rPr>
        <w:t xml:space="preserve">F. </w:t>
      </w:r>
      <w:proofErr w:type="spellStart"/>
      <w:r w:rsidR="00C021FC" w:rsidRPr="00C01D68">
        <w:rPr>
          <w:rFonts w:cs="Times New Roman"/>
          <w:i/>
          <w:iCs/>
        </w:rPr>
        <w:t>alnus</w:t>
      </w:r>
      <w:proofErr w:type="spellEnd"/>
      <w:r w:rsidR="00C021FC" w:rsidRPr="00C01D68">
        <w:rPr>
          <w:rFonts w:cs="Times New Roman"/>
          <w:i/>
          <w:iCs/>
        </w:rPr>
        <w:t xml:space="preserve"> </w:t>
      </w:r>
      <w:r w:rsidR="00C021FC" w:rsidRPr="00C01D68">
        <w:rPr>
          <w:rFonts w:cs="Times New Roman"/>
          <w:iCs/>
        </w:rPr>
        <w:t>is a result of the time required for European starling to spread through North America (Howell and Blackwell 1977) or the time required for adaptation (</w:t>
      </w:r>
      <w:proofErr w:type="spellStart"/>
      <w:r w:rsidR="00C021FC" w:rsidRPr="00C01D68">
        <w:rPr>
          <w:rFonts w:cs="Times New Roman"/>
          <w:iCs/>
        </w:rPr>
        <w:t>Frappier</w:t>
      </w:r>
      <w:proofErr w:type="spellEnd"/>
      <w:r w:rsidR="00C021FC" w:rsidRPr="00C01D68">
        <w:rPr>
          <w:rFonts w:cs="Times New Roman"/>
          <w:iCs/>
        </w:rPr>
        <w:t xml:space="preserve"> et al. 2003b), these hypotheses have not been examined in detail.</w:t>
      </w:r>
      <w:r>
        <w:rPr>
          <w:rFonts w:cs="Times New Roman"/>
          <w:iCs/>
        </w:rPr>
        <w:t>”</w:t>
      </w:r>
    </w:p>
    <w:p w:rsidR="004D005A" w:rsidRDefault="004D005A" w:rsidP="001B770C">
      <w:pPr>
        <w:rPr>
          <w:rFonts w:cs="Times New Roman"/>
          <w:iCs/>
        </w:rPr>
      </w:pPr>
    </w:p>
    <w:p w:rsidR="004D005A" w:rsidRPr="004D005A" w:rsidRDefault="00400423" w:rsidP="001B770C">
      <w:pPr>
        <w:rPr>
          <w:rFonts w:cs="Times New Roman"/>
          <w:i/>
        </w:rPr>
      </w:pPr>
      <w:r>
        <w:rPr>
          <w:rFonts w:cs="Times New Roman"/>
          <w:i/>
        </w:rPr>
        <w:t>Here’s all the lag-phase specific stuff I’ve cut out</w:t>
      </w:r>
      <w:r w:rsidR="004D005A">
        <w:rPr>
          <w:rFonts w:cs="Times New Roman"/>
          <w:i/>
        </w:rPr>
        <w:t xml:space="preserve"> …</w:t>
      </w:r>
    </w:p>
    <w:p w:rsidR="004D005A" w:rsidRDefault="004D005A" w:rsidP="001B770C">
      <w:pPr>
        <w:rPr>
          <w:rFonts w:cs="Times New Roman"/>
          <w:iCs/>
        </w:rPr>
      </w:pPr>
    </w:p>
    <w:p w:rsidR="00400423" w:rsidRPr="00400423" w:rsidRDefault="004D005A" w:rsidP="00400423">
      <w:pPr>
        <w:rPr>
          <w:rFonts w:cs="Times New Roman"/>
        </w:rPr>
      </w:pPr>
      <w:r>
        <w:rPr>
          <w:rFonts w:cs="Times New Roman"/>
        </w:rPr>
        <w:t>“</w:t>
      </w:r>
      <w:r w:rsidR="00400423" w:rsidRPr="00400423">
        <w:rPr>
          <w:rFonts w:cs="Times New Roman"/>
        </w:rPr>
        <w:t>One of the remaining gaps in our knowledge is a full understanding of the processes governing population dynamics during invasive species lag phases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Blackburn et al. 2011, </w:t>
      </w:r>
      <w:proofErr w:type="spellStart"/>
      <w:r w:rsidR="00400423" w:rsidRPr="00400423">
        <w:rPr>
          <w:rFonts w:cs="Times New Roman"/>
        </w:rPr>
        <w:t>Gurevitch</w:t>
      </w:r>
      <w:proofErr w:type="spellEnd"/>
      <w:r w:rsidR="00400423" w:rsidRPr="00400423">
        <w:rPr>
          <w:rFonts w:cs="Times New Roman"/>
        </w:rPr>
        <w:t xml:space="preserve"> et al. 2011). The lag phase is the period of time between the establishment of self-sustaining populations and rapid expansion in abundance and area of occupancy characteristic of invasive species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Sakai et al. 2001,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w:t>
      </w:r>
      <w:proofErr w:type="spellStart"/>
      <w:r w:rsidR="00400423" w:rsidRPr="00400423">
        <w:rPr>
          <w:rFonts w:cs="Times New Roman"/>
        </w:rPr>
        <w:t>Theoharides</w:t>
      </w:r>
      <w:proofErr w:type="spellEnd"/>
      <w:r w:rsidR="00400423" w:rsidRPr="00400423">
        <w:rPr>
          <w:rFonts w:cs="Times New Roman"/>
        </w:rPr>
        <w:t xml:space="preserve"> and Dukes 2007). This lag may simply be the result of the time required for a population to grow large enough that emigration leads to colonization of new populations. However, lags that extend longer than such constraints are commonly reported for invasive plants in varying geographic locations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w:t>
      </w:r>
      <w:proofErr w:type="spellStart"/>
      <w:r w:rsidR="00400423" w:rsidRPr="00400423">
        <w:rPr>
          <w:rFonts w:cs="Times New Roman"/>
        </w:rPr>
        <w:t>Aikio</w:t>
      </w:r>
      <w:proofErr w:type="spellEnd"/>
      <w:r w:rsidR="00400423" w:rsidRPr="00400423">
        <w:rPr>
          <w:rFonts w:cs="Times New Roman"/>
        </w:rPr>
        <w:t xml:space="preserve"> et al. 2010a, Larkin 2011).</w:t>
      </w:r>
    </w:p>
    <w:p w:rsidR="00400423" w:rsidRPr="00400423" w:rsidRDefault="00400423" w:rsidP="00400423">
      <w:pPr>
        <w:rPr>
          <w:rFonts w:cs="Times New Roman"/>
        </w:rPr>
      </w:pPr>
      <w:r w:rsidRPr="00400423">
        <w:rPr>
          <w:rFonts w:cs="Times New Roman"/>
        </w:rPr>
        <w:t xml:space="preserve"> Several explanations for why extended lags occur have been proposed. A species might only begin rapidly expanding after it has adapted to the novel range (e.g., evolution via hybridization (</w:t>
      </w:r>
      <w:proofErr w:type="spellStart"/>
      <w:r w:rsidRPr="00400423">
        <w:rPr>
          <w:rFonts w:cs="Times New Roman"/>
        </w:rPr>
        <w:t>Ellstrand</w:t>
      </w:r>
      <w:proofErr w:type="spellEnd"/>
      <w:r w:rsidRPr="00400423">
        <w:rPr>
          <w:rFonts w:cs="Times New Roman"/>
        </w:rPr>
        <w:t xml:space="preserve"> and </w:t>
      </w:r>
      <w:proofErr w:type="spellStart"/>
      <w:r w:rsidRPr="00400423">
        <w:rPr>
          <w:rFonts w:cs="Times New Roman"/>
        </w:rPr>
        <w:t>Schierenbeck</w:t>
      </w:r>
      <w:proofErr w:type="spellEnd"/>
      <w:r w:rsidRPr="00400423">
        <w:rPr>
          <w:rFonts w:cs="Times New Roman"/>
        </w:rPr>
        <w:t xml:space="preserve"> 2000)). It may expand following landscape disturbance, such as logging or a change in ecosystem conditions (e.g., </w:t>
      </w:r>
      <w:r w:rsidRPr="00400423">
        <w:rPr>
          <w:rFonts w:cs="Times New Roman"/>
          <w:i/>
          <w:iCs/>
        </w:rPr>
        <w:t xml:space="preserve">F. </w:t>
      </w:r>
      <w:proofErr w:type="spellStart"/>
      <w:r w:rsidRPr="00400423">
        <w:rPr>
          <w:rFonts w:cs="Times New Roman"/>
          <w:i/>
          <w:iCs/>
        </w:rPr>
        <w:t>alnus</w:t>
      </w:r>
      <w:proofErr w:type="spellEnd"/>
      <w:r w:rsidRPr="00400423">
        <w:rPr>
          <w:rFonts w:cs="Times New Roman"/>
          <w:i/>
          <w:iCs/>
        </w:rPr>
        <w:t xml:space="preserve"> </w:t>
      </w:r>
      <w:r w:rsidRPr="00400423">
        <w:rPr>
          <w:rFonts w:cs="Times New Roman"/>
          <w:iCs/>
        </w:rPr>
        <w:t>and logging (Lee and Thompson 2012)</w:t>
      </w:r>
      <w:r w:rsidRPr="00400423">
        <w:rPr>
          <w:rFonts w:cs="Times New Roman"/>
        </w:rPr>
        <w:t xml:space="preserve">). It may only expand after an invader that facilitates its expansion enters the ecosystem (e.g., </w:t>
      </w:r>
      <w:proofErr w:type="spellStart"/>
      <w:r w:rsidRPr="00400423">
        <w:rPr>
          <w:rFonts w:cs="Times New Roman"/>
          <w:i/>
        </w:rPr>
        <w:t>Celastrus</w:t>
      </w:r>
      <w:proofErr w:type="spellEnd"/>
      <w:r w:rsidRPr="00400423">
        <w:rPr>
          <w:rFonts w:cs="Times New Roman"/>
          <w:i/>
        </w:rPr>
        <w:t xml:space="preserve"> </w:t>
      </w:r>
      <w:proofErr w:type="spellStart"/>
      <w:r w:rsidRPr="00400423">
        <w:rPr>
          <w:rFonts w:cs="Times New Roman"/>
          <w:i/>
        </w:rPr>
        <w:t>orbiculatus</w:t>
      </w:r>
      <w:proofErr w:type="spellEnd"/>
      <w:r w:rsidRPr="00400423">
        <w:rPr>
          <w:rFonts w:cs="Times New Roman"/>
          <w:i/>
        </w:rPr>
        <w:t xml:space="preserve"> </w:t>
      </w:r>
      <w:r w:rsidRPr="00400423">
        <w:rPr>
          <w:rFonts w:cs="Times New Roman"/>
        </w:rPr>
        <w:t xml:space="preserve">(Oriental bittersweet) and </w:t>
      </w:r>
      <w:r w:rsidRPr="00400423">
        <w:rPr>
          <w:rFonts w:cs="Times New Roman"/>
          <w:i/>
        </w:rPr>
        <w:t>Sturnus vulgaris</w:t>
      </w:r>
      <w:r w:rsidRPr="00400423">
        <w:rPr>
          <w:rFonts w:cs="Times New Roman"/>
        </w:rPr>
        <w:t xml:space="preserve"> (European starlings) (</w:t>
      </w:r>
      <w:proofErr w:type="spellStart"/>
      <w:r w:rsidRPr="00400423">
        <w:rPr>
          <w:rFonts w:cs="Times New Roman"/>
        </w:rPr>
        <w:t>Merow</w:t>
      </w:r>
      <w:proofErr w:type="spellEnd"/>
      <w:r w:rsidRPr="00400423">
        <w:rPr>
          <w:rFonts w:cs="Times New Roman"/>
        </w:rPr>
        <w:t xml:space="preserve"> et al. 2011)). </w:t>
      </w:r>
    </w:p>
    <w:p w:rsidR="004D005A" w:rsidRPr="004D005A" w:rsidRDefault="004D005A" w:rsidP="004D005A">
      <w:pPr>
        <w:rPr>
          <w:rFonts w:cs="Times New Roman"/>
        </w:rPr>
      </w:pPr>
      <w:r>
        <w:rPr>
          <w:rFonts w:cs="Times New Roman"/>
        </w:rPr>
        <w:t>”</w:t>
      </w:r>
    </w:p>
    <w:p w:rsidR="004D005A" w:rsidRPr="001B770C" w:rsidRDefault="004D005A" w:rsidP="001B770C">
      <w:pPr>
        <w:rPr>
          <w:rFonts w:cs="Times New Roman"/>
        </w:rPr>
      </w:pP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lastRenderedPageBreak/>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FC3CBD" w:rsidRDefault="00FC3CBD">
      <w:pPr>
        <w:rPr>
          <w:rFonts w:cs="Times New Roman"/>
          <w:b/>
          <w:iCs/>
        </w:rPr>
      </w:pPr>
      <w:r>
        <w:rPr>
          <w:rFonts w:cs="Times New Roman"/>
          <w:b/>
          <w:iCs/>
        </w:rPr>
        <w:t>Methods – Supp Info</w:t>
      </w:r>
    </w:p>
    <w:p w:rsidR="00FC3CBD" w:rsidRDefault="00FC3CBD">
      <w:pPr>
        <w:rPr>
          <w:rFonts w:cs="Times New Roman"/>
          <w:b/>
          <w:iCs/>
        </w:rPr>
      </w:pPr>
    </w:p>
    <w:p w:rsidR="00FC3CBD" w:rsidRDefault="00FC3CBD">
      <w:pPr>
        <w:rPr>
          <w:rFonts w:ascii="Times New Roman" w:hAnsi="Times New Roman" w:cs="Times New Roman"/>
          <w:iCs/>
        </w:rPr>
      </w:pPr>
      <w:r w:rsidRPr="00001665">
        <w:rPr>
          <w:rFonts w:ascii="Times New Roman" w:hAnsi="Times New Roman" w:cs="Times New Roman"/>
          <w:iCs/>
        </w:rPr>
        <w:t>I could have optionally used height as a structuring variable, however I collected height data as categorical values above 400 cm. DAH and height for plants less than 400cm were highly correlated (</w:t>
      </w:r>
      <w:r w:rsidRPr="00001665">
        <w:rPr>
          <w:rFonts w:ascii="Times New Roman" w:hAnsi="Times New Roman" w:cs="Times New Roman"/>
          <w:i/>
          <w:iCs/>
        </w:rPr>
        <w:t xml:space="preserve">r = </w:t>
      </w:r>
      <w:r w:rsidRPr="00001665">
        <w:rPr>
          <w:rFonts w:ascii="Times New Roman" w:hAnsi="Times New Roman" w:cs="Times New Roman"/>
          <w:iCs/>
        </w:rPr>
        <w:t xml:space="preserve">0.885, </w:t>
      </w:r>
      <w:r w:rsidRPr="00001665">
        <w:rPr>
          <w:rFonts w:ascii="Times New Roman" w:hAnsi="Times New Roman" w:cs="Times New Roman"/>
          <w:i/>
          <w:iCs/>
        </w:rPr>
        <w:t>t</w:t>
      </w:r>
      <w:r w:rsidRPr="00001665">
        <w:rPr>
          <w:rFonts w:ascii="Times New Roman" w:hAnsi="Times New Roman" w:cs="Times New Roman"/>
          <w:iCs/>
          <w:vertAlign w:val="subscript"/>
        </w:rPr>
        <w:t>1484</w:t>
      </w:r>
      <w:r w:rsidRPr="00001665">
        <w:rPr>
          <w:rFonts w:ascii="Times New Roman" w:hAnsi="Times New Roman" w:cs="Times New Roman"/>
          <w:iCs/>
        </w:rPr>
        <w:t xml:space="preserve"> = 73.149, </w:t>
      </w:r>
      <w:r w:rsidRPr="00001665">
        <w:rPr>
          <w:rFonts w:ascii="Times New Roman" w:hAnsi="Times New Roman" w:cs="Times New Roman"/>
          <w:i/>
          <w:iCs/>
        </w:rPr>
        <w:t>P</w:t>
      </w:r>
      <w:r w:rsidRPr="00001665">
        <w:rPr>
          <w:rFonts w:ascii="Times New Roman" w:hAnsi="Times New Roman" w:cs="Times New Roman"/>
          <w:iCs/>
        </w:rPr>
        <w:t xml:space="preserve"> &lt; 0.001), therefore I expect both variables would lead to similar results when used as a structuring variable.</w:t>
      </w:r>
    </w:p>
    <w:p w:rsidR="00FC3CBD" w:rsidRDefault="00FC3CBD">
      <w:pPr>
        <w:rPr>
          <w:rFonts w:cs="Times New Roman"/>
          <w:b/>
          <w:iCs/>
        </w:rPr>
      </w:pPr>
    </w:p>
    <w:p w:rsidR="0015044C" w:rsidRDefault="0015044C">
      <w:pPr>
        <w:rPr>
          <w:rFonts w:cs="Times New Roman"/>
          <w:b/>
          <w:iCs/>
        </w:rPr>
      </w:pPr>
    </w:p>
    <w:p w:rsidR="0015044C" w:rsidRPr="0015044C" w:rsidRDefault="0015044C" w:rsidP="0015044C">
      <w:pPr>
        <w:rPr>
          <w:rFonts w:cs="Times New Roman"/>
          <w:bCs/>
          <w:iCs/>
        </w:rPr>
      </w:pPr>
      <w:r w:rsidRPr="0015044C">
        <w:rPr>
          <w:rFonts w:cs="Times New Roman"/>
          <w:bCs/>
          <w:iCs/>
        </w:rPr>
        <w:t>Examining summary values for the fruit count data show that mean plot density is generally larger, or nearly equivalent, for plants that did not fruit versus those that did (Table A6). Plot density had a weak, but significant, effect on whether a plant was observed with fruit or not (Logistic Regression, P &lt; 0.001, coefficient estimate -0.006). Because this effect was weak, I chose to focus only on the effect of plot density on the total number of fruit observed on a plant.</w:t>
      </w:r>
    </w:p>
    <w:p w:rsidR="0015044C" w:rsidRPr="0015044C" w:rsidRDefault="0015044C" w:rsidP="0015044C">
      <w:pPr>
        <w:rPr>
          <w:rFonts w:cs="Times New Roman"/>
          <w:bCs/>
          <w:iCs/>
        </w:rPr>
      </w:pPr>
    </w:p>
    <w:p w:rsidR="006C62B1" w:rsidRPr="00001665" w:rsidRDefault="006C62B1" w:rsidP="006C62B1">
      <w:pPr>
        <w:ind w:firstLine="720"/>
        <w:rPr>
          <w:rFonts w:ascii="Times New Roman" w:hAnsi="Times New Roman" w:cs="Times New Roman"/>
        </w:rPr>
      </w:pPr>
      <w:r w:rsidRPr="006C62B1">
        <w:rPr>
          <w:rFonts w:ascii="Times New Roman" w:hAnsi="Times New Roman" w:cs="Times New Roman"/>
          <w:highlight w:val="red"/>
        </w:rPr>
        <w:t xml:space="preserve">The inconsistent effects of density dependence estimated using the eight DAH size classes above makes it difficult to use these results to parameterize the effects of density dependence in my demographic model. Why do some size classes appear to have positive density dependent growth effects, while others have negative effects? Negative density </w:t>
      </w:r>
      <w:r w:rsidRPr="006C62B1">
        <w:rPr>
          <w:rFonts w:ascii="Times New Roman" w:hAnsi="Times New Roman" w:cs="Times New Roman"/>
          <w:highlight w:val="red"/>
        </w:rPr>
        <w:lastRenderedPageBreak/>
        <w:t xml:space="preserve">dependent growth affects have been observed for </w:t>
      </w:r>
      <w:r w:rsidRPr="006C62B1">
        <w:rPr>
          <w:rFonts w:ascii="Times New Roman" w:hAnsi="Times New Roman" w:cs="Times New Roman"/>
          <w:i/>
          <w:highlight w:val="red"/>
        </w:rPr>
        <w:t xml:space="preserve">F. </w:t>
      </w:r>
      <w:proofErr w:type="spellStart"/>
      <w:r w:rsidRPr="006C62B1">
        <w:rPr>
          <w:rFonts w:ascii="Times New Roman" w:hAnsi="Times New Roman" w:cs="Times New Roman"/>
          <w:i/>
          <w:highlight w:val="red"/>
        </w:rPr>
        <w:t>alnus</w:t>
      </w:r>
      <w:proofErr w:type="spellEnd"/>
      <w:r w:rsidRPr="006C62B1">
        <w:rPr>
          <w:rFonts w:ascii="Times New Roman" w:hAnsi="Times New Roman" w:cs="Times New Roman"/>
          <w:highlight w:val="red"/>
        </w:rPr>
        <w:t xml:space="preserve">, specifically relating to fruit number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"previouslyFormattedCitation" : "(Medan 1994)"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(Medan 1994)</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It is possible that positive density dependence effects are the result of the fact that plants will grow in clumps, i.e. localized areas of high density. Godwin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"author" : [ { "dropping-particle" : "", "family" : "Godwin", "given" : "H", "non-dropping-particle" : "", "parse-names" : false, "suffix" : "" } ], "container-title" : "The Journal of Ecology", "id" : "ITEM-1", "issued" : { "date-parts" : [ [ "1936", "0" ] ] }, "page" : "82-116", "publisher" : "JSTOR", "title" : "Studies in the ecology of Wicken Fen: III. the establishment and development of Fen Scrub (Carr)", "type" : "article-journal" }, "suppress-author" : 1, "uris" : [ "http://www.mendeley.com/documents/?uuid=96a9f120-1bfe-4432-b1bb-8db994476978" ] } ], "mendeley" : { "previouslyFormattedCitation" : "(1936)"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(1936)</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observed that the majority of fruit (1268 of 1804) on one particularly high fruiting individual plant dropped to the ground before being eaten by birds. Similar observations have been made for the functionally closely related </w:t>
      </w:r>
      <w:proofErr w:type="spellStart"/>
      <w:r w:rsidRPr="006C62B1">
        <w:rPr>
          <w:rFonts w:ascii="Times New Roman" w:hAnsi="Times New Roman" w:cs="Times New Roman"/>
          <w:i/>
          <w:highlight w:val="red"/>
        </w:rPr>
        <w:t>Rhamnus</w:t>
      </w:r>
      <w:proofErr w:type="spellEnd"/>
      <w:r w:rsidRPr="006C62B1">
        <w:rPr>
          <w:rFonts w:ascii="Times New Roman" w:hAnsi="Times New Roman" w:cs="Times New Roman"/>
          <w:i/>
          <w:highlight w:val="red"/>
        </w:rPr>
        <w:t xml:space="preserve"> </w:t>
      </w:r>
      <w:proofErr w:type="spellStart"/>
      <w:r w:rsidRPr="006C62B1">
        <w:rPr>
          <w:rFonts w:ascii="Times New Roman" w:hAnsi="Times New Roman" w:cs="Times New Roman"/>
          <w:i/>
          <w:highlight w:val="red"/>
        </w:rPr>
        <w:t>cathartica</w:t>
      </w:r>
      <w:proofErr w:type="spellEnd"/>
      <w:r w:rsidRPr="006C62B1">
        <w:rPr>
          <w:rFonts w:ascii="Times New Roman" w:hAnsi="Times New Roman" w:cs="Times New Roman"/>
          <w:highlight w:val="red"/>
        </w:rPr>
        <w:t xml:space="preserve"> (Common buckthorn;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"DOI" : "10.1007/s10530-007-9091-3", "ISBN" : "1053000790913", "ISSN" : "1387-3547", "author" : [ { "dropping-particle" : "", "family" : "Knight", "given" : "Kathleen S.", "non-dropping-particle" : "", "parse-names" : false, "suffix" : "" }, { "dropping-particle" : "", "family" : "Kurylo", "given" : "Jessica S.", "non-dropping-particle" : "", "parse-names" : false, "suffix" : "" }, { "dropping-particle" : "", "family" : "Endress", "given" : "Anton G.", "non-dropping-particle" : "", "parse-names" : false, "suffix" : "" }, { "dropping-particle" : "", "family" : "Stewart", "given" : "J. Ryan", "non-dropping-particle" : "", "parse-names" : false, "suffix" : "" }, { "dropping-particle" : "", "family" : "Reich", "given" : "Peter B.", "non-dropping-particle" : "", "parse-names" : false, "suffix" : "" } ], "container-title" : "Biological Invasions", "id" : "ITEM-1", "issue" : "8", "issued" : { "date-parts" : [ [ "2007", "2", "13" ] ] }, "page" : "925-937", "title" : "Ecology and ecosystem impacts of common buckthorn (&lt;i&gt;Rhamnus cathartica&lt;/i&gt;): a review", "type" : "article-journal", "volume" : "9" }, "uris" : [ "http://www.mendeley.com/documents/?uuid=ff2a8391-7436-42c2-8533-344eb060c894" ] } ], "mendeley" : { "manualFormatting" : "Knight et al. 2007)", "previouslyFormattedCitation" : "(Knight et al. 2007)"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Knight et al. 2007)</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Such minimal amounts of dispersal may result in very clumped distributions of </w:t>
      </w:r>
      <w:r w:rsidRPr="006C62B1">
        <w:rPr>
          <w:rFonts w:ascii="Times New Roman" w:hAnsi="Times New Roman" w:cs="Times New Roman"/>
          <w:i/>
          <w:highlight w:val="red"/>
        </w:rPr>
        <w:t xml:space="preserve">F. </w:t>
      </w:r>
      <w:proofErr w:type="spellStart"/>
      <w:r w:rsidRPr="006C62B1">
        <w:rPr>
          <w:rFonts w:ascii="Times New Roman" w:hAnsi="Times New Roman" w:cs="Times New Roman"/>
          <w:i/>
          <w:highlight w:val="red"/>
        </w:rPr>
        <w:t>alnus</w:t>
      </w:r>
      <w:proofErr w:type="spellEnd"/>
      <w:r w:rsidRPr="006C62B1">
        <w:rPr>
          <w:rFonts w:ascii="Times New Roman" w:hAnsi="Times New Roman" w:cs="Times New Roman"/>
          <w:highlight w:val="red"/>
        </w:rPr>
        <w:t xml:space="preserve"> on a landscape. However, while my analysis may suggest positive density dependence for some DAH size classes, the pattern appears to be primarily driven by plants with no observed fruit at all density values. The majority of plants greater than 0.5 cm DAH produced no fruit (647 not fruiting versus 203 fruiting). There are several reasons, not related to density, that may explain why I observed no fruit on a plant. First, some observations were taken later in the season than others, and fruit may have already dropped or been taken by birds. Second, some sites, and within sites, some plots, may have conditions more conducive to fruit production. Third, there may be year-to-year variability within individuals not accounted for here. That is, if a plant produces a large amount of fruit one year, it may not produce as much the following year.</w:t>
      </w:r>
    </w:p>
    <w:p w:rsidR="00D61E06" w:rsidRDefault="00D61E06">
      <w:pPr>
        <w:rPr>
          <w:rFonts w:cs="Times New Roman"/>
          <w:b/>
          <w:iCs/>
        </w:rPr>
      </w:pPr>
    </w:p>
    <w:p w:rsidR="00D17BFC" w:rsidRDefault="00D17BFC">
      <w:pPr>
        <w:rPr>
          <w:rFonts w:cs="Times New Roman"/>
          <w:b/>
          <w:iCs/>
        </w:rPr>
      </w:pPr>
    </w:p>
    <w:p w:rsidR="00D17BFC" w:rsidRPr="009843AD" w:rsidRDefault="00D17BFC" w:rsidP="00D17BFC">
      <w:pPr>
        <w:rPr>
          <w:rFonts w:ascii="Times New Roman" w:hAnsi="Times New Roman" w:cs="Times New Roman"/>
          <w:b/>
          <w:bCs/>
          <w:highlight w:val="yellow"/>
        </w:rPr>
      </w:pPr>
      <w:r w:rsidRPr="00B50E41">
        <w:rPr>
          <w:rFonts w:ascii="Times New Roman" w:hAnsi="Times New Roman" w:cs="Times New Roman"/>
          <w:b/>
          <w:bCs/>
          <w:highlight w:val="yellow"/>
        </w:rPr>
        <w:t xml:space="preserve">Model </w:t>
      </w:r>
      <w:proofErr w:type="spellStart"/>
      <w:r w:rsidRPr="00B50E41">
        <w:rPr>
          <w:rFonts w:ascii="Times New Roman" w:hAnsi="Times New Roman" w:cs="Times New Roman"/>
          <w:b/>
          <w:bCs/>
          <w:highlight w:val="yellow"/>
        </w:rPr>
        <w:t>Evalutation</w:t>
      </w:r>
      <w:proofErr w:type="spellEnd"/>
    </w:p>
    <w:p w:rsidR="00D17BFC" w:rsidRDefault="00D17BFC" w:rsidP="00D17BFC">
      <w:pPr>
        <w:rPr>
          <w:rFonts w:ascii="Times New Roman" w:hAnsi="Times New Roman" w:cs="Times New Roman"/>
          <w:b/>
          <w:bCs/>
        </w:rPr>
      </w:pPr>
    </w:p>
    <w:p w:rsidR="00D17BFC" w:rsidRPr="00B50E41" w:rsidRDefault="00D17BFC" w:rsidP="00D17BFC">
      <w:pPr>
        <w:rPr>
          <w:rFonts w:ascii="Times New Roman" w:hAnsi="Times New Roman" w:cs="Times New Roman"/>
          <w:b/>
          <w:bCs/>
        </w:rPr>
      </w:pPr>
      <w:r w:rsidRPr="00B50E41">
        <w:rPr>
          <w:rFonts w:ascii="Times New Roman" w:hAnsi="Times New Roman" w:cs="Times New Roman"/>
          <w:b/>
          <w:bCs/>
          <w:highlight w:val="yellow"/>
        </w:rPr>
        <w:t>LOOK THROUGH ALL OF THE BELOW TO MAKE SURE IT FLOWS!!!</w:t>
      </w:r>
    </w:p>
    <w:p w:rsidR="00D17BFC" w:rsidRDefault="00D17BFC" w:rsidP="00D17BFC">
      <w:pPr>
        <w:rPr>
          <w:rFonts w:ascii="Times New Roman" w:hAnsi="Times New Roman" w:cs="Times New Roman"/>
        </w:rPr>
      </w:pPr>
    </w:p>
    <w:p w:rsidR="00D17BFC" w:rsidRPr="00B50E41" w:rsidRDefault="00D17BFC" w:rsidP="00D17BFC">
      <w:pPr>
        <w:rPr>
          <w:rFonts w:ascii="Times New Roman" w:hAnsi="Times New Roman" w:cs="Times New Roman"/>
        </w:rPr>
      </w:pPr>
      <w:r w:rsidRPr="00B50E41">
        <w:rPr>
          <w:rFonts w:ascii="Times New Roman" w:hAnsi="Times New Roman" w:cs="Times New Roman"/>
        </w:rPr>
        <w:t xml:space="preserve">A confusion matrix is 2 x 2 matrix of counts of true positive, true negative, false positive, and false negative predictions.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2565"/>
        <w:gridCol w:w="2565"/>
      </w:tblGrid>
      <w:tr w:rsidR="00D17BFC" w:rsidRPr="00B50E41" w:rsidTr="00744C24">
        <w:tc>
          <w:tcPr>
            <w:tcW w:w="1638" w:type="dxa"/>
            <w:vAlign w:val="center"/>
          </w:tcPr>
          <w:p w:rsidR="00D17BFC" w:rsidRPr="00B50E41" w:rsidRDefault="00D17BFC" w:rsidP="00744C24">
            <w:pPr>
              <w:rPr>
                <w:rFonts w:ascii="Times New Roman" w:eastAsiaTheme="minorEastAsia" w:hAnsi="Times New Roman" w:cs="Times New Roman"/>
                <w:sz w:val="24"/>
                <w:szCs w:val="24"/>
              </w:rPr>
            </w:pPr>
          </w:p>
        </w:tc>
        <w:tc>
          <w:tcPr>
            <w:tcW w:w="1350" w:type="dxa"/>
            <w:vAlign w:val="center"/>
          </w:tcPr>
          <w:p w:rsidR="00D17BFC" w:rsidRPr="00B50E41" w:rsidRDefault="00D17BFC" w:rsidP="00744C24">
            <w:pPr>
              <w:rPr>
                <w:rFonts w:ascii="Times New Roman" w:eastAsiaTheme="minorEastAsia" w:hAnsi="Times New Roman" w:cs="Times New Roman"/>
                <w:sz w:val="24"/>
                <w:szCs w:val="24"/>
              </w:rPr>
            </w:pPr>
          </w:p>
        </w:tc>
        <w:tc>
          <w:tcPr>
            <w:tcW w:w="5130" w:type="dxa"/>
            <w:gridSpan w:val="2"/>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Actual Status</w:t>
            </w:r>
          </w:p>
        </w:tc>
      </w:tr>
      <w:tr w:rsidR="00D17BFC" w:rsidRPr="00B50E41" w:rsidTr="00744C24">
        <w:tc>
          <w:tcPr>
            <w:tcW w:w="1638" w:type="dxa"/>
            <w:vAlign w:val="center"/>
          </w:tcPr>
          <w:p w:rsidR="00D17BFC" w:rsidRPr="00B50E41" w:rsidRDefault="00D17BFC" w:rsidP="00744C24">
            <w:pPr>
              <w:rPr>
                <w:rFonts w:ascii="Times New Roman" w:eastAsiaTheme="minorEastAsia" w:hAnsi="Times New Roman" w:cs="Times New Roman"/>
                <w:sz w:val="24"/>
                <w:szCs w:val="24"/>
              </w:rPr>
            </w:pPr>
          </w:p>
        </w:tc>
        <w:tc>
          <w:tcPr>
            <w:tcW w:w="1350" w:type="dxa"/>
            <w:vAlign w:val="center"/>
          </w:tcPr>
          <w:p w:rsidR="00D17BFC" w:rsidRPr="00B50E41" w:rsidRDefault="00D17BFC" w:rsidP="00744C24">
            <w:pPr>
              <w:rPr>
                <w:rFonts w:ascii="Times New Roman" w:eastAsiaTheme="minorEastAsia" w:hAnsi="Times New Roman" w:cs="Times New Roman"/>
                <w:sz w:val="24"/>
                <w:szCs w:val="24"/>
              </w:rPr>
            </w:pPr>
          </w:p>
        </w:tc>
        <w:tc>
          <w:tcPr>
            <w:tcW w:w="2565" w:type="dxa"/>
            <w:tcBorders>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Present</w:t>
            </w:r>
          </w:p>
        </w:tc>
        <w:tc>
          <w:tcPr>
            <w:tcW w:w="2565" w:type="dxa"/>
            <w:tcBorders>
              <w:left w:val="single" w:sz="4" w:space="0" w:color="000000" w:themeColor="text1"/>
              <w:bottom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Absent</w:t>
            </w:r>
          </w:p>
        </w:tc>
      </w:tr>
      <w:tr w:rsidR="00D17BFC" w:rsidRPr="00B50E41" w:rsidTr="00744C24">
        <w:tc>
          <w:tcPr>
            <w:tcW w:w="1638" w:type="dxa"/>
            <w:vMerge w:val="restart"/>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Predicted status</w:t>
            </w:r>
          </w:p>
        </w:tc>
        <w:tc>
          <w:tcPr>
            <w:tcW w:w="1350" w:type="dxa"/>
            <w:tcBorders>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Present</w:t>
            </w:r>
          </w:p>
        </w:tc>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True positive (A)</w:t>
            </w:r>
          </w:p>
        </w:tc>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False positive (B)</w:t>
            </w:r>
          </w:p>
        </w:tc>
      </w:tr>
      <w:tr w:rsidR="00D17BFC" w:rsidRPr="00B50E41" w:rsidTr="00744C24">
        <w:tc>
          <w:tcPr>
            <w:tcW w:w="1638" w:type="dxa"/>
            <w:vMerge/>
            <w:vAlign w:val="center"/>
          </w:tcPr>
          <w:p w:rsidR="00D17BFC" w:rsidRPr="00B50E41" w:rsidRDefault="00D17BFC" w:rsidP="00744C24">
            <w:pPr>
              <w:rPr>
                <w:rFonts w:ascii="Times New Roman" w:eastAsiaTheme="minorEastAsia" w:hAnsi="Times New Roman" w:cs="Times New Roman"/>
                <w:sz w:val="24"/>
                <w:szCs w:val="24"/>
              </w:rPr>
            </w:pPr>
          </w:p>
        </w:tc>
        <w:tc>
          <w:tcPr>
            <w:tcW w:w="1350" w:type="dxa"/>
            <w:tcBorders>
              <w:top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Absent</w:t>
            </w:r>
          </w:p>
        </w:tc>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False absence (C)</w:t>
            </w:r>
          </w:p>
        </w:tc>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17BFC" w:rsidRPr="00B50E41" w:rsidRDefault="00D17BFC" w:rsidP="00744C24">
            <w:pPr>
              <w:rPr>
                <w:rFonts w:ascii="Times New Roman" w:eastAsiaTheme="minorEastAsia" w:hAnsi="Times New Roman" w:cs="Times New Roman"/>
                <w:sz w:val="24"/>
                <w:szCs w:val="24"/>
              </w:rPr>
            </w:pPr>
            <w:r w:rsidRPr="00B50E41">
              <w:rPr>
                <w:rFonts w:ascii="Times New Roman" w:eastAsiaTheme="minorEastAsia" w:hAnsi="Times New Roman" w:cs="Times New Roman"/>
                <w:sz w:val="24"/>
                <w:szCs w:val="24"/>
              </w:rPr>
              <w:t>True absence (D)</w:t>
            </w:r>
          </w:p>
        </w:tc>
      </w:tr>
    </w:tbl>
    <w:p w:rsidR="00D17BFC" w:rsidRPr="00B50E41" w:rsidRDefault="00D17BFC" w:rsidP="00D17BFC">
      <w:pPr>
        <w:rPr>
          <w:rFonts w:ascii="Times New Roman" w:hAnsi="Times New Roman" w:cs="Times New Roman"/>
        </w:rPr>
      </w:pPr>
    </w:p>
    <w:p w:rsidR="00D17BFC" w:rsidRPr="00B50E41" w:rsidRDefault="00D17BFC" w:rsidP="00D17BFC">
      <w:pPr>
        <w:rPr>
          <w:rFonts w:ascii="Times New Roman" w:hAnsi="Times New Roman" w:cs="Times New Roman"/>
          <w:iCs/>
        </w:rPr>
      </w:pPr>
      <w:r w:rsidRPr="00B50E41">
        <w:rPr>
          <w:rFonts w:ascii="Times New Roman" w:hAnsi="Times New Roman" w:cs="Times New Roman"/>
        </w:rPr>
        <w:t xml:space="preserve">In this analysis, I considered the historical occurrence observations of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as the actual presences (i.e., A + C) and the simulated occurrence observations as predicted presences (i.e., A + B). False absences were counted as the historical occurrence locations where the simulation did not predict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to occur (C). False positives (B) and true absences (D) were challenging to estimate </w:t>
      </w:r>
      <w:r w:rsidRPr="00B50E41">
        <w:rPr>
          <w:rFonts w:ascii="Times New Roman" w:hAnsi="Times New Roman" w:cs="Times New Roman"/>
        </w:rPr>
        <w:t xml:space="preserve">because the data collected for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occurrences was presence only. It did not include verified absence data, and thus the values of B and D may not be accurate (Boyce et al. 2002). However, these values can be important metrics for estimating simulation over prediction. I accounted for the lack of verified absence data by considering simulation predictions in only a subset of patches where either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or an associated species were observed historically (974 of 3423 patches; associated species are defined in AIELLO-LAMMENS IN REVIEW). It is not possible to be certain that a patch in which one of the associated species was observed but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was not accurately represents an absence. However, these patches are more likely to represent absences than a randomly selected patch in which no occurrence records (either </w:t>
      </w:r>
      <w:r w:rsidRPr="00B50E41">
        <w:rPr>
          <w:rFonts w:ascii="Times New Roman" w:hAnsi="Times New Roman" w:cs="Times New Roman"/>
          <w:i/>
          <w:iCs/>
        </w:rPr>
        <w:t xml:space="preserve">F. </w:t>
      </w:r>
      <w:proofErr w:type="spellStart"/>
      <w:r w:rsidRPr="00B50E41">
        <w:rPr>
          <w:rFonts w:ascii="Times New Roman" w:hAnsi="Times New Roman" w:cs="Times New Roman"/>
          <w:i/>
          <w:iCs/>
        </w:rPr>
        <w:t>alnus</w:t>
      </w:r>
      <w:proofErr w:type="spellEnd"/>
      <w:r w:rsidRPr="00B50E41">
        <w:rPr>
          <w:rFonts w:ascii="Times New Roman" w:hAnsi="Times New Roman" w:cs="Times New Roman"/>
          <w:i/>
          <w:iCs/>
        </w:rPr>
        <w:t xml:space="preserve"> </w:t>
      </w:r>
      <w:r w:rsidRPr="00B50E41">
        <w:rPr>
          <w:rFonts w:ascii="Times New Roman" w:hAnsi="Times New Roman" w:cs="Times New Roman"/>
          <w:iCs/>
        </w:rPr>
        <w:t xml:space="preserve">or an associated species) are recorded. Using historic and simulated occurrences in this subset of patches, I calculated the </w:t>
      </w:r>
      <w:r w:rsidRPr="00B50E41">
        <w:rPr>
          <w:rFonts w:ascii="Times New Roman" w:hAnsi="Times New Roman" w:cs="Times New Roman"/>
          <w:b/>
          <w:iCs/>
        </w:rPr>
        <w:t>positive predictive power</w:t>
      </w:r>
      <w:r w:rsidRPr="00B50E41">
        <w:rPr>
          <w:rFonts w:ascii="Times New Roman" w:hAnsi="Times New Roman" w:cs="Times New Roman"/>
          <w:iCs/>
        </w:rPr>
        <w:t>, A / (A + B), which is the probability that a patch that is predicted as being occupied is in fact occupied (Fielding and Bell 1997). In terms of the area of occurrence, positive predictive power is equal to:</w:t>
      </w:r>
    </w:p>
    <w:p w:rsidR="00D17BFC" w:rsidRPr="00B50E41" w:rsidRDefault="00D17BFC" w:rsidP="00D17BFC">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e>
              </m:nary>
            </m:num>
            <m:den>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den>
          </m:f>
        </m:oMath>
      </m:oMathPara>
    </w:p>
    <w:p w:rsidR="00D17BFC" w:rsidRPr="00B50E41" w:rsidRDefault="00D17BFC" w:rsidP="00D17BFC">
      <w:pPr>
        <w:rPr>
          <w:rFonts w:ascii="Times New Roman" w:hAnsi="Times New Roman" w:cs="Times New Roman"/>
        </w:rPr>
      </w:pPr>
      <w:r w:rsidRPr="00B50E41">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oMath>
      <w:r w:rsidRPr="00B50E41">
        <w:rPr>
          <w:rFonts w:ascii="Times New Roman" w:hAnsi="Times New Roman" w:cs="Times New Roman"/>
        </w:rPr>
        <w:t xml:space="preserve"> is the number of grid cells predicted occupied </w:t>
      </w:r>
      <w:r w:rsidRPr="00B50E41">
        <w:rPr>
          <w:rFonts w:ascii="Times New Roman" w:hAnsi="Times New Roman" w:cs="Times New Roman"/>
          <w:iCs/>
        </w:rPr>
        <w:t xml:space="preserve">in the simulation,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oMath>
      <w:r w:rsidRPr="00B50E41">
        <w:rPr>
          <w:rFonts w:ascii="Times New Roman" w:hAnsi="Times New Roman" w:cs="Times New Roman"/>
        </w:rPr>
        <w:t xml:space="preserve"> is the number of grid cells occupied based on historical observations, and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e>
        </m:nary>
      </m:oMath>
      <w:r w:rsidRPr="00B50E41">
        <w:rPr>
          <w:rFonts w:ascii="Times New Roman" w:hAnsi="Times New Roman" w:cs="Times New Roman"/>
        </w:rPr>
        <w:t xml:space="preserve"> is the number of grid cells bo</w:t>
      </w:r>
      <w:proofErr w:type="spellStart"/>
      <w:r w:rsidRPr="00B50E41">
        <w:rPr>
          <w:rFonts w:ascii="Times New Roman" w:hAnsi="Times New Roman" w:cs="Times New Roman"/>
        </w:rPr>
        <w:t>th</w:t>
      </w:r>
      <w:proofErr w:type="spellEnd"/>
      <w:r w:rsidRPr="00B50E41">
        <w:rPr>
          <w:rFonts w:ascii="Times New Roman" w:hAnsi="Times New Roman" w:cs="Times New Roman"/>
        </w:rPr>
        <w:t xml:space="preserve"> predicted occupied and observed occupied. As false positives (B) decrease,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e>
        </m:nary>
      </m:oMath>
      <w:r w:rsidRPr="00B50E4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oMath>
      <w:r w:rsidRPr="00B50E41">
        <w:rPr>
          <w:rFonts w:ascii="Times New Roman" w:hAnsi="Times New Roman" w:cs="Times New Roman"/>
        </w:rPr>
        <w:t xml:space="preserve"> converge, and the positive predictive power increases. Such a result would occur if more patches were in fact occupied than were observed as being so.</w:t>
      </w:r>
    </w:p>
    <w:p w:rsidR="00D17BFC" w:rsidRPr="00B50E41" w:rsidRDefault="00D17BFC" w:rsidP="00D17BFC">
      <w:pPr>
        <w:rPr>
          <w:rFonts w:ascii="Times New Roman" w:hAnsi="Times New Roman" w:cs="Times New Roman"/>
        </w:rPr>
      </w:pPr>
      <w:r w:rsidRPr="00B50E41">
        <w:rPr>
          <w:rFonts w:ascii="Times New Roman" w:hAnsi="Times New Roman" w:cs="Times New Roman"/>
        </w:rPr>
        <w:t xml:space="preserve">I also calculated model </w:t>
      </w:r>
      <w:r w:rsidRPr="00B50E41">
        <w:rPr>
          <w:rFonts w:ascii="Times New Roman" w:hAnsi="Times New Roman" w:cs="Times New Roman"/>
          <w:b/>
        </w:rPr>
        <w:t>sensitivity</w:t>
      </w:r>
      <w:r w:rsidRPr="00B50E41">
        <w:rPr>
          <w:rFonts w:ascii="Times New Roman" w:hAnsi="Times New Roman" w:cs="Times New Roman"/>
        </w:rPr>
        <w:t xml:space="preserve">, A / (A+C), as a measures of how well a simulation model predicted observed historic occurrences (Fielding and Bell 1997). In terms of area of occurrence, this measure is: </w:t>
      </w:r>
    </w:p>
    <w:p w:rsidR="00D17BFC" w:rsidRPr="00B50E41" w:rsidRDefault="00D17BFC" w:rsidP="00D17BFC">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e>
              </m:nary>
            </m:num>
            <m:den>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den>
          </m:f>
          <m:r>
            <w:rPr>
              <w:rFonts w:ascii="Cambria Math" w:hAnsi="Cambria Math" w:cs="Times New Roman"/>
            </w:rPr>
            <m:t xml:space="preserve"> </m:t>
          </m:r>
        </m:oMath>
      </m:oMathPara>
    </w:p>
    <w:p w:rsidR="00D17BFC" w:rsidRPr="00B50E41" w:rsidRDefault="00D17BFC" w:rsidP="00D17BFC">
      <w:pPr>
        <w:rPr>
          <w:rFonts w:ascii="Times New Roman" w:hAnsi="Times New Roman" w:cs="Times New Roman"/>
        </w:rPr>
      </w:pPr>
      <w:r w:rsidRPr="00B50E41">
        <w:rPr>
          <w:rFonts w:ascii="Times New Roman" w:hAnsi="Times New Roman" w:cs="Times New Roman"/>
        </w:rPr>
        <w:t xml:space="preserve">The grid cells in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oMath>
      <w:r w:rsidRPr="00B50E41">
        <w:rPr>
          <w:rFonts w:ascii="Times New Roman" w:hAnsi="Times New Roman" w:cs="Times New Roman"/>
        </w:rPr>
        <w:t xml:space="preserve"> that are </w:t>
      </w:r>
      <w:r w:rsidRPr="00B50E41">
        <w:rPr>
          <w:rFonts w:ascii="Times New Roman" w:hAnsi="Times New Roman" w:cs="Times New Roman"/>
          <w:i/>
        </w:rPr>
        <w:t>not</w:t>
      </w:r>
      <w:r w:rsidRPr="00B50E41">
        <w:rPr>
          <w:rFonts w:ascii="Times New Roman" w:hAnsi="Times New Roman" w:cs="Times New Roman"/>
        </w:rPr>
        <w:t xml:space="preserve"> in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oMath>
      <w:r w:rsidRPr="00B50E41">
        <w:rPr>
          <w:rFonts w:ascii="Times New Roman" w:hAnsi="Times New Roman" w:cs="Times New Roman"/>
        </w:rPr>
        <w:t xml:space="preserve"> are omissions (C), or false absences, and sensitivity = 1 – omission rate. If the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Sim</m:t>
            </m:r>
          </m:sub>
        </m:sSub>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e>
        </m:nary>
      </m:oMath>
      <w:r w:rsidRPr="00B50E41">
        <w:rPr>
          <w:rFonts w:ascii="Times New Roman" w:hAnsi="Times New Roman" w:cs="Times New Roman"/>
        </w:rPr>
        <w:t xml:space="preserve"> is relatively small, compared to </w:t>
      </w:r>
      <m:oMath>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Obs</m:t>
            </m:r>
          </m:sub>
        </m:sSub>
      </m:oMath>
      <w:r w:rsidRPr="00B50E41">
        <w:rPr>
          <w:rFonts w:ascii="Times New Roman" w:hAnsi="Times New Roman" w:cs="Times New Roman"/>
        </w:rPr>
        <w:t>, then the sensitivity is small and the omission rate is high. Likewise, as the sensitivity approaches a value of 1, the omission rate approaches 0. This measure does not include any information concerning absences, and is o</w:t>
      </w:r>
      <w:proofErr w:type="spellStart"/>
      <w:r w:rsidRPr="00B50E41">
        <w:rPr>
          <w:rFonts w:ascii="Times New Roman" w:hAnsi="Times New Roman" w:cs="Times New Roman"/>
        </w:rPr>
        <w:t>ften</w:t>
      </w:r>
      <w:proofErr w:type="spellEnd"/>
      <w:r w:rsidRPr="00B50E41">
        <w:rPr>
          <w:rFonts w:ascii="Times New Roman" w:hAnsi="Times New Roman" w:cs="Times New Roman"/>
        </w:rPr>
        <w:t xml:space="preserve"> used as a measure of model fit in simulations using presence only data (Boyce et al. 2002, </w:t>
      </w:r>
      <w:proofErr w:type="spellStart"/>
      <w:r w:rsidRPr="00B50E41">
        <w:rPr>
          <w:rFonts w:ascii="Times New Roman" w:hAnsi="Times New Roman" w:cs="Times New Roman"/>
        </w:rPr>
        <w:t>Merow</w:t>
      </w:r>
      <w:proofErr w:type="spellEnd"/>
      <w:r w:rsidRPr="00B50E41">
        <w:rPr>
          <w:rFonts w:ascii="Times New Roman" w:hAnsi="Times New Roman" w:cs="Times New Roman"/>
        </w:rPr>
        <w:t xml:space="preserve"> et al. 2011).</w:t>
      </w:r>
    </w:p>
    <w:p w:rsidR="00D17BFC" w:rsidRPr="00001665" w:rsidRDefault="00D17BFC" w:rsidP="00D17BFC">
      <w:pPr>
        <w:rPr>
          <w:rFonts w:ascii="Times New Roman" w:hAnsi="Times New Roman" w:cs="Times New Roman"/>
          <w:iCs/>
        </w:rPr>
      </w:pPr>
      <w:r w:rsidRPr="00001665">
        <w:rPr>
          <w:rFonts w:ascii="Times New Roman" w:hAnsi="Times New Roman" w:cs="Times New Roman"/>
        </w:rPr>
        <w:br w:type="page"/>
      </w:r>
    </w:p>
    <w:p w:rsidR="00D17BFC" w:rsidRDefault="00D17BFC">
      <w:pPr>
        <w:rPr>
          <w:rFonts w:cs="Times New Roman"/>
          <w:b/>
          <w:iCs/>
        </w:rPr>
      </w:pPr>
      <w:bookmarkStart w:id="0" w:name="_GoBack"/>
      <w:bookmarkEnd w:id="0"/>
    </w:p>
    <w:p w:rsidR="00D61E06" w:rsidRPr="00FC3CBD" w:rsidRDefault="00D61E06">
      <w:pPr>
        <w:rPr>
          <w:rFonts w:cs="Times New Roman"/>
          <w:b/>
          <w:iCs/>
        </w:rPr>
      </w:pPr>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Default="00087E56">
      <w:pPr>
        <w:rPr>
          <w:b/>
        </w:rPr>
      </w:pPr>
    </w:p>
    <w:p w:rsidR="005069FC" w:rsidRDefault="005069FC" w:rsidP="005069FC">
      <w:pPr>
        <w:rPr>
          <w:bCs/>
          <w:iCs/>
        </w:rPr>
      </w:pPr>
    </w:p>
    <w:p w:rsidR="005069FC" w:rsidRDefault="005069FC" w:rsidP="005069FC">
      <w:pPr>
        <w:rPr>
          <w:bCs/>
          <w:iCs/>
        </w:rPr>
      </w:pPr>
      <w:r>
        <w:rPr>
          <w:bCs/>
          <w:iCs/>
        </w:rPr>
        <w:t>I THINK THIS PASSAGE IS REDUNDANT WITH OTHER ASSERTIONS MADE IN THE DISCUSSION</w:t>
      </w:r>
    </w:p>
    <w:p w:rsidR="005069FC" w:rsidRDefault="005069FC" w:rsidP="005069FC">
      <w:pPr>
        <w:rPr>
          <w:bCs/>
          <w:iCs/>
        </w:rPr>
      </w:pPr>
    </w:p>
    <w:p w:rsidR="005069FC" w:rsidRPr="005069FC" w:rsidRDefault="005069FC" w:rsidP="005069FC">
      <w:pPr>
        <w:rPr>
          <w:bCs/>
          <w:iCs/>
        </w:rPr>
      </w:pPr>
      <w:r w:rsidRPr="005069FC">
        <w:rPr>
          <w:bCs/>
          <w:iCs/>
        </w:rPr>
        <w:t>The patterns I found here are indicative of many ornamental plants introduced into North America during the 20</w:t>
      </w:r>
      <w:r w:rsidRPr="005069FC">
        <w:rPr>
          <w:bCs/>
          <w:iCs/>
          <w:vertAlign w:val="superscript"/>
        </w:rPr>
        <w:t>th</w:t>
      </w:r>
      <w:r w:rsidRPr="005069FC">
        <w:rPr>
          <w:bCs/>
          <w:iCs/>
        </w:rPr>
        <w:t xml:space="preserve"> century. In a recent study, Larkin (2011) examined </w:t>
      </w:r>
      <w:r w:rsidRPr="005069FC">
        <w:rPr>
          <w:bCs/>
        </w:rPr>
        <w:t xml:space="preserve">correlations between plant characteristics and the length of lag phases for almost 100 plants in three distinct regions in Michigan and Wisconsin. He did not find any strong predictive relationships between these characteristics and lag phase length, suggesting that dynamics governing lag-phases may be specific to species and circumstance. However, there was evidence that species introduced for ornamental purposes (65% of the species examined, including </w:t>
      </w:r>
      <w:r w:rsidRPr="005069FC">
        <w:rPr>
          <w:bCs/>
          <w:i/>
          <w:iCs/>
        </w:rPr>
        <w:t xml:space="preserve">F. </w:t>
      </w:r>
      <w:proofErr w:type="spellStart"/>
      <w:r w:rsidRPr="005069FC">
        <w:rPr>
          <w:bCs/>
          <w:i/>
          <w:iCs/>
        </w:rPr>
        <w:t>alnus</w:t>
      </w:r>
      <w:proofErr w:type="spellEnd"/>
      <w:r w:rsidRPr="005069FC">
        <w:rPr>
          <w:bCs/>
          <w:iCs/>
        </w:rPr>
        <w:t xml:space="preserve">), experienced </w:t>
      </w:r>
      <w:r w:rsidRPr="005069FC">
        <w:rPr>
          <w:bCs/>
        </w:rPr>
        <w:t>comparatively shorter lag phases than other invaders</w:t>
      </w:r>
      <w:r w:rsidRPr="005069FC">
        <w:rPr>
          <w:bCs/>
          <w:iCs/>
        </w:rPr>
        <w:t>, providing further support for the importance of human assisted dispersal.</w:t>
      </w:r>
    </w:p>
    <w:p w:rsidR="004709DD" w:rsidRPr="005069FC" w:rsidRDefault="004709DD">
      <w:pPr>
        <w:rPr>
          <w:bCs/>
        </w:rPr>
      </w:pPr>
    </w:p>
    <w:sectPr w:rsidR="004709DD" w:rsidRPr="005069FC"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5044C"/>
    <w:rsid w:val="0016229A"/>
    <w:rsid w:val="001705A1"/>
    <w:rsid w:val="001B770C"/>
    <w:rsid w:val="002515A3"/>
    <w:rsid w:val="00327794"/>
    <w:rsid w:val="00400423"/>
    <w:rsid w:val="004709DD"/>
    <w:rsid w:val="004D005A"/>
    <w:rsid w:val="005069FC"/>
    <w:rsid w:val="00563F82"/>
    <w:rsid w:val="005C0E32"/>
    <w:rsid w:val="00640864"/>
    <w:rsid w:val="006B7614"/>
    <w:rsid w:val="006C62B1"/>
    <w:rsid w:val="007260F0"/>
    <w:rsid w:val="00747810"/>
    <w:rsid w:val="007528DE"/>
    <w:rsid w:val="00826666"/>
    <w:rsid w:val="00853D15"/>
    <w:rsid w:val="00925A30"/>
    <w:rsid w:val="00C021FC"/>
    <w:rsid w:val="00D17BFC"/>
    <w:rsid w:val="00D61E06"/>
    <w:rsid w:val="00E62B42"/>
    <w:rsid w:val="00F30128"/>
    <w:rsid w:val="00FC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B55E"/>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BFC"/>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20</cp:revision>
  <dcterms:created xsi:type="dcterms:W3CDTF">2018-03-27T15:54:00Z</dcterms:created>
  <dcterms:modified xsi:type="dcterms:W3CDTF">2019-09-25T19:05:00Z</dcterms:modified>
</cp:coreProperties>
</file>