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pPr>
        <w:rPr>
          <w:rFonts w:ascii="Times New Roman" w:hAnsi="Times New Roman" w:cs="Times New Roman"/>
          <w:b/>
        </w:rPr>
      </w:pPr>
    </w:p>
    <w:p w14:paraId="1F91D921" w14:textId="4900C61A" w:rsidR="00833BEA" w:rsidRPr="005572DE" w:rsidRDefault="00833BEA" w:rsidP="007E79E2">
      <w:pPr>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records inform observations of lag-phases</w:t>
      </w:r>
    </w:p>
    <w:p w14:paraId="39437B10" w14:textId="77777777" w:rsidR="00833BEA" w:rsidRPr="008F2714" w:rsidRDefault="00833BEA" w:rsidP="00833BEA">
      <w:pPr>
        <w:rPr>
          <w:rFonts w:ascii="Times New Roman" w:hAnsi="Times New Roman" w:cs="Times New Roman"/>
        </w:rPr>
      </w:pPr>
    </w:p>
    <w:p w14:paraId="6CD4F7DE" w14:textId="177D284F"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005572DE">
        <w:rPr>
          <w:rFonts w:ascii="Times New Roman" w:hAnsi="Times New Roman" w:cs="Times New Roman"/>
        </w:rPr>
        <w:t xml:space="preserve">Observations of extended lag-phase of non-native invasive </w:t>
      </w:r>
      <w:r w:rsidRPr="00CA4793">
        <w:rPr>
          <w:rFonts w:ascii="Times New Roman" w:hAnsi="Times New Roman" w:cs="Times New Roman"/>
          <w:i/>
        </w:rPr>
        <w:t>Frangula alnus</w:t>
      </w:r>
      <w:r w:rsidRPr="00556B9E">
        <w:rPr>
          <w:rFonts w:ascii="Times New Roman" w:hAnsi="Times New Roman" w:cs="Times New Roman"/>
        </w:rPr>
        <w:t xml:space="preserve"> </w:t>
      </w:r>
      <w:r w:rsidR="005572DE">
        <w:rPr>
          <w:rFonts w:ascii="Times New Roman" w:hAnsi="Times New Roman" w:cs="Times New Roman"/>
        </w:rPr>
        <w:t>may be spatial scale dependent</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5572DE">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42D83E49" w:rsidR="0059502B" w:rsidRPr="005131AB" w:rsidRDefault="0059502B" w:rsidP="005572DE">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C2361F" w:rsidRPr="00C87AA6">
        <w:rPr>
          <w:rFonts w:ascii="Times New Roman" w:hAnsi="Times New Roman" w:cs="Times New Roman"/>
          <w:color w:val="000000" w:themeColor="text1"/>
        </w:rPr>
        <w:t xml:space="preserve">Of particular importance has been the use of herbarium records to estimate </w:t>
      </w:r>
      <w:r w:rsidR="00C87AA6" w:rsidRPr="00C87AA6">
        <w:rPr>
          <w:rFonts w:ascii="Times New Roman" w:hAnsi="Times New Roman" w:cs="Times New Roman"/>
          <w:color w:val="000000" w:themeColor="text1"/>
        </w:rPr>
        <w:t xml:space="preserve">extended </w:t>
      </w:r>
      <w:r w:rsidR="00C2361F" w:rsidRPr="00C87AA6">
        <w:rPr>
          <w:rFonts w:ascii="Times New Roman" w:hAnsi="Times New Roman" w:cs="Times New Roman"/>
          <w:color w:val="000000" w:themeColor="text1"/>
        </w:rPr>
        <w:t>lag-phase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alnus </w:t>
      </w:r>
      <w:r w:rsidRPr="00F66DB3">
        <w:rPr>
          <w:rFonts w:ascii="Times New Roman" w:hAnsi="Times New Roman" w:cs="Times New Roman"/>
        </w:rPr>
        <w:t xml:space="preserve">in </w:t>
      </w:r>
      <w:r>
        <w:rPr>
          <w:rFonts w:ascii="Times New Roman" w:hAnsi="Times New Roman" w:cs="Times New Roman"/>
        </w:rPr>
        <w:t>northeastern and middle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r w:rsidR="00C87AA6">
        <w:rPr>
          <w:rFonts w:ascii="Times New Roman" w:hAnsi="Times New Roman" w:cs="Times New Roman"/>
          <w:iCs/>
        </w:rPr>
        <w:t>These results raise the question of whether extended lag-phases may be a spatial-scale specific pattern. The analysis methods presented here provide one way to investigate this question further.</w:t>
      </w:r>
    </w:p>
    <w:p w14:paraId="4AF3858D" w14:textId="77777777" w:rsidR="0059502B" w:rsidRDefault="0059502B" w:rsidP="005572DE">
      <w:pPr>
        <w:spacing w:line="480" w:lineRule="auto"/>
        <w:rPr>
          <w:rFonts w:ascii="Times New Roman" w:hAnsi="Times New Roman" w:cs="Times New Roman"/>
          <w:b/>
        </w:rPr>
      </w:pPr>
    </w:p>
    <w:p w14:paraId="0849E0DB" w14:textId="7B036BE4" w:rsidR="00FA6DA1" w:rsidRPr="00FA6DA1" w:rsidRDefault="00FA6DA1" w:rsidP="005572DE">
      <w:pPr>
        <w:spacing w:line="480" w:lineRule="auto"/>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Frangula alnus</w:t>
      </w:r>
      <w:r>
        <w:rPr>
          <w:rFonts w:ascii="Times New Roman" w:hAnsi="Times New Roman" w:cs="Times New Roman"/>
        </w:rPr>
        <w:t>; lag phase; herbarium; spatial spread</w:t>
      </w:r>
    </w:p>
    <w:p w14:paraId="7B575A85"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0759E6C7" w14:textId="5FFB9441" w:rsidR="006E2B05"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Introduction</w:t>
      </w:r>
    </w:p>
    <w:p w14:paraId="60098EEA" w14:textId="20ACA804" w:rsidR="0059502B" w:rsidRDefault="00F605A1" w:rsidP="005572DE">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Crooks and Soul\u00e9 1999, Kowarik 1995, Theoharides and Dukes 2007)", "plainTextFormattedCitation" : "(Crooks 2005, Crooks and Soul\u00e9 1999, Kowarik 1995,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572DE">
      <w:pPr>
        <w:spacing w:line="480" w:lineRule="auto"/>
        <w:ind w:firstLine="720"/>
        <w:rPr>
          <w:rFonts w:ascii="Times New Roman" w:hAnsi="Times New Roman" w:cs="Times New Roman"/>
        </w:rPr>
      </w:pPr>
    </w:p>
    <w:p w14:paraId="044DE0F8" w14:textId="69559FA3" w:rsidR="0059502B" w:rsidRPr="00DF40A5" w:rsidRDefault="001703ED" w:rsidP="005572DE">
      <w:pPr>
        <w:spacing w:line="480" w:lineRule="auto"/>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N(t) = N(0) R</w:t>
      </w:r>
      <w:r w:rsidRPr="00DF40A5">
        <w:rPr>
          <w:rFonts w:ascii="Times New Roman" w:hAnsi="Times New Roman" w:cs="Times New Roman"/>
          <w:i/>
          <w:color w:val="000000" w:themeColor="text1"/>
          <w:vertAlign w:val="superscript"/>
        </w:rPr>
        <w:t>t</w:t>
      </w:r>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positive density dependence effects (i.e. Allee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Soulé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lastRenderedPageBreak/>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572DE">
      <w:pPr>
        <w:spacing w:line="480" w:lineRule="auto"/>
        <w:rPr>
          <w:rFonts w:ascii="Times New Roman" w:hAnsi="Times New Roman" w:cs="Times New Roman"/>
          <w:color w:val="7F7F7F" w:themeColor="text1" w:themeTint="80"/>
        </w:rPr>
      </w:pPr>
    </w:p>
    <w:p w14:paraId="25AA87B2" w14:textId="40D5D34E" w:rsidR="00596BE8" w:rsidRPr="00596BE8" w:rsidRDefault="00DF40A5" w:rsidP="005572DE">
      <w:pPr>
        <w:spacing w:line="480" w:lineRule="auto"/>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572DE">
      <w:pPr>
        <w:spacing w:line="480" w:lineRule="auto"/>
        <w:ind w:firstLine="720"/>
        <w:rPr>
          <w:rFonts w:ascii="Times New Roman" w:hAnsi="Times New Roman" w:cs="Times New Roman"/>
          <w:color w:val="7F7F7F" w:themeColor="text1" w:themeTint="80"/>
        </w:rPr>
      </w:pPr>
    </w:p>
    <w:p w14:paraId="5FC9FBC8" w14:textId="5994F8A2" w:rsidR="0059502B" w:rsidRPr="002925CD" w:rsidRDefault="00462DB8" w:rsidP="005572DE">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"(Gurevitch et al. 2011, Mack et al. 2000, Py\u0161ek and Hulme 2005, Sakai et al. 2001)", "plainTextFormattedCitation" : "(Gurevitch et al. 2011, Mack et al. 2000, Py\u0161ek and Hulme 2005, Sakai et al. 2001)",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"plainTextFormattedCitation" : "(Aikio, Richard P. Duncan, et al. 2010)",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572DE">
      <w:pPr>
        <w:spacing w:line="480" w:lineRule="auto"/>
        <w:rPr>
          <w:rFonts w:ascii="Times New Roman" w:hAnsi="Times New Roman" w:cs="Times New Roman"/>
          <w:color w:val="7F7F7F" w:themeColor="text1" w:themeTint="80"/>
        </w:rPr>
      </w:pPr>
    </w:p>
    <w:p w14:paraId="715CCD2A" w14:textId="0F57437A" w:rsidR="0059502B" w:rsidRPr="00132303" w:rsidRDefault="0059502B" w:rsidP="005572DE">
      <w:pPr>
        <w:spacing w:line="480" w:lineRule="auto"/>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"(Aikio, Richard P Duncan, et al. 2010, Aikio, Richard P. Duncan, et al. 2010, Crawford and Hoagland 2009, Delisle et al. 2003, Lavoie 2012, Miller et al. 2009, Newbold 2010, Salo 2005)", "plainTextFormattedCitation" : "(Aikio, Richard P Duncan, et al. 2010, Aikio, Richard P. Duncan, et al. 2010, Crawford and Hoagland 2009, Delisle et al. 2003, Lavoie 2012, Miller et al. 2009, Newbold 2010, Salo 2005)",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Kadmon et al. 2004, Reddy and D\u00e1valos 2003)", "plainTextFormattedCitation" : "(Hijmans et al. 2000, Kadmon et al. 2004, Reddy and D\u00e1valos 2003)",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(Hijmans et al. 2000, Kadmon et al. 2004, Reddy and Dávalos 2003)</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572DE">
      <w:pPr>
        <w:spacing w:line="480" w:lineRule="auto"/>
        <w:rPr>
          <w:rFonts w:ascii="Times New Roman" w:hAnsi="Times New Roman" w:cs="Times New Roman"/>
          <w:color w:val="7F7F7F" w:themeColor="text1" w:themeTint="80"/>
        </w:rPr>
      </w:pPr>
    </w:p>
    <w:p w14:paraId="43035C72" w14:textId="23C6829F" w:rsidR="0059502B" w:rsidRPr="00132303" w:rsidRDefault="0059502B" w:rsidP="005572DE">
      <w:pPr>
        <w:spacing w:line="480" w:lineRule="auto"/>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w:t>
      </w:r>
      <w:r w:rsidRPr="00132303">
        <w:rPr>
          <w:rFonts w:ascii="Times New Roman" w:hAnsi="Times New Roman" w:cs="Times New Roman"/>
          <w:color w:val="000000" w:themeColor="text1"/>
        </w:rPr>
        <w:lastRenderedPageBreak/>
        <w:t xml:space="preserve">population growth, there are many plausible null models for </w:t>
      </w:r>
      <w:r w:rsidR="00797AAA">
        <w:rPr>
          <w:rFonts w:ascii="Times New Roman" w:hAnsi="Times New Roman" w:cs="Times New Roman"/>
          <w:color w:val="000000" w:themeColor="text1"/>
        </w:rPr>
        <w:t>areal</w:t>
      </w:r>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572DE">
      <w:pPr>
        <w:spacing w:line="480" w:lineRule="auto"/>
        <w:rPr>
          <w:rFonts w:ascii="Times New Roman" w:hAnsi="Times New Roman" w:cs="Times New Roman"/>
          <w:color w:val="7F7F7F" w:themeColor="text1" w:themeTint="80"/>
        </w:rPr>
      </w:pPr>
    </w:p>
    <w:p w14:paraId="24782D58" w14:textId="54151269" w:rsidR="0059502B" w:rsidRPr="00932531" w:rsidRDefault="00BF053D" w:rsidP="005572DE">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Catling and Porebski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Frangula alnus</w:t>
      </w:r>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alnus</w:t>
      </w:r>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i/>
          <w:color w:val="000000" w:themeColor="text1"/>
        </w:rPr>
        <w:t>Rhamnus alnifolia</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F. alnus</w:t>
      </w:r>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F. alnus</w:t>
      </w:r>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Delisle et al. 2003)", "plainTextFormattedCitation" : "(Aikio, Richard P. Duncan, et al. 2010, Delisle et al. 2003)",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 Delisle et al. 2003)</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Miller et al. 2009)", "manualFormatting" : "Miller et al. 2009; Larkin 2011)", "plainTextFormattedCitation" : "(Larkin 2011, Miller et al. 2009)",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"manualFormatting" : "Aikio et al. 2010a)", "plainTextFormattedCitation" : "(Aikio, Richard P. Duncan, et al. 2010)",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572DE">
      <w:pPr>
        <w:spacing w:line="480" w:lineRule="auto"/>
        <w:rPr>
          <w:rFonts w:ascii="Times New Roman" w:hAnsi="Times New Roman" w:cs="Times New Roman"/>
        </w:rPr>
      </w:pPr>
    </w:p>
    <w:p w14:paraId="34A8B921" w14:textId="6F5AE35F" w:rsidR="0059502B" w:rsidRPr="00A3140D" w:rsidRDefault="0059502B" w:rsidP="005572DE">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alnus</w:t>
      </w:r>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alnus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572DE">
      <w:pPr>
        <w:spacing w:line="480" w:lineRule="auto"/>
        <w:rPr>
          <w:rFonts w:ascii="Times New Roman" w:hAnsi="Times New Roman" w:cs="Times New Roman"/>
        </w:rPr>
      </w:pPr>
      <w:r>
        <w:rPr>
          <w:rFonts w:ascii="Times New Roman" w:hAnsi="Times New Roman" w:cs="Times New Roman"/>
          <w:b/>
        </w:rPr>
        <w:br w:type="page"/>
      </w:r>
    </w:p>
    <w:p w14:paraId="683857F9" w14:textId="517367BD" w:rsidR="0059502B" w:rsidRPr="005572DE" w:rsidRDefault="00D73FBF"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1440D830" w14:textId="66EDB9FA" w:rsidR="00694B28" w:rsidRPr="00694B28" w:rsidRDefault="00D73FBF" w:rsidP="005572DE">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alnus</w:t>
      </w:r>
      <w:r w:rsidR="00694B28">
        <w:rPr>
          <w:rFonts w:ascii="Times New Roman" w:hAnsi="Times New Roman" w:cs="Times New Roman"/>
          <w:iCs/>
        </w:rPr>
        <w:t xml:space="preserve"> Miller </w:t>
      </w:r>
      <w:r w:rsidR="00694B28" w:rsidRPr="00CF3DA5">
        <w:rPr>
          <w:rFonts w:ascii="Times New Roman" w:hAnsi="Times New Roman" w:cs="Times New Roman"/>
        </w:rPr>
        <w:t xml:space="preserve">(Rhamnaceae, syn. </w:t>
      </w:r>
      <w:r w:rsidR="00694B28" w:rsidRPr="00CF3DA5">
        <w:rPr>
          <w:rFonts w:ascii="Times New Roman" w:hAnsi="Times New Roman" w:cs="Times New Roman"/>
          <w:i/>
        </w:rPr>
        <w:t>Rhamnus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contain an average of 2-3 seeds.  Large adult plants can produce fruit to yield approximately 430 to 1560 seeds per year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"DOI" : "10.1007/BF00983549", "ISSN" : "0378-2697", "author" : [ { "dropping-particle" : "", "family" : "Medan", "given" : "Diego", "non-dropping-particle" : "", "parse-names" : false, "suffix" : "" } ], "container-title" : "Plant Systematics and Evolution", "id" : "ITEM-1",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"(Medan 1994)", "plainTextFormattedCitation" : "(Medan 1994)", "previouslyFormattedCitation" :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(Medan 1994)</w:t>
      </w:r>
      <w:r w:rsidR="00694B28">
        <w:rPr>
          <w:rFonts w:ascii="Times New Roman" w:hAnsi="Times New Roman" w:cs="Times New Roman"/>
        </w:rPr>
        <w:fldChar w:fldCharType="end"/>
      </w:r>
      <w:r w:rsidR="00694B28" w:rsidRPr="00CF3DA5">
        <w:rPr>
          <w:rFonts w:ascii="Times New Roman" w:hAnsi="Times New Roman" w:cs="Times New Roman"/>
        </w:rPr>
        <w:t xml:space="preserve">; however, the number of fruits per plant varies widely based on age, size, and site characteristics. Pollen records indicate that in its native range, </w:t>
      </w:r>
      <w:r w:rsidR="00694B28" w:rsidRPr="00CF3DA5">
        <w:rPr>
          <w:rFonts w:ascii="Times New Roman" w:hAnsi="Times New Roman" w:cs="Times New Roman"/>
          <w:i/>
        </w:rPr>
        <w:t>F. alnus</w:t>
      </w:r>
      <w:r w:rsidR="00694B28" w:rsidRPr="00CF3DA5">
        <w:rPr>
          <w:rFonts w:ascii="Times New Roman" w:hAnsi="Times New Roman" w:cs="Times New Roman"/>
        </w:rPr>
        <w:t xml:space="preserve"> was one of the first woody plants to spread out of glacial refugia after the last glacial maximum</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"Moe", "given" : "D", "non-dropping-particle" : "", "parse-names" : false, "suffix" : "" } ], "container-title" : "Nordic Journal of Botany", "id" : "ITEM-1", "issue" : "5", "issued" : { "date-parts" : [ [ "1984" ] ] }, "page" : "655-660", "publisher" : "Wiley Online Library", "title" : "The late quaternary history of Rhamnus frangula in Norway", "type" : "article-journal", "volume" : "4" }, "uris" : [ "http://www.mendeley.com/documents/?uuid=9d20acdc-30a1-4ed7-ba4e-ee048041bf7b" ] } ], "mendeley" : { "formattedCitation" : "(Moe 1984)", "plainTextFormattedCitation" : "(Moe 1984)", "previouslyFormattedCitation" : "(Moe 1984)"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(Moe 1984)</w:t>
      </w:r>
      <w:r w:rsidR="00694B28">
        <w:rPr>
          <w:rFonts w:ascii="Times New Roman" w:hAnsi="Times New Roman" w:cs="Times New Roman"/>
        </w:rPr>
        <w:fldChar w:fldCharType="end"/>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"Godwin", "given" : "H", "non-dropping-particle" : "", "parse-names" : false, "suffix" : "" } ], "container-title" : "Journal of Ecology", "id" : "ITEM-1", "issue" : "1", "issued" : { "date-parts" : [ [ "1943" ] ] }, "page" : "77-92", "publisher" : "JSTOR", "title" : "&lt;i&gt;Frangula alnus&lt;/i&gt; Miller", "type" : "article-journal", "volume" : "31" }, "uris" : [ "http://www.mendeley.com/documents/?uuid=6d2a6588-9ef4-4dc0-96a5-a92c84757632" ] }, { "id" : "ITEM-2", "itemData" : { "DOI" : "10.1007/BF00983549", "ISSN" : "0378-2697", "author" : [ { "dropping-particle" : "", "family" : "Medan", "given" : "Diego", "non-dropping-particle" : "", "parse-names" : false, "suffix" : "" } ], "container-title" : "Plant Systematics and Evolution", "id" : "ITEM-2",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"(Godwin 1943, Medan 1994)", "plainTextFormattedCitation" : "(Godwin 1943, Medan 1994)", "previouslyFormattedCitation" : "(Godwin 1943,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(Godwin 1943, Medan 1994)</w:t>
      </w:r>
      <w:r w:rsidR="00694B28">
        <w:rPr>
          <w:rFonts w:ascii="Times New Roman" w:hAnsi="Times New Roman" w:cs="Times New Roman"/>
        </w:rPr>
        <w:fldChar w:fldCharType="end"/>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"id" : "ITEM-2", "itemData" : { "DOI" : "10.1016/j.foreco.2004.02.015", "author" : [ { "dropping-particle" : "", "family" : "Fagan", "given" : "M E", "non-dropping-particle" : "", "parse-names" : false, "suffix" : "" }, { "dropping-particle" : "", "family" : "Peart", "given" : "D R", "non-dropping-particle" : "", "parse-names" : false, "suffix" : "" } ], "container-title" : "Forest Ecology and Management", "id" : "ITEM-2", "issue" : "1-3", "issued" : { "date-parts" : [ [ "2004" ] ] }, "page" : "95-107", "title" : "Impact of the invasive shrub glossy buckthorn (&lt;i&gt;Rhamnus frangula&lt;/i&gt; L.) on juvenile recruitment by canopy trees", "type" : "article-journal", "volume" : "194" }, "uris" : [ "http://www.mendeley.com/documents/?uuid=a8ee4d58-7efa-41e9-be05-fa10a7023115" ] } ], "mendeley" : { "formattedCitation" : "(Fagan and Peart 2004, Frappier et al. 2003)", "plainTextFormattedCitation" : "(Fagan and Peart 2004, Frappier et al. 2003)", "previouslyFormattedCitation" : "(Frappier et al. 2003, Fagan and Peart 2004)" }, "properties" : { "noteIndex" : 0 }, "schema" : "https://github.com/citation-style-language/schema/raw/master/csl-citation.json" }</w:instrText>
      </w:r>
      <w:r w:rsidR="00694B28">
        <w:rPr>
          <w:rFonts w:ascii="Times New Roman" w:hAnsi="Times New Roman" w:cs="Times New Roman"/>
        </w:rPr>
        <w:fldChar w:fldCharType="separate"/>
      </w:r>
      <w:r w:rsidR="00676FE5" w:rsidRPr="00676FE5">
        <w:rPr>
          <w:rFonts w:ascii="Times New Roman" w:hAnsi="Times New Roman" w:cs="Times New Roman"/>
          <w:noProof/>
        </w:rPr>
        <w:t>(Fagan and Peart 2004, Frappier et al. 2003)</w:t>
      </w:r>
      <w:r w:rsidR="00694B28">
        <w:rPr>
          <w:rFonts w:ascii="Times New Roman" w:hAnsi="Times New Roman" w:cs="Times New Roman"/>
        </w:rPr>
        <w:fldChar w:fldCharType="end"/>
      </w:r>
      <w:r w:rsidR="00694B28">
        <w:rPr>
          <w:rFonts w:ascii="Times New Roman" w:hAnsi="Times New Roman" w:cs="Times New Roman"/>
          <w:noProof/>
        </w:rPr>
        <w:t>.</w:t>
      </w:r>
      <w:r w:rsidR="00694B28" w:rsidRPr="00CF3DA5">
        <w:rPr>
          <w:rFonts w:ascii="Times New Roman" w:hAnsi="Times New Roman" w:cs="Times New Roman"/>
        </w:rPr>
        <w:t xml:space="preserve"> </w:t>
      </w:r>
      <w:r w:rsidR="00694B28" w:rsidRPr="00CF3DA5">
        <w:rPr>
          <w:rFonts w:ascii="Times New Roman" w:hAnsi="Times New Roman" w:cs="Times New Roman"/>
          <w:i/>
        </w:rPr>
        <w:t>Frangula alnus</w:t>
      </w:r>
      <w:r w:rsidR="00694B28" w:rsidRPr="00CF3DA5">
        <w:rPr>
          <w:rFonts w:ascii="Times New Roman" w:hAnsi="Times New Roman" w:cs="Times New Roman"/>
        </w:rPr>
        <w:t xml:space="preserve"> is an invasive species of concern for land-managers in northeast and northern midwest North America</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044D75">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"ITEM-2",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"(Catling and Porebski 1994, Cunard and Lee 2008)", "plainTextFormattedCitation" : "(Catling and Porebski 1994, Cunard and Lee 2008)", "previouslyFormattedCitation" : "(Catling and Porebski 1994, Cunard and Lee 2008)"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(Catling and Porebski 1994, Cunard and Lee 2008)</w:t>
      </w:r>
      <w:r w:rsidR="00694B28">
        <w:rPr>
          <w:rFonts w:ascii="Times New Roman" w:hAnsi="Times New Roman" w:cs="Times New Roman"/>
        </w:rPr>
        <w:fldChar w:fldCharType="end"/>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being sold in horticulture trade elsewhere. </w:t>
      </w:r>
    </w:p>
    <w:p w14:paraId="55FE520C" w14:textId="77777777" w:rsidR="00A53C1F" w:rsidRPr="00A53C1F" w:rsidRDefault="00A53C1F" w:rsidP="005572DE">
      <w:pPr>
        <w:spacing w:line="480" w:lineRule="auto"/>
        <w:outlineLvl w:val="0"/>
        <w:rPr>
          <w:rFonts w:ascii="Times New Roman" w:hAnsi="Times New Roman" w:cs="Times New Roman"/>
          <w:caps/>
        </w:rPr>
      </w:pPr>
    </w:p>
    <w:p w14:paraId="6263782B" w14:textId="66873B5A" w:rsidR="00D73FBF" w:rsidRPr="00C34CA4" w:rsidRDefault="0059502B" w:rsidP="005572DE">
      <w:pPr>
        <w:spacing w:line="480" w:lineRule="auto"/>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alnus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w:t>
      </w:r>
      <w:r>
        <w:rPr>
          <w:rFonts w:ascii="Times New Roman" w:hAnsi="Times New Roman" w:cs="Times New Roman"/>
        </w:rPr>
        <w:lastRenderedPageBreak/>
        <w:t xml:space="preserve">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alnus OR </w:t>
      </w:r>
      <w:r>
        <w:rPr>
          <w:rFonts w:ascii="Times New Roman" w:hAnsi="Times New Roman" w:cs="Times New Roman"/>
        </w:rPr>
        <w:t xml:space="preserve">Rhammus frangula”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alnus,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572DE">
      <w:pPr>
        <w:spacing w:line="480" w:lineRule="auto"/>
        <w:rPr>
          <w:rFonts w:ascii="Times New Roman" w:hAnsi="Times New Roman" w:cs="Times New Roman"/>
          <w:color w:val="7F7F7F" w:themeColor="text1" w:themeTint="80"/>
        </w:rPr>
      </w:pPr>
    </w:p>
    <w:p w14:paraId="400C1479" w14:textId="78231976" w:rsidR="0059502B" w:rsidRPr="00312367" w:rsidRDefault="00672917" w:rsidP="005572DE">
      <w:pPr>
        <w:spacing w:line="480" w:lineRule="auto"/>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collection location. I primarily used GoogleEarth (Google Inc.) to georeference records (</w:t>
      </w:r>
      <w:r w:rsidR="0059502B" w:rsidRPr="00672917">
        <w:rPr>
          <w:rFonts w:ascii="Times New Roman" w:hAnsi="Times New Roman" w:cs="Times New Roman"/>
          <w:i/>
          <w:color w:val="000000" w:themeColor="text1"/>
        </w:rPr>
        <w:t>sensu</w:t>
      </w:r>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 xml:space="preserve">For finer </w:t>
      </w:r>
      <w:r w:rsidR="007B6221">
        <w:rPr>
          <w:rFonts w:ascii="Times New Roman" w:hAnsi="Times New Roman" w:cs="Times New Roman"/>
          <w:color w:val="000000" w:themeColor="text1"/>
        </w:rPr>
        <w:lastRenderedPageBreak/>
        <w:t>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Biogeomancer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572DE">
      <w:pPr>
        <w:spacing w:line="480" w:lineRule="auto"/>
        <w:rPr>
          <w:rFonts w:ascii="Times New Roman" w:hAnsi="Times New Roman" w:cs="Times New Roman"/>
          <w:color w:val="7F7F7F" w:themeColor="text1" w:themeTint="80"/>
        </w:rPr>
      </w:pPr>
    </w:p>
    <w:p w14:paraId="78518F2B" w14:textId="7E1FA3CB" w:rsidR="0059502B" w:rsidRPr="00207FEE" w:rsidRDefault="0059502B" w:rsidP="005572DE">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207FEE">
        <w:rPr>
          <w:rFonts w:ascii="Times New Roman" w:hAnsi="Times New Roman" w:cs="Times New Roman"/>
          <w:i/>
          <w:highlight w:val="yellow"/>
        </w:rPr>
        <w:t>sensu</w:t>
      </w:r>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Py\u0161ek and Prach 1993)", "plainTextFormattedCitation" : "(Aikio, Richard P. Duncan, et al. 2010, Py\u0161ek and Prach 1993)",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F. alnus</w:t>
      </w:r>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572DE">
      <w:pPr>
        <w:spacing w:line="480" w:lineRule="auto"/>
        <w:rPr>
          <w:rFonts w:ascii="Times New Roman" w:hAnsi="Times New Roman" w:cs="Times New Roman"/>
          <w:i/>
          <w:color w:val="7F7F7F" w:themeColor="text1" w:themeTint="80"/>
        </w:rPr>
      </w:pPr>
    </w:p>
    <w:p w14:paraId="686B2E6A" w14:textId="0F480D0B" w:rsidR="0059502B" w:rsidRPr="005E3186" w:rsidRDefault="0059502B" w:rsidP="005572DE">
      <w:pPr>
        <w:spacing w:line="480" w:lineRule="auto"/>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F. alnus</w:t>
      </w:r>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w:t>
      </w:r>
      <w:r w:rsidRPr="005E3186">
        <w:rPr>
          <w:rFonts w:ascii="Times New Roman" w:hAnsi="Times New Roman" w:cs="Times New Roman"/>
        </w:rPr>
        <w:lastRenderedPageBreak/>
        <w:t xml:space="preserve">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“rgdal”, and “dismo” packages </w:t>
      </w:r>
      <w:r w:rsidRPr="005E3186">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Hijmans et al. 2013, Keitt et al. 2012)", "plainTextFormattedCitation" : "(Hijmans 2012, Hijmans et al. 2013, Keitt et al. 2012)",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676FE5" w:rsidRPr="00676FE5">
        <w:rPr>
          <w:rFonts w:ascii="Times New Roman" w:hAnsi="Times New Roman" w:cs="Times New Roman"/>
          <w:noProof/>
        </w:rPr>
        <w:t>(Hijmans 2012, Hijmans et al. 2013, Keitt et al. 2012)</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F. alnus</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"(Delisle et al. 2003, Py\u0161ek and Prach 1995, Weber 1998)", "plainTextFormattedCitation" : "(Delisle et al. 2003, Py\u0161ek and Prach 1995, Weber 1998)",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572DE">
      <w:pPr>
        <w:spacing w:line="480" w:lineRule="auto"/>
        <w:rPr>
          <w:rFonts w:ascii="Times New Roman" w:hAnsi="Times New Roman" w:cs="Times New Roman"/>
          <w:color w:val="7F7F7F" w:themeColor="text1" w:themeTint="80"/>
        </w:rPr>
      </w:pPr>
    </w:p>
    <w:p w14:paraId="0A77248B" w14:textId="45DDE0A1" w:rsidR="0059502B" w:rsidRPr="000746E2" w:rsidRDefault="0059502B" w:rsidP="005572DE">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alnus </w:t>
      </w:r>
      <w:r w:rsidRPr="000746E2">
        <w:rPr>
          <w:rFonts w:ascii="Times New Roman" w:hAnsi="Times New Roman" w:cs="Times New Roman"/>
        </w:rPr>
        <w:t xml:space="preserve">through time. Again, I assumed that once </w:t>
      </w:r>
      <w:r w:rsidRPr="000746E2">
        <w:rPr>
          <w:rFonts w:ascii="Times New Roman" w:hAnsi="Times New Roman" w:cs="Times New Roman"/>
          <w:i/>
        </w:rPr>
        <w:t>F. alnus</w:t>
      </w:r>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572DE">
      <w:pPr>
        <w:spacing w:line="480" w:lineRule="auto"/>
        <w:rPr>
          <w:rFonts w:ascii="Times New Roman" w:hAnsi="Times New Roman" w:cs="Times New Roman"/>
          <w:color w:val="7F7F7F" w:themeColor="text1" w:themeTint="80"/>
        </w:rPr>
      </w:pPr>
    </w:p>
    <w:p w14:paraId="03C83B36" w14:textId="7728AF26" w:rsidR="0059502B" w:rsidRPr="00DA150F" w:rsidRDefault="0059502B" w:rsidP="005572DE">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w:t>
      </w:r>
      <w:r w:rsidR="009C509B" w:rsidRPr="00DA150F">
        <w:rPr>
          <w:rFonts w:ascii="Times New Roman" w:hAnsi="Times New Roman" w:cs="Times New Roman"/>
        </w:rPr>
        <w:lastRenderedPageBreak/>
        <w:t>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0319B1">
        <w:rPr>
          <w:rFonts w:ascii="Times New Roman" w:hAnsi="Times New Roman" w:cs="Times New Roman"/>
        </w:rPr>
        <w:t xml:space="preserve">Thus,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r w:rsidR="009C509B" w:rsidRPr="00DA150F">
        <w:rPr>
          <w:rFonts w:ascii="Times New Roman" w:hAnsi="Times New Roman" w:cs="Times New Roman"/>
          <w:i/>
          <w:iCs/>
        </w:rPr>
        <w:t>Alnus incana</w:t>
      </w:r>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serrulata</w:t>
      </w:r>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Rhamnus alnifolia</w:t>
      </w:r>
      <w:r w:rsidR="009C509B" w:rsidRPr="00DA150F">
        <w:rPr>
          <w:rFonts w:ascii="Times New Roman" w:hAnsi="Times New Roman" w:cs="Times New Roman"/>
        </w:rPr>
        <w:t xml:space="preserve"> (</w:t>
      </w:r>
      <w:r w:rsidRPr="00DA150F">
        <w:rPr>
          <w:rFonts w:ascii="Times New Roman" w:hAnsi="Times New Roman" w:cs="Times New Roman"/>
        </w:rPr>
        <w:t>Alderleaf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Salix peiolarisi</w:t>
      </w:r>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9C509B" w:rsidRPr="00DA150F">
        <w:rPr>
          <w:rFonts w:ascii="Times New Roman" w:hAnsi="Times New Roman" w:cs="Times New Roman"/>
          <w:i/>
          <w:iCs/>
        </w:rPr>
        <w:t>Fraxinus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F. alnus</w:t>
      </w:r>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"(Catling and Porebski 1994, Houlahan and Findlay 2004, Little et al. 1980)", "plainTextFormattedCitation" : "(Catling and Porebski 1994, Houlahan and Findlay 2004, Little et al. 1980)", "previouslyFormattedCitation"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676FE5" w:rsidRPr="00676FE5">
        <w:rPr>
          <w:rFonts w:ascii="Times New Roman" w:hAnsi="Times New Roman" w:cs="Times New Roman"/>
          <w:noProof/>
        </w:rPr>
        <w:t>(Catling and Porebski 1994, Houlahan and Findlay 2004, Little et al. 1980)</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all of 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572DE">
      <w:pPr>
        <w:spacing w:line="480" w:lineRule="auto"/>
        <w:rPr>
          <w:rFonts w:ascii="Times New Roman" w:hAnsi="Times New Roman" w:cs="Times New Roman"/>
          <w:color w:val="7F7F7F" w:themeColor="text1" w:themeTint="80"/>
        </w:rPr>
      </w:pPr>
    </w:p>
    <w:p w14:paraId="55FEB97D" w14:textId="6931FDA7" w:rsidR="0059502B" w:rsidRPr="00103FE8" w:rsidRDefault="0059502B" w:rsidP="005572DE">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F. alnus</w:t>
      </w:r>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Delisle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w:t>
      </w:r>
      <w:r w:rsidRPr="00103FE8">
        <w:rPr>
          <w:rFonts w:ascii="Times New Roman" w:hAnsi="Times New Roman" w:cs="Times New Roman"/>
        </w:rPr>
        <w:lastRenderedPageBreak/>
        <w:t xml:space="preserve">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572DE">
      <w:pPr>
        <w:spacing w:line="480" w:lineRule="auto"/>
        <w:rPr>
          <w:rFonts w:ascii="Times New Roman" w:hAnsi="Times New Roman" w:cs="Times New Roman"/>
          <w:color w:val="7F7F7F" w:themeColor="text1" w:themeTint="80"/>
        </w:rPr>
      </w:pPr>
    </w:p>
    <w:p w14:paraId="412AA072" w14:textId="7B956FB2" w:rsidR="0059502B" w:rsidRPr="009A7C3C" w:rsidRDefault="0059502B" w:rsidP="005572DE">
      <w:pPr>
        <w:spacing w:line="480" w:lineRule="auto"/>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F. alnus</w:t>
      </w:r>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alnus, </w:t>
      </w:r>
      <w:r w:rsidRPr="009A7C3C">
        <w:rPr>
          <w:rFonts w:ascii="Times New Roman" w:hAnsi="Times New Roman" w:cs="Times New Roman"/>
        </w:rPr>
        <w:t xml:space="preserve">(e.g., </w:t>
      </w:r>
      <w:r w:rsidRPr="009A7C3C">
        <w:rPr>
          <w:rFonts w:ascii="Times New Roman" w:hAnsi="Times New Roman" w:cs="Times New Roman"/>
          <w:i/>
        </w:rPr>
        <w:t>Fraxinus americana</w:t>
      </w:r>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F. alnus</w:t>
      </w:r>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F. alnus</w:t>
      </w:r>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F. alnus</w:t>
      </w:r>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w:t>
      </w:r>
      <w:r w:rsidR="003D4604" w:rsidRPr="009A7C3C">
        <w:rPr>
          <w:rFonts w:ascii="Times New Roman" w:hAnsi="Times New Roman" w:cs="Times New Roman"/>
        </w:rPr>
        <w:t>30 x 30 arc minutes (i.e., 0.5° or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 xml:space="preserve">Area of </w:t>
      </w:r>
      <w:r w:rsidRPr="003D4604">
        <w:rPr>
          <w:rFonts w:ascii="Times New Roman" w:hAnsi="Times New Roman" w:cs="Times New Roman"/>
          <w:caps/>
        </w:rPr>
        <w:lastRenderedPageBreak/>
        <w:t>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F. alnus</w:t>
      </w:r>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F. alnus</w:t>
      </w:r>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F. alnus</w:t>
      </w:r>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F. alnus</w:t>
      </w:r>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F. alnus</w:t>
      </w:r>
      <w:r w:rsidRPr="009A7C3C">
        <w:rPr>
          <w:rFonts w:ascii="Times New Roman" w:hAnsi="Times New Roman" w:cs="Times New Roman"/>
        </w:rPr>
        <w:t xml:space="preserve"> and the group of associated species. To compare the growth rates I divided the annual growth rate of </w:t>
      </w:r>
      <w:r w:rsidRPr="009A7C3C">
        <w:rPr>
          <w:rFonts w:ascii="Times New Roman" w:hAnsi="Times New Roman" w:cs="Times New Roman"/>
          <w:i/>
        </w:rPr>
        <w:t>F. alnus</w:t>
      </w:r>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572DE">
      <w:pPr>
        <w:spacing w:line="480" w:lineRule="auto"/>
        <w:rPr>
          <w:rFonts w:ascii="Times New Roman" w:hAnsi="Times New Roman" w:cs="Times New Roman"/>
          <w:color w:val="7F7F7F" w:themeColor="text1" w:themeTint="80"/>
        </w:rPr>
      </w:pPr>
    </w:p>
    <w:p w14:paraId="3E3F5DAD" w14:textId="35440A31" w:rsidR="0059502B" w:rsidRPr="00E83125" w:rsidRDefault="0059502B" w:rsidP="005572DE">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F. alnus</w:t>
      </w:r>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F. alnus</w:t>
      </w:r>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676FE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"(Aikio, Richard P. Duncan, et al. 2010, Larkin 2011, Mihulka and Py\u0161ek 2001)", "manualFormatting" : "Mihulka &amp; Py\u0161ek 2001; Aikio et al. 2010a; Larkin 2011)", "plainTextFormattedCitation" : "(Aikio, Richard P. Duncan, et al. 2010, Larkin 2011, Mihulka and Py\u0161ek 2001)",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alnus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w:t>
      </w:r>
      <w:r w:rsidRPr="00E83125">
        <w:rPr>
          <w:rFonts w:ascii="Times New Roman" w:hAnsi="Times New Roman" w:cs="Times New Roman"/>
          <w:iCs/>
        </w:rPr>
        <w:lastRenderedPageBreak/>
        <w:t xml:space="preserve">10-year moving window average estimates. A ratio value less than 1.0 indicated that the rate at which </w:t>
      </w:r>
      <w:r w:rsidRPr="00E83125">
        <w:rPr>
          <w:rFonts w:ascii="Times New Roman" w:hAnsi="Times New Roman" w:cs="Times New Roman"/>
          <w:i/>
          <w:iCs/>
        </w:rPr>
        <w:t xml:space="preserve">F. alnus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indicated that it was greater that that of the associated species.</w:t>
      </w:r>
    </w:p>
    <w:p w14:paraId="1FF99502" w14:textId="77777777" w:rsidR="0059502B" w:rsidRPr="00E83125" w:rsidRDefault="0059502B" w:rsidP="005572DE">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5B038432" w:rsidR="0059502B" w:rsidRPr="000D147E" w:rsidRDefault="0059502B" w:rsidP="005572DE">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alnus</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w:t>
      </w:r>
      <w:r w:rsidR="00D72A21">
        <w:rPr>
          <w:rFonts w:ascii="Times New Roman" w:hAnsi="Times New Roman" w:cs="Times New Roman"/>
          <w:color w:val="000000" w:themeColor="text1"/>
          <w:highlight w:val="yellow"/>
        </w:rPr>
        <w:t>ig.</w:t>
      </w:r>
      <w:r w:rsidRPr="000D147E">
        <w:rPr>
          <w:rFonts w:ascii="Times New Roman" w:hAnsi="Times New Roman" w:cs="Times New Roman"/>
          <w:color w:val="000000" w:themeColor="text1"/>
          <w:highlight w:val="yellow"/>
        </w:rPr>
        <w:t xml:space="preserv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F. alnus</w:t>
      </w:r>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F. alnus</w:t>
      </w:r>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572DE">
      <w:pPr>
        <w:spacing w:line="480" w:lineRule="auto"/>
        <w:rPr>
          <w:rFonts w:ascii="Times New Roman" w:hAnsi="Times New Roman" w:cs="Times New Roman"/>
          <w:b/>
          <w:color w:val="7F7F7F" w:themeColor="text1" w:themeTint="80"/>
        </w:rPr>
      </w:pPr>
    </w:p>
    <w:p w14:paraId="2AE7C94D" w14:textId="10ED9807" w:rsidR="0059502B" w:rsidRPr="00695C3B" w:rsidRDefault="0059502B" w:rsidP="005572DE">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alnus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df = </w:t>
      </w:r>
      <w:r w:rsidRPr="00695C3B">
        <w:rPr>
          <w:rFonts w:ascii="Times New Roman" w:hAnsi="Times New Roman" w:cs="Times New Roman"/>
          <w:color w:val="000000" w:themeColor="text1"/>
        </w:rPr>
        <w:lastRenderedPageBreak/>
        <w:t>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F. alnus</w:t>
      </w:r>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F. alnus</w:t>
      </w:r>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572DE">
      <w:pPr>
        <w:spacing w:line="480" w:lineRule="auto"/>
        <w:rPr>
          <w:rFonts w:ascii="Times New Roman" w:hAnsi="Times New Roman" w:cs="Times New Roman"/>
          <w:color w:val="7F7F7F" w:themeColor="text1" w:themeTint="80"/>
        </w:rPr>
      </w:pPr>
    </w:p>
    <w:p w14:paraId="56193C62" w14:textId="4B4A1697" w:rsidR="0059502B" w:rsidRPr="005028DF" w:rsidRDefault="0059502B" w:rsidP="005572DE">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was </w:t>
      </w:r>
      <w:r w:rsidRPr="005028DF">
        <w:rPr>
          <w:rFonts w:ascii="Times New Roman" w:hAnsi="Times New Roman" w:cs="Times New Roman"/>
          <w:color w:val="000000" w:themeColor="text1"/>
        </w:rPr>
        <w:lastRenderedPageBreak/>
        <w:t xml:space="preserve">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F. alnus</w:t>
      </w:r>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F. alnus</w:t>
      </w:r>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572DE">
      <w:pPr>
        <w:spacing w:line="480" w:lineRule="auto"/>
        <w:rPr>
          <w:rFonts w:ascii="Times New Roman" w:hAnsi="Times New Roman" w:cs="Times New Roman"/>
          <w:color w:val="7F7F7F" w:themeColor="text1" w:themeTint="80"/>
        </w:rPr>
      </w:pPr>
    </w:p>
    <w:p w14:paraId="7D9CB6CB" w14:textId="076B256A" w:rsidR="00E54B8D" w:rsidRPr="008A5635" w:rsidRDefault="0059502B" w:rsidP="005572DE">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F. alnus</w:t>
      </w:r>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F. alnus</w:t>
      </w:r>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F. alnus</w:t>
      </w:r>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alnus </w:t>
      </w:r>
      <w:r w:rsidRPr="008A5635">
        <w:rPr>
          <w:rFonts w:ascii="Times New Roman" w:hAnsi="Times New Roman" w:cs="Times New Roman"/>
          <w:color w:val="000000" w:themeColor="text1"/>
        </w:rPr>
        <w:t xml:space="preserve">specimens were </w:t>
      </w:r>
      <w:r w:rsidRPr="008A5635">
        <w:rPr>
          <w:rFonts w:ascii="Times New Roman" w:hAnsi="Times New Roman" w:cs="Times New Roman"/>
          <w:color w:val="000000" w:themeColor="text1"/>
        </w:rPr>
        <w:lastRenderedPageBreak/>
        <w:t xml:space="preserve">collected on average 48 years after at least one of the associated species had been collected in a county. </w:t>
      </w:r>
    </w:p>
    <w:p w14:paraId="5D20F975" w14:textId="77777777" w:rsidR="0059502B" w:rsidRPr="007D5D7A" w:rsidRDefault="0059502B" w:rsidP="005572DE">
      <w:pPr>
        <w:spacing w:line="480" w:lineRule="auto"/>
        <w:rPr>
          <w:rFonts w:ascii="Times New Roman" w:hAnsi="Times New Roman" w:cs="Times New Roman"/>
          <w:color w:val="7F7F7F" w:themeColor="text1" w:themeTint="80"/>
        </w:rPr>
      </w:pPr>
    </w:p>
    <w:p w14:paraId="550EF550" w14:textId="77777777" w:rsidR="0059502B" w:rsidRPr="007D5D7A" w:rsidRDefault="0059502B" w:rsidP="005572DE">
      <w:pPr>
        <w:keepNext/>
        <w:spacing w:line="480" w:lineRule="auto"/>
        <w:rPr>
          <w:color w:val="7F7F7F" w:themeColor="text1" w:themeTint="80"/>
        </w:rPr>
      </w:pPr>
    </w:p>
    <w:p w14:paraId="39E5E8E9" w14:textId="77777777" w:rsidR="0059502B" w:rsidRDefault="0059502B" w:rsidP="005572DE">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893D506" w:rsidR="0059502B" w:rsidRPr="005572DE" w:rsidRDefault="0059502B" w:rsidP="005572DE">
      <w:pPr>
        <w:spacing w:line="480" w:lineRule="auto"/>
        <w:outlineLvl w:val="0"/>
        <w:rPr>
          <w:rFonts w:ascii="Times New Roman" w:hAnsi="Times New Roman" w:cs="Times New Roman"/>
          <w:color w:val="C00000"/>
        </w:rPr>
      </w:pPr>
      <w:r>
        <w:rPr>
          <w:rFonts w:ascii="Times New Roman" w:hAnsi="Times New Roman" w:cs="Times New Roman"/>
          <w:b/>
        </w:rPr>
        <w:lastRenderedPageBreak/>
        <w:t>Discussion</w:t>
      </w:r>
    </w:p>
    <w:p w14:paraId="5A61CD9F" w14:textId="74145053" w:rsidR="0059502B" w:rsidRPr="0076017F" w:rsidRDefault="0059502B" w:rsidP="005572DE">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F. alnus</w:t>
      </w:r>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and evidence that it was planted as an ornamental shrub </w:t>
      </w:r>
      <w:r w:rsidRPr="0076017F">
        <w:rPr>
          <w:rFonts w:ascii="Times New Roman" w:hAnsi="Times New Roman" w:cs="Times New Roman"/>
          <w:color w:val="000000" w:themeColor="text1"/>
        </w:rPr>
        <w:fldChar w:fldCharType="begin" w:fldLock="1"/>
      </w:r>
      <w:r w:rsidR="00715F4C">
        <w:rPr>
          <w:rFonts w:ascii="Times New Roman" w:hAnsi="Times New Roman" w:cs="Times New Roman"/>
          <w:color w:val="000000" w:themeColor="text1"/>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"id" : "ITEM-2", "itemData" : { "author" : [ { "dropping-particle" : "", "family" : "Fernow", "given" : "Bernhard Eduard", "non-dropping-particle" : "", "parse-names" : false, "suffix" : "" }, { "dropping-particle" : "", "family" : "Sudworth", "given" : "George Bishop", "non-dropping-particle" : "", "parse-names" : false, "suffix" : "" }, { "dropping-particle" : "", "family" : "others", "given" : "", "non-dropping-particle" : "", "parse-names" : false, "suffix" : "" } ], "id" : "ITEM-2", "issued" : { "date-parts" : [ [ "1891" ] ] }, "publisher" : "Bell lithographing co.", "title" : "Trees of Washington, DC Compliments of the Forestry division", "type" : "article-journal" }, "uris" : [ "http://www.mendeley.com/documents/?uuid=b4ddcb28-5ed5-4bed-82ac-8ff901fb4cb5" ] } ], "mendeley" : { "formattedCitation" : "(Fernow et al. 1891, Sherff 1912)", "plainTextFormattedCitation" : "(Fernow et al. 1891, Sherff 1912)", "previouslyFormattedCitation" : "(Fernow et al. 1891, Sherff 1912)"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044D75" w:rsidRPr="00044D75">
        <w:rPr>
          <w:rFonts w:ascii="Times New Roman" w:hAnsi="Times New Roman" w:cs="Times New Roman"/>
          <w:noProof/>
          <w:color w:val="000000" w:themeColor="text1"/>
        </w:rPr>
        <w:t>(Fernow et al. 1891, Sherff 1912)</w:t>
      </w:r>
      <w:r w:rsidRPr="0076017F">
        <w:rPr>
          <w:rFonts w:ascii="Times New Roman" w:hAnsi="Times New Roman" w:cs="Times New Roman"/>
          <w:color w:val="000000" w:themeColor="text1"/>
        </w:rPr>
        <w:fldChar w:fldCharType="end"/>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6017F">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"(Barney 2006, Sorrie 2005)", "plainTextFormattedCitation" : "(Barney 2006, Sorrie 2005)", "previouslyFormattedCitation" : "(Sorrie 2005, Barney 2006)"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F. alnus</w:t>
      </w:r>
      <w:r w:rsidRPr="0076017F">
        <w:rPr>
          <w:rFonts w:ascii="Times New Roman" w:hAnsi="Times New Roman" w:cs="Times New Roman"/>
          <w:color w:val="000000" w:themeColor="text1"/>
        </w:rPr>
        <w:t>.</w:t>
      </w:r>
    </w:p>
    <w:p w14:paraId="751A30DD" w14:textId="77777777" w:rsidR="0059502B" w:rsidRPr="007D5D7A" w:rsidRDefault="0059502B" w:rsidP="005572DE">
      <w:pPr>
        <w:spacing w:line="480" w:lineRule="auto"/>
        <w:rPr>
          <w:rFonts w:ascii="Times New Roman" w:hAnsi="Times New Roman" w:cs="Times New Roman"/>
          <w:color w:val="7F7F7F" w:themeColor="text1" w:themeTint="80"/>
        </w:rPr>
      </w:pPr>
    </w:p>
    <w:p w14:paraId="139CE7F7" w14:textId="6B0B41ED" w:rsidR="0059502B" w:rsidRPr="0057656D" w:rsidRDefault="0059502B" w:rsidP="005572DE">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Pr="0057656D">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"(Boakes et al. 2010, Graham et al. 2004, Kadmon et al. 2004, Reddy and D\u00e1valos 2003)", "plainTextFormattedCitation" : "(Boakes et al. 2010, Graham et al. 2004, Kadmon et al. 2004, Reddy and D\u00e1valos 2003)", "previouslyFormattedCitation" : "(Reddy and D\u00e1valos 2003, Graham et al. 2004, Kadmon et al. 2004, Boakes et al.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The primary assumption in this correction method is that native species are in equilibrium with their </w:t>
      </w:r>
      <w:r w:rsidRPr="0057656D">
        <w:rPr>
          <w:rFonts w:ascii="Times New Roman" w:hAnsi="Times New Roman" w:cs="Times New Roman"/>
          <w:color w:val="000000" w:themeColor="text1"/>
        </w:rPr>
        <w:lastRenderedPageBreak/>
        <w:t xml:space="preserve">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as well as affecting plant invasion dynamics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F. alnus</w:t>
      </w:r>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F. alnus</w:t>
      </w:r>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5572DE">
      <w:pPr>
        <w:spacing w:line="480" w:lineRule="auto"/>
        <w:rPr>
          <w:rFonts w:ascii="Times New Roman" w:hAnsi="Times New Roman" w:cs="Times New Roman"/>
          <w:color w:val="000000" w:themeColor="text1"/>
        </w:rPr>
      </w:pPr>
    </w:p>
    <w:p w14:paraId="71C8AB68" w14:textId="2F00E560" w:rsidR="0059502B" w:rsidRPr="0057656D" w:rsidRDefault="00A14954" w:rsidP="005572DE">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F. alnus</w:t>
      </w:r>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alnus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5572DE">
      <w:pPr>
        <w:spacing w:line="480" w:lineRule="auto"/>
        <w:rPr>
          <w:rFonts w:ascii="Times New Roman" w:hAnsi="Times New Roman" w:cs="Times New Roman"/>
          <w:iCs/>
          <w:color w:val="000000" w:themeColor="text1"/>
        </w:rPr>
      </w:pPr>
    </w:p>
    <w:p w14:paraId="327F3071" w14:textId="7FAD721C" w:rsidR="0059502B" w:rsidRPr="00326217" w:rsidRDefault="000A789B" w:rsidP="005572DE">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lastRenderedPageBreak/>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F. alnus</w:t>
      </w:r>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alnus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alnus </w:t>
      </w:r>
      <w:r w:rsidR="0059502B" w:rsidRPr="00326217">
        <w:rPr>
          <w:rFonts w:ascii="Times New Roman" w:hAnsi="Times New Roman" w:cs="Times New Roman"/>
          <w:iCs/>
          <w:color w:val="000000" w:themeColor="text1"/>
        </w:rPr>
        <w:t xml:space="preserve">samples increased more rapidly than those of the associated species (Figures 4B,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 xml:space="preserve">enerally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(Figures 4B, 5B, and 6B). For example, when the cumulative number of records for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Thus, it is difficult to determine if </w:t>
      </w:r>
      <w:r w:rsidR="0059502B" w:rsidRPr="00326217">
        <w:rPr>
          <w:rFonts w:ascii="Times New Roman" w:hAnsi="Times New Roman" w:cs="Times New Roman"/>
          <w:i/>
          <w:iCs/>
          <w:color w:val="000000" w:themeColor="text1"/>
        </w:rPr>
        <w:t>F. alnus</w:t>
      </w:r>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3C6C434B" w14:textId="77777777" w:rsidR="00B03182" w:rsidRDefault="00B03182" w:rsidP="005572DE">
      <w:pPr>
        <w:spacing w:line="480" w:lineRule="auto"/>
        <w:rPr>
          <w:rFonts w:ascii="Times New Roman" w:hAnsi="Times New Roman" w:cs="Times New Roman"/>
          <w:color w:val="000000" w:themeColor="text1"/>
        </w:rPr>
      </w:pPr>
    </w:p>
    <w:p w14:paraId="7BBE4B76" w14:textId="12739C6B" w:rsidR="0059502B" w:rsidRPr="006579D3" w:rsidRDefault="00155963" w:rsidP="005572D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(Figures 5A and 6A).</w:t>
      </w:r>
      <w:r>
        <w:rPr>
          <w:rFonts w:ascii="Times New Roman" w:hAnsi="Times New Roman" w:cs="Times New Roman"/>
          <w:color w:val="000000" w:themeColor="text1"/>
        </w:rPr>
        <w:t xml:space="preserve"> </w:t>
      </w:r>
      <w:r>
        <w:rPr>
          <w:rFonts w:ascii="Times New Roman" w:hAnsi="Times New Roman" w:cs="Times New Roman"/>
          <w:color w:val="000000" w:themeColor="text1"/>
        </w:rPr>
        <w:lastRenderedPageBreak/>
        <w:t>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(Figures 3 and 4A), these patterns suggest that this was a period of high sampling effort, coinciding with the beginning of an intense effort to collect specimens for herbaria </w:t>
      </w:r>
      <w:r w:rsidR="0059502B" w:rsidRPr="006579D3">
        <w:rPr>
          <w:rFonts w:ascii="Times New Roman" w:hAnsi="Times New Roman" w:cs="Times New Roman"/>
          <w:color w:val="000000" w:themeColor="text1"/>
        </w:rPr>
        <w:fldChar w:fldCharType="begin" w:fldLock="1"/>
      </w:r>
      <w:r w:rsidR="00BC652B" w:rsidRPr="006579D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0059502B" w:rsidRPr="006579D3">
        <w:rPr>
          <w:rFonts w:ascii="Times New Roman" w:hAnsi="Times New Roman" w:cs="Times New Roman"/>
          <w:color w:val="000000" w:themeColor="text1"/>
        </w:rPr>
        <w:fldChar w:fldCharType="separate"/>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fldChar w:fldCharType="end"/>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5572DE">
      <w:pPr>
        <w:spacing w:line="480" w:lineRule="auto"/>
        <w:rPr>
          <w:rFonts w:ascii="Times New Roman" w:hAnsi="Times New Roman" w:cs="Times New Roman"/>
          <w:color w:val="7F7F7F" w:themeColor="text1" w:themeTint="80"/>
        </w:rPr>
      </w:pPr>
    </w:p>
    <w:p w14:paraId="1B87366D" w14:textId="55DA0EAC" w:rsidR="0059502B" w:rsidRPr="001F5BC1" w:rsidRDefault="0059502B" w:rsidP="005572DE">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F. alnus</w:t>
      </w:r>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F. alnus</w:t>
      </w:r>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w:t>
      </w:r>
      <w:r w:rsidRPr="001F5BC1">
        <w:rPr>
          <w:rFonts w:ascii="Times New Roman" w:hAnsi="Times New Roman" w:cs="Times New Roman"/>
          <w:iCs/>
          <w:color w:val="000000" w:themeColor="text1"/>
        </w:rPr>
        <w:lastRenderedPageBreak/>
        <w:t xml:space="preserve">collected in 42% (73 of 172) of counties, where as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alnus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5572DE">
      <w:pPr>
        <w:spacing w:line="480" w:lineRule="auto"/>
        <w:rPr>
          <w:rFonts w:ascii="Times New Roman" w:hAnsi="Times New Roman" w:cs="Times New Roman"/>
          <w:color w:val="7F7F7F" w:themeColor="text1" w:themeTint="80"/>
        </w:rPr>
      </w:pPr>
    </w:p>
    <w:p w14:paraId="69A98BB6" w14:textId="6B5A670D" w:rsidR="0059502B" w:rsidRPr="009D1B0B" w:rsidRDefault="0059502B" w:rsidP="005572DE">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F. alnus</w:t>
      </w:r>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alnus </w:t>
      </w:r>
      <w:r w:rsidRPr="009D1B0B">
        <w:rPr>
          <w:rFonts w:ascii="Times New Roman" w:hAnsi="Times New Roman" w:cs="Times New Roman"/>
          <w:iCs/>
          <w:color w:val="000000" w:themeColor="text1"/>
        </w:rPr>
        <w:t xml:space="preserve">records, as is evident in the high variability in both the ratio of growth rates and the ratio of records or occupied area. </w:t>
      </w:r>
    </w:p>
    <w:p w14:paraId="2861A34E" w14:textId="77777777" w:rsidR="0059502B" w:rsidRPr="007D5D7A" w:rsidRDefault="0059502B" w:rsidP="005572DE">
      <w:pPr>
        <w:spacing w:line="480" w:lineRule="auto"/>
        <w:rPr>
          <w:rFonts w:ascii="Times New Roman" w:hAnsi="Times New Roman" w:cs="Times New Roman"/>
          <w:color w:val="7F7F7F" w:themeColor="text1" w:themeTint="80"/>
        </w:rPr>
      </w:pPr>
    </w:p>
    <w:p w14:paraId="44C2A72D" w14:textId="19AF1629" w:rsidR="0059502B" w:rsidRPr="00C77194" w:rsidRDefault="009D1B0B" w:rsidP="005572DE">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alnus</w:t>
      </w:r>
      <w:r w:rsidR="0059502B" w:rsidRPr="0034120F">
        <w:rPr>
          <w:rFonts w:ascii="Times New Roman" w:hAnsi="Times New Roman" w:cs="Times New Roman"/>
          <w:color w:val="000000" w:themeColor="text1"/>
        </w:rPr>
        <w:t xml:space="preserve"> using herbarium records </w:t>
      </w:r>
      <w:r w:rsidR="0059502B" w:rsidRPr="0034120F">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Howell and Blackwell 1977, Larkin 2011)", "plainTextFormattedCitation" : "(Catling and Porebski 1994, Howell and Blackwell 1977, Larkin 2011)", "previouslyFormattedCitation" : "(Howell and Blackwell 1977, Catling and Porebski 1994, Larkin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r w:rsidR="00501AFB" w:rsidRPr="0034120F">
        <w:rPr>
          <w:rFonts w:ascii="Times New Roman" w:hAnsi="Times New Roman" w:cs="Times New Roman"/>
          <w:i/>
          <w:color w:val="000000" w:themeColor="text1"/>
        </w:rPr>
        <w:t>Sturnus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alnus </w:t>
      </w:r>
      <w:r w:rsidR="0059502B" w:rsidRPr="0034120F">
        <w:rPr>
          <w:rFonts w:ascii="Times New Roman" w:hAnsi="Times New Roman" w:cs="Times New Roman"/>
          <w:color w:val="000000" w:themeColor="text1"/>
        </w:rPr>
        <w:t xml:space="preserve">and defecate </w:t>
      </w:r>
      <w:r w:rsidR="0059502B" w:rsidRPr="0034120F">
        <w:rPr>
          <w:rFonts w:ascii="Times New Roman" w:hAnsi="Times New Roman" w:cs="Times New Roman"/>
          <w:color w:val="000000" w:themeColor="text1"/>
        </w:rPr>
        <w:lastRenderedPageBreak/>
        <w:t xml:space="preserve">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first appeared in Ohio. Catling &amp; Porebski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F. alnus</w:t>
      </w:r>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records with that of native </w:t>
      </w:r>
      <w:r w:rsidR="0059502B" w:rsidRPr="0034120F">
        <w:rPr>
          <w:rFonts w:ascii="Times New Roman" w:hAnsi="Times New Roman" w:cs="Times New Roman"/>
          <w:i/>
          <w:color w:val="000000" w:themeColor="text1"/>
        </w:rPr>
        <w:t>Rhamnus alnifolia</w:t>
      </w:r>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59502B" w:rsidRPr="0034120F">
        <w:rPr>
          <w:rFonts w:ascii="Times New Roman" w:hAnsi="Times New Roman" w:cs="Times New Roman"/>
          <w:color w:val="000000" w:themeColor="text1"/>
        </w:rPr>
        <w:fldChar w:fldCharType="begin" w:fldLock="1"/>
      </w:r>
      <w:r w:rsidR="00676FE5">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"plainTextFormattedCitation" : "(Aikio, Richard P. Duncan, et al. 2010)", "previouslyFormattedCitation" : "(Aikio et al. 2010a)"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F. alnus</w:t>
      </w:r>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F. alnus</w:t>
      </w:r>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Pr>
          <w:rFonts w:ascii="Times New Roman" w:hAnsi="Times New Roman" w:cs="Times New Roman"/>
          <w:iCs/>
        </w:rPr>
        <w:fldChar w:fldCharType="begin" w:fldLock="1"/>
      </w:r>
      <w:r w:rsidR="00694B28">
        <w:rPr>
          <w:rFonts w:ascii="Times New Roman" w:hAnsi="Times New Roman" w:cs="Times New Roman"/>
          <w:iCs/>
        </w:rPr>
        <w:instrText>ADDIN CSL_CITATION { "citationItems" : [ { "id" : "ITEM-1", "itemData" : { "DOI" : "10.1093/aob/mcw157", "ISSN" : "0305-7364", "author" : [ { "dropping-particle" : "", "family" : "Kort", "given" : "Hanne", "non-dropping-particle" : "De", "parse-names" : false, "suffix" : "" }, { "dropping-particle" : "", "family" : "Mergeay", "given" : "Joachim", "non-dropping-particle" : "", "parse-names" : false, "suffix" : "" }, { "dropping-particle" : "", "family" : "Jacquemyn", "given" : "Hans", "non-dropping-particle" : "", "parse-names" : false, "suffix" : "" }, { "dropping-particle" : "", "family" : "Honnay", "given" : "Olivier", "non-dropping-particle" : "", "parse-names" : false, "suffix" : "" } ], "container-title" : "Annals of Botany", "id" : "ITEM-1", "issue" : "6", "issued" : { "date-parts" : [ [ "2016", "11" ] ] }, "page" : "1089-1099", "title" : "Transatlantic invasion routes and adaptive potential in North American populations of the invasive glossy buckthorn, Frangula alnus", "type" : "article-journal", "volume" : "118" }, "uris" : [ "http://www.mendeley.com/documents/?uuid=75250ddd-a715-4e89-ab91-7042f89d9259" ] } ], "mendeley" : { "formattedCitation" : "(De Kort et al. 2016)", "plainTextFormattedCitation" : "(De Kort et al. 2016)", "previouslyFormattedCitation" : "(De Kort et al. 2016)" }, "properties" : { "noteIndex" : 0 }, "schema" : "https://github.com/citation-style-language/schema/raw/master/csl-citation.json" }</w:instrText>
      </w:r>
      <w:r w:rsidR="00C77194">
        <w:rPr>
          <w:rFonts w:ascii="Times New Roman" w:hAnsi="Times New Roman" w:cs="Times New Roman"/>
          <w:iCs/>
        </w:rPr>
        <w:fldChar w:fldCharType="separate"/>
      </w:r>
      <w:r w:rsidR="00C77194" w:rsidRPr="00C77194">
        <w:rPr>
          <w:rFonts w:ascii="Times New Roman" w:hAnsi="Times New Roman" w:cs="Times New Roman"/>
          <w:iCs/>
          <w:noProof/>
        </w:rPr>
        <w:t>(De Kort et al. 2016)</w:t>
      </w:r>
      <w:r w:rsidR="00C77194">
        <w:rPr>
          <w:rFonts w:ascii="Times New Roman" w:hAnsi="Times New Roman" w:cs="Times New Roman"/>
          <w:iCs/>
        </w:rPr>
        <w:fldChar w:fldCharType="end"/>
      </w:r>
      <w:r w:rsidR="00C77194">
        <w:rPr>
          <w:rFonts w:ascii="Times New Roman" w:hAnsi="Times New Roman" w:cs="Times New Roman"/>
          <w:iCs/>
        </w:rPr>
        <w:t>.</w:t>
      </w:r>
    </w:p>
    <w:p w14:paraId="7A9439E4" w14:textId="77777777" w:rsidR="0059502B" w:rsidRPr="007D5D7A" w:rsidRDefault="0059502B" w:rsidP="005572DE">
      <w:pPr>
        <w:spacing w:line="480" w:lineRule="auto"/>
        <w:rPr>
          <w:rFonts w:ascii="Times New Roman" w:hAnsi="Times New Roman" w:cs="Times New Roman"/>
          <w:color w:val="7F7F7F" w:themeColor="text1" w:themeTint="80"/>
        </w:rPr>
      </w:pPr>
    </w:p>
    <w:p w14:paraId="172EF224" w14:textId="7BDA93F7" w:rsidR="0059502B" w:rsidRPr="00D51344" w:rsidRDefault="0059502B" w:rsidP="005572DE">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F. alnus</w:t>
      </w:r>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F. alnus</w:t>
      </w:r>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D51344">
        <w:rPr>
          <w:rFonts w:ascii="Times New Roman" w:hAnsi="Times New Roman" w:cs="Times New Roman"/>
          <w:i/>
          <w:iCs/>
          <w:color w:val="000000" w:themeColor="text1"/>
        </w:rPr>
        <w:t>F. alnus</w:t>
      </w:r>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and disturbed plots within a urban or suburban land-use matrix (personal observation;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alnus </w:t>
      </w:r>
      <w:r w:rsidRPr="00D51344">
        <w:rPr>
          <w:rFonts w:ascii="Times New Roman" w:hAnsi="Times New Roman" w:cs="Times New Roman"/>
          <w:iCs/>
          <w:color w:val="000000" w:themeColor="text1"/>
        </w:rPr>
        <w:t>is unlikely.</w:t>
      </w:r>
    </w:p>
    <w:p w14:paraId="7F0BFAE8" w14:textId="77777777" w:rsidR="0059502B" w:rsidRPr="007D5D7A" w:rsidRDefault="0059502B" w:rsidP="005572DE">
      <w:pPr>
        <w:spacing w:line="480" w:lineRule="auto"/>
        <w:rPr>
          <w:rFonts w:ascii="Times New Roman" w:hAnsi="Times New Roman" w:cs="Times New Roman"/>
          <w:color w:val="7F7F7F" w:themeColor="text1" w:themeTint="80"/>
        </w:rPr>
      </w:pPr>
    </w:p>
    <w:p w14:paraId="5B9DF374" w14:textId="4198A8DE" w:rsidR="00667C6D" w:rsidRPr="00741A92" w:rsidRDefault="00D51344" w:rsidP="005572DE">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 xml:space="preserve">ost herbaria do not have electronic databases of their holdings that are easily accessed by the public (i.e., a web-base search interface) and many do not have a complete electronic database of records within the institution </w:t>
      </w:r>
      <w:r w:rsidR="0059502B" w:rsidRPr="00741A92">
        <w:rPr>
          <w:rFonts w:ascii="Times New Roman" w:hAnsi="Times New Roman" w:cs="Times New Roman"/>
          <w:color w:val="000000" w:themeColor="text1"/>
        </w:rPr>
        <w:fldChar w:fldCharType="begin" w:fldLock="1"/>
      </w:r>
      <w:r w:rsidR="00BC652B" w:rsidRPr="00741A92">
        <w:rPr>
          <w:rFonts w:ascii="Times New Roman" w:hAnsi="Times New Roman" w:cs="Times New Roman"/>
          <w:color w:val="000000" w:themeColor="text1"/>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0059502B" w:rsidRPr="00741A92">
        <w:rPr>
          <w:rFonts w:ascii="Times New Roman" w:hAnsi="Times New Roman" w:cs="Times New Roman"/>
          <w:color w:val="000000" w:themeColor="text1"/>
        </w:rPr>
        <w:fldChar w:fldCharType="separate"/>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fldChar w:fldCharType="end"/>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F. alnus</w:t>
      </w:r>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 xml:space="preserve">Future analyses that involve even greater </w:t>
      </w:r>
      <w:r w:rsidR="00667C6D" w:rsidRPr="00741A92">
        <w:rPr>
          <w:rFonts w:ascii="Times New Roman" w:hAnsi="Times New Roman" w:cs="Times New Roman"/>
          <w:color w:val="000000" w:themeColor="text1"/>
        </w:rPr>
        <w:lastRenderedPageBreak/>
        <w:t xml:space="preserve">effort in gathering herbarium specimens could increase the accuracy of my results, particularly providing a more accurate area of extent, but the trends presented here are very likely to hold up. </w:t>
      </w:r>
    </w:p>
    <w:p w14:paraId="32093385" w14:textId="77777777" w:rsidR="0059502B" w:rsidRPr="007D5D7A" w:rsidRDefault="0059502B" w:rsidP="005572DE">
      <w:pPr>
        <w:spacing w:line="480" w:lineRule="auto"/>
        <w:rPr>
          <w:rFonts w:ascii="Times New Roman" w:hAnsi="Times New Roman" w:cs="Times New Roman"/>
          <w:b/>
          <w:color w:val="7F7F7F" w:themeColor="text1" w:themeTint="80"/>
        </w:rPr>
      </w:pPr>
    </w:p>
    <w:p w14:paraId="260A43B1"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5572DE">
      <w:pPr>
        <w:spacing w:line="480" w:lineRule="auto"/>
        <w:outlineLvl w:val="0"/>
        <w:rPr>
          <w:rFonts w:ascii="Times New Roman" w:hAnsi="Times New Roman" w:cs="Times New Roman"/>
        </w:rPr>
      </w:pPr>
      <w:r>
        <w:rPr>
          <w:rFonts w:ascii="Times New Roman" w:hAnsi="Times New Roman" w:cs="Times New Roman"/>
          <w:b/>
        </w:rPr>
        <w:lastRenderedPageBreak/>
        <w:t>Conclusions</w:t>
      </w:r>
      <w:bookmarkStart w:id="2" w:name="_GoBack"/>
      <w:bookmarkEnd w:id="2"/>
    </w:p>
    <w:p w14:paraId="17774EE7" w14:textId="205DD44F" w:rsidR="0059502B" w:rsidRDefault="00741A92" w:rsidP="005572DE">
      <w:pPr>
        <w:spacing w:line="480" w:lineRule="auto"/>
        <w:ind w:firstLine="720"/>
        <w:rPr>
          <w:rFonts w:ascii="Times New Roman" w:hAnsi="Times New Roman" w:cs="Times New Roman"/>
        </w:rPr>
      </w:pPr>
      <w:r>
        <w:rPr>
          <w:rFonts w:ascii="Times New Roman" w:hAnsi="Times New Roman" w:cs="Times New Roman"/>
        </w:rPr>
        <w:t xml:space="preserve">These results clearly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F. alnus</w:t>
      </w:r>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F. alnus</w:t>
      </w:r>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F. alnus</w:t>
      </w:r>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59502B">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sidR="0059502B">
        <w:rPr>
          <w:rFonts w:ascii="Times New Roman" w:hAnsi="Times New Roman" w:cs="Times New Roman"/>
          <w:iCs/>
        </w:rPr>
        <w:fldChar w:fldCharType="separate"/>
      </w:r>
      <w:r w:rsidR="004B34D5" w:rsidRPr="004B34D5">
        <w:rPr>
          <w:rFonts w:ascii="Times New Roman" w:hAnsi="Times New Roman" w:cs="Times New Roman"/>
          <w:iCs/>
          <w:noProof/>
        </w:rPr>
        <w:t>(Larkin 2011)</w:t>
      </w:r>
      <w:r w:rsidR="0059502B">
        <w:rPr>
          <w:rFonts w:ascii="Times New Roman" w:hAnsi="Times New Roman" w:cs="Times New Roman"/>
          <w:iCs/>
        </w:rPr>
        <w:fldChar w:fldCharType="end"/>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likely vary depending on scale and local ecological conditions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(Theoharides and Dukes 2007)</w:t>
      </w:r>
      <w:r w:rsidR="0059502B">
        <w:rPr>
          <w:rFonts w:ascii="Times New Roman" w:hAnsi="Times New Roman" w:cs="Times New Roman"/>
        </w:rPr>
        <w:fldChar w:fldCharType="end"/>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59502B">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0943D0E7" w:rsidR="0059502B" w:rsidRDefault="001A09E5" w:rsidP="007E79E2">
      <w:pPr>
        <w:outlineLvl w:val="0"/>
        <w:rPr>
          <w:rFonts w:ascii="Times New Roman" w:hAnsi="Times New Roman" w:cs="Times New Roman"/>
          <w:b/>
        </w:rPr>
      </w:pPr>
      <w:r>
        <w:rPr>
          <w:rFonts w:ascii="Times New Roman" w:hAnsi="Times New Roman" w:cs="Times New Roman"/>
          <w:b/>
        </w:rPr>
        <w:t>Literature Cited</w:t>
      </w:r>
    </w:p>
    <w:p w14:paraId="41BE35D8" w14:textId="4C6F519C" w:rsidR="00676FE5" w:rsidRPr="00676FE5" w:rsidRDefault="00BB62A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676FE5" w:rsidRPr="00676FE5">
        <w:rPr>
          <w:rFonts w:ascii="Times New Roman" w:eastAsia="Times New Roman" w:hAnsi="Times New Roman" w:cs="Times New Roman"/>
          <w:smallCaps/>
          <w:noProof/>
        </w:rPr>
        <w:t>Aikio, S., R. P. Duncan, and P. E. Hulme</w:t>
      </w:r>
      <w:r w:rsidR="00676FE5" w:rsidRPr="00676FE5">
        <w:rPr>
          <w:rFonts w:ascii="Times New Roman" w:eastAsia="Times New Roman" w:hAnsi="Times New Roman" w:cs="Times New Roman"/>
          <w:noProof/>
        </w:rPr>
        <w:t>. 2010. Lag-phases in alien plant invasions: separating the facts from the artefacts. Oikos 119:370–378. Retrieved March 7, 2013, from Oikos. &lt;http://doi.wiley.com/10.1111/j.1600-0706.2009.17963.x&gt;.</w:t>
      </w:r>
    </w:p>
    <w:p w14:paraId="392477CF"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Aikio, S., R. P. Duncan, and P. E. Hulme</w:t>
      </w:r>
      <w:r w:rsidRPr="00676FE5">
        <w:rPr>
          <w:rFonts w:ascii="Times New Roman" w:eastAsia="Times New Roman" w:hAnsi="Times New Roman" w:cs="Times New Roman"/>
          <w:noProof/>
        </w:rPr>
        <w:t>. 2010. Herbarium records identify the role of long-distance spread in the spatial distribution of alien plants in New Zealand. J. Biogeogr. 37:1740–1751. Blackwell Science Ltd. Retrieved April 3, 2013, from Journal of Biogeography. &lt;http://doi.wiley.com/10.1111/j.1365-2699.2010.02329.x&gt;.</w:t>
      </w:r>
    </w:p>
    <w:p w14:paraId="47151FF5"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Barney, J. N.</w:t>
      </w:r>
      <w:r w:rsidRPr="00676FE5">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Retrieved April 28, 2013, from Biological Invasions. &lt;http://link.springer.com/10.1007/s10530-005-3174-9&gt;.</w:t>
      </w:r>
    </w:p>
    <w:p w14:paraId="1077D917"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BioGeomancer Consortium</w:t>
      </w:r>
      <w:r w:rsidRPr="00676FE5">
        <w:rPr>
          <w:rFonts w:ascii="Times New Roman" w:eastAsia="Times New Roman" w:hAnsi="Times New Roman" w:cs="Times New Roman"/>
          <w:noProof/>
        </w:rPr>
        <w:t>. 2006. Guide to Best Practices for Georeferencing. Page (A. D. Chapman and J. Wieczorek, Eds.). Global Biodiversity Information Facility, Copenhagen. Retrieved from &lt;http://scholar.google.com/scholar?q=related:tMogcSCUg5YJ:scholar.google.com/&amp;hl=en&amp;num=30&amp;as_sdt=0,5&gt;.</w:t>
      </w:r>
    </w:p>
    <w:p w14:paraId="60D00E16"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Boakes, E. H., P. J. K. McGowan, R. A. Fuller, D. Chang-qing, N. E. Clark, K. O’Connor, and G. M. Mace</w:t>
      </w:r>
      <w:r w:rsidRPr="00676FE5">
        <w:rPr>
          <w:rFonts w:ascii="Times New Roman" w:eastAsia="Times New Roman" w:hAnsi="Times New Roman" w:cs="Times New Roman"/>
          <w:noProof/>
        </w:rPr>
        <w:t>. 2010. Distorted views of biodiversity: spatial and temporal bias in species occurrence data. PLoS Biol. 8:e1000385. Public Library of Science, Natural Environment Research Council Centre for Population Biology, Imperial College, Berkshire, United Kingdom. e.h.boakes@imperial.ac.uk. Retrieved from PLoS Biology. &lt;http://eutils.ncbi.nlm.nih.gov/entrez/eutils/elink.fcgi?dbfrom=pubmed&amp;id=20532234&amp;retmode=ref&amp;cmd=prlinks&gt;.</w:t>
      </w:r>
    </w:p>
    <w:p w14:paraId="28B94DD1"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Catling, P. M., and Z. S. Porebski</w:t>
      </w:r>
      <w:r w:rsidRPr="00676FE5">
        <w:rPr>
          <w:rFonts w:ascii="Times New Roman" w:eastAsia="Times New Roman" w:hAnsi="Times New Roman" w:cs="Times New Roman"/>
          <w:noProof/>
        </w:rPr>
        <w:t xml:space="preserve">. 1994. The history of invasion and current status of glossy buckthorn, </w:t>
      </w:r>
      <w:r w:rsidRPr="00676FE5">
        <w:rPr>
          <w:rFonts w:ascii="Times New Roman" w:eastAsia="Times New Roman" w:hAnsi="Times New Roman" w:cs="Times New Roman"/>
          <w:i/>
          <w:iCs/>
          <w:noProof/>
        </w:rPr>
        <w:t>Rhamnus frangula</w:t>
      </w:r>
      <w:r w:rsidRPr="00676FE5">
        <w:rPr>
          <w:rFonts w:ascii="Times New Roman" w:eastAsia="Times New Roman" w:hAnsi="Times New Roman" w:cs="Times New Roman"/>
          <w:noProof/>
        </w:rPr>
        <w:t>, in southern Ontario. Can. field-naturalist 108:305–310. Retrieved from Canadian field-naturalist. &lt;http://www.csa.com/partners/viewrecord.php?requester=gs&amp;collection=ENV&amp;recid=3759742&gt;.</w:t>
      </w:r>
    </w:p>
    <w:p w14:paraId="67EB0D03"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Crawford, P. H. C., and B. W. Hoagland</w:t>
      </w:r>
      <w:r w:rsidRPr="00676FE5">
        <w:rPr>
          <w:rFonts w:ascii="Times New Roman" w:eastAsia="Times New Roman" w:hAnsi="Times New Roman" w:cs="Times New Roman"/>
          <w:noProof/>
        </w:rPr>
        <w:t>. 2009. Can herbarium records be used to map alien species invasion and native species expansion over the past 100 years? J. Biogeogr. 36:651–661. Retrieved March 1, 2013, from Journal of Biogeography. &lt;http://doi.wiley.com/10.1111/j.1365-2699.2008.02043.x&gt;.</w:t>
      </w:r>
    </w:p>
    <w:p w14:paraId="3F5F0DDF"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Crooks, J.</w:t>
      </w:r>
      <w:r w:rsidRPr="00676FE5">
        <w:rPr>
          <w:rFonts w:ascii="Times New Roman" w:eastAsia="Times New Roman" w:hAnsi="Times New Roman" w:cs="Times New Roman"/>
          <w:noProof/>
        </w:rPr>
        <w:t xml:space="preserve"> 2005. Lag times and exotic species: the ecology and management of biological invasions in slow-motion. Ecoscience 12:316–329. Retrieved February 16, 2014, from Ecoscience. &lt;http://www.bioone.org/doi/abs/10.2980/i1195-6860-12-3-316.1&gt;.</w:t>
      </w:r>
    </w:p>
    <w:p w14:paraId="3CA3FF6D"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Crooks, J. A., and M. E. Soulé</w:t>
      </w:r>
      <w:r w:rsidRPr="00676FE5">
        <w:rPr>
          <w:rFonts w:ascii="Times New Roman" w:eastAsia="Times New Roman" w:hAnsi="Times New Roman" w:cs="Times New Roman"/>
          <w:noProof/>
        </w:rPr>
        <w:t>. 1999. Lag times in population explosions of invasive species: causes and implications. Pages 103–125</w:t>
      </w:r>
      <w:r w:rsidRPr="00676FE5">
        <w:rPr>
          <w:rFonts w:ascii="Times New Roman" w:eastAsia="Times New Roman" w:hAnsi="Times New Roman" w:cs="Times New Roman"/>
          <w:i/>
          <w:iCs/>
          <w:noProof/>
        </w:rPr>
        <w:t>In</w:t>
      </w:r>
      <w:r w:rsidRPr="00676FE5">
        <w:rPr>
          <w:rFonts w:ascii="Times New Roman" w:eastAsia="Times New Roman" w:hAnsi="Times New Roman" w:cs="Times New Roman"/>
          <w:noProof/>
        </w:rPr>
        <w:t xml:space="preserve"> O. T. Sandlund, P. J. Schei, and A. Viken [eds.],Invasive species and biodiversity management. Kluwer Academic Dordrecht, The Netherlands.</w:t>
      </w:r>
    </w:p>
    <w:p w14:paraId="7A8AC326"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Cunard, C., and T. D. Lee</w:t>
      </w:r>
      <w:r w:rsidRPr="00676FE5">
        <w:rPr>
          <w:rFonts w:ascii="Times New Roman" w:eastAsia="Times New Roman" w:hAnsi="Times New Roman" w:cs="Times New Roman"/>
          <w:noProof/>
        </w:rPr>
        <w:t>. 2008. Is patience a virtue? Succession, light, and the death of invasive glossy buckthorn (</w:t>
      </w:r>
      <w:r w:rsidRPr="00676FE5">
        <w:rPr>
          <w:rFonts w:ascii="Times New Roman" w:eastAsia="Times New Roman" w:hAnsi="Times New Roman" w:cs="Times New Roman"/>
          <w:i/>
          <w:iCs/>
          <w:noProof/>
        </w:rPr>
        <w:t>Frangula alnus</w:t>
      </w:r>
      <w:r w:rsidRPr="00676FE5">
        <w:rPr>
          <w:rFonts w:ascii="Times New Roman" w:eastAsia="Times New Roman" w:hAnsi="Times New Roman" w:cs="Times New Roman"/>
          <w:noProof/>
        </w:rPr>
        <w:t xml:space="preserve">). Biol. Invasions 11:577–586. Retrieved from </w:t>
      </w:r>
      <w:r w:rsidRPr="00676FE5">
        <w:rPr>
          <w:rFonts w:ascii="Times New Roman" w:eastAsia="Times New Roman" w:hAnsi="Times New Roman" w:cs="Times New Roman"/>
          <w:noProof/>
        </w:rPr>
        <w:lastRenderedPageBreak/>
        <w:t>Biological Invasions. &lt;http://www.springerlink.com/index/10.1007/s10530-008-9272-8&gt;.</w:t>
      </w:r>
    </w:p>
    <w:p w14:paraId="386D7EBE"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Delisle, F., C. Lavoie, M. Jean, and D. Lachance</w:t>
      </w:r>
      <w:r w:rsidRPr="00676FE5">
        <w:rPr>
          <w:rFonts w:ascii="Times New Roman" w:eastAsia="Times New Roman" w:hAnsi="Times New Roman" w:cs="Times New Roman"/>
          <w:noProof/>
        </w:rPr>
        <w:t>. 2003. Reconstructing the spread of invasive plants: taking into account biases associated with herbarium specimens. J. Biogeogr. 30:1033–1042. Blackwell Science Ltd. Retrieved from Journal of Biogeography. &lt;http://onlinelibrary.wiley.com/doi/10.1046/j.1365-2699.2003.00897.x/full&gt;.</w:t>
      </w:r>
    </w:p>
    <w:p w14:paraId="5BA41544"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Fagan, M. E., and D. R. Peart</w:t>
      </w:r>
      <w:r w:rsidRPr="00676FE5">
        <w:rPr>
          <w:rFonts w:ascii="Times New Roman" w:eastAsia="Times New Roman" w:hAnsi="Times New Roman" w:cs="Times New Roman"/>
          <w:noProof/>
        </w:rPr>
        <w:t>. 2004. Impact of the invasive shrub glossy buckthorn (</w:t>
      </w:r>
      <w:r w:rsidRPr="00676FE5">
        <w:rPr>
          <w:rFonts w:ascii="Times New Roman" w:eastAsia="Times New Roman" w:hAnsi="Times New Roman" w:cs="Times New Roman"/>
          <w:i/>
          <w:iCs/>
          <w:noProof/>
        </w:rPr>
        <w:t>Rhamnus frangula</w:t>
      </w:r>
      <w:r w:rsidRPr="00676FE5">
        <w:rPr>
          <w:rFonts w:ascii="Times New Roman" w:eastAsia="Times New Roman" w:hAnsi="Times New Roman" w:cs="Times New Roman"/>
          <w:noProof/>
        </w:rPr>
        <w:t xml:space="preserve"> L.) on juvenile recruitment by canopy trees. For. Ecol. Manage. 194:95–107. Retrieved from Forest Ecology and Management. &lt;http://linkinghub.elsevier.com/retrieve/pii/S0378112704001367&gt;.</w:t>
      </w:r>
    </w:p>
    <w:p w14:paraId="40D0AE2A"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Fernow, B. E., G. B. Sudworth, and others</w:t>
      </w:r>
      <w:r w:rsidRPr="00676FE5">
        <w:rPr>
          <w:rFonts w:ascii="Times New Roman" w:eastAsia="Times New Roman" w:hAnsi="Times New Roman" w:cs="Times New Roman"/>
          <w:noProof/>
        </w:rPr>
        <w:t>. 1891. Trees of Washington, DC Compliments of the Forestry division. Bell lithographing co.</w:t>
      </w:r>
    </w:p>
    <w:p w14:paraId="20B660A5"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Frappier, B., R. T. Eckert, and T. D. Lee</w:t>
      </w:r>
      <w:r w:rsidRPr="00676FE5">
        <w:rPr>
          <w:rFonts w:ascii="Times New Roman" w:eastAsia="Times New Roman" w:hAnsi="Times New Roman" w:cs="Times New Roman"/>
          <w:noProof/>
        </w:rPr>
        <w:t>. 2003. Potential impacts of the invasive exotic shrub Rhamnus frangula L. (glossy buckthorn) on forests of southern New Hampshire. Northeast. Nat. 10:277–296. BioOne. Retrieved from Northeastern Naturalist. &lt;http://www.bioone.org/doi/abs/10.1656/1092-6194(2003)010[0277:PIOTIE]2.0.CO;2&gt;.</w:t>
      </w:r>
    </w:p>
    <w:p w14:paraId="0FA6563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Garcia-Milagros, E., and V. A. Funk</w:t>
      </w:r>
      <w:r w:rsidRPr="00676FE5">
        <w:rPr>
          <w:rFonts w:ascii="Times New Roman" w:eastAsia="Times New Roman" w:hAnsi="Times New Roman" w:cs="Times New Roman"/>
          <w:noProof/>
        </w:rPr>
        <w:t>. 2010. Improving the use of information from museum specimens: using Google Earth© to georeference Guiana Shield specimens in the US National Herbarium. Front. Biogeogr. 2:71–77. Retrieved from Frontiers of Biogeography. &lt;http://www.biogeography.org/html/fb/FBv02i03/FBv02i03p71_Garcia-Milagros.pdf&gt;.</w:t>
      </w:r>
    </w:p>
    <w:p w14:paraId="7B452469"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Godwin, H.</w:t>
      </w:r>
      <w:r w:rsidRPr="00676FE5">
        <w:rPr>
          <w:rFonts w:ascii="Times New Roman" w:eastAsia="Times New Roman" w:hAnsi="Times New Roman" w:cs="Times New Roman"/>
          <w:noProof/>
        </w:rPr>
        <w:t xml:space="preserve"> 1943. </w:t>
      </w:r>
      <w:r w:rsidRPr="00676FE5">
        <w:rPr>
          <w:rFonts w:ascii="Times New Roman" w:eastAsia="Times New Roman" w:hAnsi="Times New Roman" w:cs="Times New Roman"/>
          <w:i/>
          <w:iCs/>
          <w:noProof/>
        </w:rPr>
        <w:t>Frangula alnus</w:t>
      </w:r>
      <w:r w:rsidRPr="00676FE5">
        <w:rPr>
          <w:rFonts w:ascii="Times New Roman" w:eastAsia="Times New Roman" w:hAnsi="Times New Roman" w:cs="Times New Roman"/>
          <w:noProof/>
        </w:rPr>
        <w:t xml:space="preserve"> Miller. J. Ecol. 31:77–92. JSTOR. Retrieved from Journal of Ecology. &lt;http://www.jstor.org/stable/10.2307/2256793&gt;.</w:t>
      </w:r>
    </w:p>
    <w:p w14:paraId="2692BA1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Graham, C. H., S. Ferrier, F. Huettman, C. Moritz, and A. T. Peterson</w:t>
      </w:r>
      <w:r w:rsidRPr="00676FE5">
        <w:rPr>
          <w:rFonts w:ascii="Times New Roman" w:eastAsia="Times New Roman" w:hAnsi="Times New Roman" w:cs="Times New Roman"/>
          <w:noProof/>
        </w:rPr>
        <w:t>. 2004. New developments in museum-based informatics and applications in biodiversity analysis. Trends Ecol. Evol. 19:497–503. Elsevier Ltd. Retrieved from Trends in Ecology &amp; Evolution. &lt;http://linkinghub.elsevier.com/retrieve/pii/S0169534704002034&gt;.</w:t>
      </w:r>
    </w:p>
    <w:p w14:paraId="65F9FE9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Gurevitch, J., G. A. Fox, G. M. Wardle, Inderjit, and D. Taub</w:t>
      </w:r>
      <w:r w:rsidRPr="00676FE5">
        <w:rPr>
          <w:rFonts w:ascii="Times New Roman" w:eastAsia="Times New Roman" w:hAnsi="Times New Roman" w:cs="Times New Roman"/>
          <w:noProof/>
        </w:rPr>
        <w:t>. 2011. Emergent insights from the synthesis of conceptual frameworks for biological invasions. Ecol. Lett. 14:407–418. Retrieved from Ecology Letters. &lt;http://doi.wiley.com/10.1111/j.1461-0248.2011.01594.x&gt;.</w:t>
      </w:r>
    </w:p>
    <w:p w14:paraId="42A7BDF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Hijmans, R. J.</w:t>
      </w:r>
      <w:r w:rsidRPr="00676FE5">
        <w:rPr>
          <w:rFonts w:ascii="Times New Roman" w:eastAsia="Times New Roman" w:hAnsi="Times New Roman" w:cs="Times New Roman"/>
          <w:noProof/>
        </w:rPr>
        <w:t xml:space="preserve"> 2012. Introduction to the’raster’package (version 2.0-08). R. Retrieved from &lt;http://probability.ca/cran/web/packages/raster/vignettes/Raster.pdf&gt;.</w:t>
      </w:r>
    </w:p>
    <w:p w14:paraId="382F9CE6"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Hijmans, R. J., K. A. Garrett, Z. Huaman, D. P. Zhang, M. Schreuder, and M. Bonierbale</w:t>
      </w:r>
      <w:r w:rsidRPr="00676FE5">
        <w:rPr>
          <w:rFonts w:ascii="Times New Roman" w:eastAsia="Times New Roman" w:hAnsi="Times New Roman" w:cs="Times New Roman"/>
          <w:noProof/>
        </w:rPr>
        <w:t>. 2000. Assessing the geographic representativeness of genebank collections: the case of Bolivian wild potatoes. Conserv. Biol. 14:1755–1765. Blackwell Science Inc. Retrieved from Conservation Biology. &lt;http://onlinelibrary.wiley.com/doi/10.1111/j.1523-1739.2000.98543.x/full&gt;.</w:t>
      </w:r>
    </w:p>
    <w:p w14:paraId="15A2FA2D"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Hijmans, R. J., S. J. Phillips, J. R. Leathwick, and J. Elith</w:t>
      </w:r>
      <w:r w:rsidRPr="00676FE5">
        <w:rPr>
          <w:rFonts w:ascii="Times New Roman" w:eastAsia="Times New Roman" w:hAnsi="Times New Roman" w:cs="Times New Roman"/>
          <w:noProof/>
        </w:rPr>
        <w:t>. 2013. dismo: Species distribution modeling. R.</w:t>
      </w:r>
    </w:p>
    <w:p w14:paraId="286442ED"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Houlahan, J. E., and С. S. Findlay</w:t>
      </w:r>
      <w:r w:rsidRPr="00676FE5">
        <w:rPr>
          <w:rFonts w:ascii="Times New Roman" w:eastAsia="Times New Roman" w:hAnsi="Times New Roman" w:cs="Times New Roman"/>
          <w:noProof/>
        </w:rPr>
        <w:t>. 2004. Effect of invasive plant species on temperate wetland paint diversity. Conserv. Biol. 18:1132–1138. Blackwell Science Inc. Retrieved from Conservation Biology. &lt;http://scholar.google.com/scholar?q=related:urUkz6nEodgJ:scholar.google.com/&amp;hl=en&amp;</w:t>
      </w:r>
      <w:r w:rsidRPr="00676FE5">
        <w:rPr>
          <w:rFonts w:ascii="Times New Roman" w:eastAsia="Times New Roman" w:hAnsi="Times New Roman" w:cs="Times New Roman"/>
          <w:noProof/>
        </w:rPr>
        <w:lastRenderedPageBreak/>
        <w:t>num=30&amp;as_sdt=0,5&gt;.</w:t>
      </w:r>
    </w:p>
    <w:p w14:paraId="296848E1"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Howell, J. A., and W. H. J. Blackwell</w:t>
      </w:r>
      <w:r w:rsidRPr="00676FE5">
        <w:rPr>
          <w:rFonts w:ascii="Times New Roman" w:eastAsia="Times New Roman" w:hAnsi="Times New Roman" w:cs="Times New Roman"/>
          <w:noProof/>
        </w:rPr>
        <w:t xml:space="preserve">. 1977. The history of </w:t>
      </w:r>
      <w:r w:rsidRPr="00676FE5">
        <w:rPr>
          <w:rFonts w:ascii="Times New Roman" w:eastAsia="Times New Roman" w:hAnsi="Times New Roman" w:cs="Times New Roman"/>
          <w:i/>
          <w:iCs/>
          <w:noProof/>
        </w:rPr>
        <w:t>Rhamnus frangula</w:t>
      </w:r>
      <w:r w:rsidRPr="00676FE5">
        <w:rPr>
          <w:rFonts w:ascii="Times New Roman" w:eastAsia="Times New Roman" w:hAnsi="Times New Roman" w:cs="Times New Roman"/>
          <w:noProof/>
        </w:rPr>
        <w:t xml:space="preserve"> (glossy buckthorn) in the Ohio flora. Castanea 42:111–115. JSTOR. Retrieved from Castanea. &lt;http://www.jstor.org/stable/10.2307/4032689&gt;.</w:t>
      </w:r>
    </w:p>
    <w:p w14:paraId="20C09DDB"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Kadmon, R., O. Farber, and A. Danin</w:t>
      </w:r>
      <w:r w:rsidRPr="00676FE5">
        <w:rPr>
          <w:rFonts w:ascii="Times New Roman" w:eastAsia="Times New Roman" w:hAnsi="Times New Roman" w:cs="Times New Roman"/>
          <w:noProof/>
        </w:rPr>
        <w:t>. 2004. Effect of roadside bias on the accuracy of predictive maps produced by bioclimatic models. Ecol. Appl. 14:401–413. Ecological Society of America . Retrieved from Ecological Applications. &lt;http://www.esajournals.org/doi/abs/10.1890/02-5364&gt;.</w:t>
      </w:r>
    </w:p>
    <w:p w14:paraId="1874A44A"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Keitt, T. H., R. Bivand, and B. Rowlingson</w:t>
      </w:r>
      <w:r w:rsidRPr="00676FE5">
        <w:rPr>
          <w:rFonts w:ascii="Times New Roman" w:eastAsia="Times New Roman" w:hAnsi="Times New Roman" w:cs="Times New Roman"/>
          <w:noProof/>
        </w:rPr>
        <w:t>. 2012. rgdal. R. Retrieved from &lt;http://cran.r-project.org/web/packages/rgdal/rgdal.pdf&gt;.</w:t>
      </w:r>
    </w:p>
    <w:p w14:paraId="4DCF7A8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De Kort, H., J. Mergeay, H. Jacquemyn, and O. Honnay</w:t>
      </w:r>
      <w:r w:rsidRPr="00676FE5">
        <w:rPr>
          <w:rFonts w:ascii="Times New Roman" w:eastAsia="Times New Roman" w:hAnsi="Times New Roman" w:cs="Times New Roman"/>
          <w:noProof/>
        </w:rPr>
        <w:t>. 2016. Transatlantic invasion routes and adaptive potential in North American populations of the invasive glossy buckthorn, Frangula alnus. Ann. Bot. 118:1089–1099. Retrieved from Annals of Botany. &lt;http://aob.oxfordjournals.org/lookup/doi/10.1093/aob/mcw157&gt;.</w:t>
      </w:r>
    </w:p>
    <w:p w14:paraId="2B9C907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Kowarik, I.</w:t>
      </w:r>
      <w:r w:rsidRPr="00676FE5">
        <w:rPr>
          <w:rFonts w:ascii="Times New Roman" w:eastAsia="Times New Roman" w:hAnsi="Times New Roman" w:cs="Times New Roman"/>
          <w:noProof/>
        </w:rPr>
        <w:t xml:space="preserve"> 1995. Time lags in biological invasions with regard to success and failure of alien species. Page </w:t>
      </w:r>
      <w:r w:rsidRPr="00676FE5">
        <w:rPr>
          <w:rFonts w:ascii="Times New Roman" w:eastAsia="Times New Roman" w:hAnsi="Times New Roman" w:cs="Times New Roman"/>
          <w:i/>
          <w:iCs/>
          <w:noProof/>
        </w:rPr>
        <w:t>In</w:t>
      </w:r>
      <w:r w:rsidRPr="00676FE5">
        <w:rPr>
          <w:rFonts w:ascii="Times New Roman" w:eastAsia="Times New Roman" w:hAnsi="Times New Roman" w:cs="Times New Roman"/>
          <w:noProof/>
        </w:rPr>
        <w:t xml:space="preserve"> P. Pyšek, K. Prach, M. Rejmánek, and M. Wade [eds.], Plant invasions: General aspects and special problems. SPB Adademic Publishing, Amsterdam. Retrieved from Plant invasions: General aspects and special problems. &lt;http://scholar.google.com/scholar?q=related:crNh5qomdlsJ:scholar.google.com/&amp;hl=en&amp;num=30&amp;as_sdt=0,5&gt;.</w:t>
      </w:r>
    </w:p>
    <w:p w14:paraId="305F160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Larkin, D. J.</w:t>
      </w:r>
      <w:r w:rsidRPr="00676FE5">
        <w:rPr>
          <w:rFonts w:ascii="Times New Roman" w:eastAsia="Times New Roman" w:hAnsi="Times New Roman" w:cs="Times New Roman"/>
          <w:noProof/>
        </w:rPr>
        <w:t xml:space="preserve"> 2011. Lengths and correlates of lag phases in upper-Midwest plant invasions. Biol. Invasions 14:827–838. Retrieved March 12, 2013, from Biological Invasions. &lt;http://www.springerlink.com/index/10.1007/s10530-011-0119-3&gt;.</w:t>
      </w:r>
    </w:p>
    <w:p w14:paraId="4ADBBFA3"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Lavoie, C.</w:t>
      </w:r>
      <w:r w:rsidRPr="00676FE5">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Elsevier GmbH. Retrieved January 31, 2013, from Perspectives in Plant Ecology, Evolution and Systematics. &lt;http://linkinghub.elsevier.com/retrieve/pii/S1433831912000595&gt;.</w:t>
      </w:r>
    </w:p>
    <w:p w14:paraId="6B53AE8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Little, E. L., S. Bullaty, and A. Lomeo</w:t>
      </w:r>
      <w:r w:rsidRPr="00676FE5">
        <w:rPr>
          <w:rFonts w:ascii="Times New Roman" w:eastAsia="Times New Roman" w:hAnsi="Times New Roman" w:cs="Times New Roman"/>
          <w:noProof/>
        </w:rPr>
        <w:t>. 1980. National Audubon Society Field Guide to North American Trees: Eastern Region. Alfred A. Knopf.</w:t>
      </w:r>
    </w:p>
    <w:p w14:paraId="045C2501"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Mack, R. N., D. Simberloff, W. Mark Lonsdale, H. Evans, M. Clout, and F. A. Bazzaz</w:t>
      </w:r>
      <w:r w:rsidRPr="00676FE5">
        <w:rPr>
          <w:rFonts w:ascii="Times New Roman" w:eastAsia="Times New Roman" w:hAnsi="Times New Roman" w:cs="Times New Roman"/>
          <w:noProof/>
        </w:rPr>
        <w:t>. 2000. Biotic invasions: causes, epidemiology, global consequences, and control. Ecol. Appl. 10:689–710. Ecological Society of America. Retrieved from Ecological Applications. &lt;http://www.esajournals.org/doi/abs/10.1890/1051-0761(2000)010[0689:BICEGC]2.0.CO;2&gt;.</w:t>
      </w:r>
    </w:p>
    <w:p w14:paraId="5E043974"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Medan, D.</w:t>
      </w:r>
      <w:r w:rsidRPr="00676FE5">
        <w:rPr>
          <w:rFonts w:ascii="Times New Roman" w:eastAsia="Times New Roman" w:hAnsi="Times New Roman" w:cs="Times New Roman"/>
          <w:noProof/>
        </w:rPr>
        <w:t xml:space="preserve"> 1994. Reproductive biology of </w:t>
      </w:r>
      <w:r w:rsidRPr="00676FE5">
        <w:rPr>
          <w:rFonts w:ascii="Times New Roman" w:eastAsia="Times New Roman" w:hAnsi="Times New Roman" w:cs="Times New Roman"/>
          <w:i/>
          <w:iCs/>
          <w:noProof/>
        </w:rPr>
        <w:t>Frangula alnus</w:t>
      </w:r>
      <w:r w:rsidRPr="00676FE5">
        <w:rPr>
          <w:rFonts w:ascii="Times New Roman" w:eastAsia="Times New Roman" w:hAnsi="Times New Roman" w:cs="Times New Roman"/>
          <w:noProof/>
        </w:rPr>
        <w:t xml:space="preserve"> (Rhamnaceae) in southern Spain. Plant Syst. Evol. 193:173–186. Retrieved March 2, 2013, from Plant Systematics and Evolution. &lt;http://link.springer.com/10.1007/BF00983549&gt;.</w:t>
      </w:r>
    </w:p>
    <w:p w14:paraId="631D09C7"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Mihulka, S., and P. Pyšek</w:t>
      </w:r>
      <w:r w:rsidRPr="00676FE5">
        <w:rPr>
          <w:rFonts w:ascii="Times New Roman" w:eastAsia="Times New Roman" w:hAnsi="Times New Roman" w:cs="Times New Roman"/>
          <w:noProof/>
        </w:rPr>
        <w:t>. 2001. Invasion history of Oenothera congeners in Europe: a comparative study of spreading rates in the last 200 years. J. Biogeogr. 28:597–609. Retrieved May 30, 2013, from Journal of Biogeography. &lt;http://onlinelibrary.wiley.com/doi/10.1046/j.1365-2699.2001.00574.x/full&gt;.</w:t>
      </w:r>
    </w:p>
    <w:p w14:paraId="6C0D140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Miller, R. J., A. D. Carroll, T. P. Wilson, and J. Shaw</w:t>
      </w:r>
      <w:r w:rsidRPr="00676FE5">
        <w:rPr>
          <w:rFonts w:ascii="Times New Roman" w:eastAsia="Times New Roman" w:hAnsi="Times New Roman" w:cs="Times New Roman"/>
          <w:noProof/>
        </w:rPr>
        <w:t xml:space="preserve">. 2009. Spatiotemporal analysis of </w:t>
      </w:r>
      <w:r w:rsidRPr="00676FE5">
        <w:rPr>
          <w:rFonts w:ascii="Times New Roman" w:eastAsia="Times New Roman" w:hAnsi="Times New Roman" w:cs="Times New Roman"/>
          <w:noProof/>
        </w:rPr>
        <w:lastRenderedPageBreak/>
        <w:t>three common wetland invasive plant species using herbarium specimens and geographic information systems. Castanea 74:133–145. Retrieved from Castanea. &lt;http://www.bioone.org/doi/abs/10.2179/08-001.1&gt;.</w:t>
      </w:r>
    </w:p>
    <w:p w14:paraId="4CC6FAC2"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Moe, D.</w:t>
      </w:r>
      <w:r w:rsidRPr="00676FE5">
        <w:rPr>
          <w:rFonts w:ascii="Times New Roman" w:eastAsia="Times New Roman" w:hAnsi="Times New Roman" w:cs="Times New Roman"/>
          <w:noProof/>
        </w:rPr>
        <w:t xml:space="preserve"> 1984. The late quaternary history of Rhamnus frangula in Norway. Nord. J. Bot. 4:655–660. Wiley Online Library. Retrieved from Nordic Journal of Botany. &lt;http://onlinelibrary.wiley.com/doi/10.1111/j.1756-1051.1984.tb01989.x/abstract&gt;.</w:t>
      </w:r>
    </w:p>
    <w:p w14:paraId="088EBB9F"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Mosher, E. S., J. A. Silander Jr, and A. M. Latimer</w:t>
      </w:r>
      <w:r w:rsidRPr="00676FE5">
        <w:rPr>
          <w:rFonts w:ascii="Times New Roman" w:eastAsia="Times New Roman" w:hAnsi="Times New Roman" w:cs="Times New Roman"/>
          <w:noProof/>
        </w:rPr>
        <w:t>. 2009. The role of land-use history in major invasions by woody plant species in the northeastern North American landscape. Biol. Invasions 11:2317–2328. Retrieved from Biological Invasions. &lt;http://www.springerlink.com/index/10.1007/s10530-008-9418-8&gt;.</w:t>
      </w:r>
    </w:p>
    <w:p w14:paraId="66C07FC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Newbold, T.</w:t>
      </w:r>
      <w:r w:rsidRPr="00676FE5">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Retrieved from Progress in Physical Geography. &lt;http://ppg.sagepub.com/cgi/doi/10.1177/0309133309355630&gt;.</w:t>
      </w:r>
    </w:p>
    <w:p w14:paraId="01F1E369"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Pluess, T., R. Cannon, V. Jarošík, J. Pergl, P. Pyšek, and S. Bacher</w:t>
      </w:r>
      <w:r w:rsidRPr="00676FE5">
        <w:rPr>
          <w:rFonts w:ascii="Times New Roman" w:eastAsia="Times New Roman" w:hAnsi="Times New Roman" w:cs="Times New Roman"/>
          <w:noProof/>
        </w:rPr>
        <w:t>. 2012. When are eradication campaigns successful? A test of common assumptions. Biol. Invasions 14:1365–1378.</w:t>
      </w:r>
    </w:p>
    <w:p w14:paraId="37ADF3E2"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Prather, L. A., O. Alvarez-Fuentes, M. H. Hayfield, and C. J. Ferguson</w:t>
      </w:r>
      <w:r w:rsidRPr="00676FE5">
        <w:rPr>
          <w:rFonts w:ascii="Times New Roman" w:eastAsia="Times New Roman" w:hAnsi="Times New Roman" w:cs="Times New Roman"/>
          <w:noProof/>
        </w:rPr>
        <w:t>. 2004. The decline of plant collecting in the United States: a threat to the infrastructure of biodiversity studies. Syst. Bot. 29:15–28. Retrieved June 3, 2013, from Systematic Botany. &lt;http://www.bioone.org/doi/pdf/10.1600/036364404772974185&gt;.</w:t>
      </w:r>
    </w:p>
    <w:p w14:paraId="2771FC8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Pyšek, P., and P. E. Hulme</w:t>
      </w:r>
      <w:r w:rsidRPr="00676FE5">
        <w:rPr>
          <w:rFonts w:ascii="Times New Roman" w:eastAsia="Times New Roman" w:hAnsi="Times New Roman" w:cs="Times New Roman"/>
          <w:noProof/>
        </w:rPr>
        <w:t>. 2005. Spatio-temporal dynamics of plant invasions: linking pattern to process. Ecoscience 12:302–315. BioOne. Retrieved from Ecoscience. &lt;http://www.bioone.org/doi/abs/10.2980/i1195-6860-12-3-302.1&gt;.</w:t>
      </w:r>
    </w:p>
    <w:p w14:paraId="5AF2505D"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Pyšek, P., and K. Prach</w:t>
      </w:r>
      <w:r w:rsidRPr="00676FE5">
        <w:rPr>
          <w:rFonts w:ascii="Times New Roman" w:eastAsia="Times New Roman" w:hAnsi="Times New Roman" w:cs="Times New Roman"/>
          <w:noProof/>
        </w:rPr>
        <w:t>. 1993. Plant invasions and the role of riparian habitats: a comparison of four species alien to central Europe. J. Biogeogr. 20:413–420. Retrieved April 28, 2013, from Journal of Biogeography. &lt;http://www.jstor.org/stable/10.2307/2845589&gt;.</w:t>
      </w:r>
    </w:p>
    <w:p w14:paraId="1D01E0E5"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Pyšek, P., and K. Prach</w:t>
      </w:r>
      <w:r w:rsidRPr="00676FE5">
        <w:rPr>
          <w:rFonts w:ascii="Times New Roman" w:eastAsia="Times New Roman" w:hAnsi="Times New Roman" w:cs="Times New Roman"/>
          <w:noProof/>
        </w:rPr>
        <w:t xml:space="preserve">. 1995. Invasion dynamics of </w:t>
      </w:r>
      <w:r w:rsidRPr="00676FE5">
        <w:rPr>
          <w:rFonts w:ascii="Times New Roman" w:eastAsia="Times New Roman" w:hAnsi="Times New Roman" w:cs="Times New Roman"/>
          <w:i/>
          <w:iCs/>
          <w:noProof/>
        </w:rPr>
        <w:t>Impatiens glandulifera</w:t>
      </w:r>
      <w:r w:rsidRPr="00676FE5">
        <w:rPr>
          <w:rFonts w:ascii="Times New Roman" w:eastAsia="Times New Roman" w:hAnsi="Times New Roman" w:cs="Times New Roman"/>
          <w:noProof/>
        </w:rPr>
        <w:t xml:space="preserve"> - a century of spreading reconstructed. Biol. Conserv. 74:41–48. Retrieved from Biological Conservation. &lt;http://linkinghub.elsevier.com/retrieve/pii/000632079500013T&gt;.</w:t>
      </w:r>
    </w:p>
    <w:p w14:paraId="6C1D744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QGIS Development Team</w:t>
      </w:r>
      <w:r w:rsidRPr="00676FE5">
        <w:rPr>
          <w:rFonts w:ascii="Times New Roman" w:eastAsia="Times New Roman" w:hAnsi="Times New Roman" w:cs="Times New Roman"/>
          <w:noProof/>
        </w:rPr>
        <w:t>. 2012. QGIS Geographic Information System. Retrieved from &lt;http://qgis.osgeo.org&gt;.</w:t>
      </w:r>
    </w:p>
    <w:p w14:paraId="4101AAE5"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R Core Team</w:t>
      </w:r>
      <w:r w:rsidRPr="00676FE5">
        <w:rPr>
          <w:rFonts w:ascii="Times New Roman" w:eastAsia="Times New Roman" w:hAnsi="Times New Roman" w:cs="Times New Roman"/>
          <w:noProof/>
        </w:rPr>
        <w:t>. 2012. R: A language and environment for statistical computing. Vienna, Austria. Retrieved from &lt;http://www.r-project.org&gt;.</w:t>
      </w:r>
    </w:p>
    <w:p w14:paraId="7805DF8A"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Reddy, S., and L. Dávalos</w:t>
      </w:r>
      <w:r w:rsidRPr="00676FE5">
        <w:rPr>
          <w:rFonts w:ascii="Times New Roman" w:eastAsia="Times New Roman" w:hAnsi="Times New Roman" w:cs="Times New Roman"/>
          <w:noProof/>
        </w:rPr>
        <w:t>. 2003. Geographical sampling bias and its implications for conservation priorities in Africa. J. Biogeogr. 30:1719–1727. Retrieved June 2, 2013, from Journal of Biogeography. &lt;http://onlinelibrary.wiley.com/doi/10.1046/j.1365-2699.2003.00946.x/full&gt;.</w:t>
      </w:r>
    </w:p>
    <w:p w14:paraId="145DB4D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676FE5">
        <w:rPr>
          <w:rFonts w:ascii="Times New Roman" w:eastAsia="Times New Roman" w:hAnsi="Times New Roman" w:cs="Times New Roman"/>
          <w:noProof/>
        </w:rPr>
        <w:t xml:space="preserve">. 2001. The population biology of invasive species. Annu. Rev. Ecol. Syst. 32:305–332. JSTOR. Retrieved from Annual Review of </w:t>
      </w:r>
      <w:r w:rsidRPr="00676FE5">
        <w:rPr>
          <w:rFonts w:ascii="Times New Roman" w:eastAsia="Times New Roman" w:hAnsi="Times New Roman" w:cs="Times New Roman"/>
          <w:noProof/>
        </w:rPr>
        <w:lastRenderedPageBreak/>
        <w:t>Ecology and Systematics. &lt;http://www.jstor.org/stable/10.2307/2678643&gt;.</w:t>
      </w:r>
    </w:p>
    <w:p w14:paraId="69F01BFC"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Salo, L. F.</w:t>
      </w:r>
      <w:r w:rsidRPr="00676FE5">
        <w:rPr>
          <w:rFonts w:ascii="Times New Roman" w:eastAsia="Times New Roman" w:hAnsi="Times New Roman" w:cs="Times New Roman"/>
          <w:noProof/>
        </w:rPr>
        <w:t xml:space="preserve"> 2005. Red brome (</w:t>
      </w:r>
      <w:r w:rsidRPr="00676FE5">
        <w:rPr>
          <w:rFonts w:ascii="Times New Roman" w:eastAsia="Times New Roman" w:hAnsi="Times New Roman" w:cs="Times New Roman"/>
          <w:i/>
          <w:iCs/>
          <w:noProof/>
        </w:rPr>
        <w:t>Bromus rubens</w:t>
      </w:r>
      <w:r w:rsidRPr="00676FE5">
        <w:rPr>
          <w:rFonts w:ascii="Times New Roman" w:eastAsia="Times New Roman" w:hAnsi="Times New Roman" w:cs="Times New Roman"/>
          <w:noProof/>
        </w:rPr>
        <w:t xml:space="preserve"> subsp. </w:t>
      </w:r>
      <w:r w:rsidRPr="00676FE5">
        <w:rPr>
          <w:rFonts w:ascii="Times New Roman" w:eastAsia="Times New Roman" w:hAnsi="Times New Roman" w:cs="Times New Roman"/>
          <w:i/>
          <w:iCs/>
          <w:noProof/>
        </w:rPr>
        <w:t>madritensis</w:t>
      </w:r>
      <w:r w:rsidRPr="00676FE5">
        <w:rPr>
          <w:rFonts w:ascii="Times New Roman" w:eastAsia="Times New Roman" w:hAnsi="Times New Roman" w:cs="Times New Roman"/>
          <w:noProof/>
        </w:rPr>
        <w:t>) in North America: possible modes for early introductions, subsequent spread. Biol. Invasions 7:165–180. Retrieved from Biological Invasions. &lt;http://www.springerlink.com/index/10.1007/s10530-004-8979-4&gt;.</w:t>
      </w:r>
    </w:p>
    <w:p w14:paraId="3B6E7800"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Sherff, E. E.</w:t>
      </w:r>
      <w:r w:rsidRPr="00676FE5">
        <w:rPr>
          <w:rFonts w:ascii="Times New Roman" w:eastAsia="Times New Roman" w:hAnsi="Times New Roman" w:cs="Times New Roman"/>
          <w:noProof/>
        </w:rPr>
        <w:t xml:space="preserve"> 1912. Range extenstions of </w:t>
      </w:r>
      <w:r w:rsidRPr="00676FE5">
        <w:rPr>
          <w:rFonts w:ascii="Times New Roman" w:eastAsia="Times New Roman" w:hAnsi="Times New Roman" w:cs="Times New Roman"/>
          <w:i/>
          <w:iCs/>
          <w:noProof/>
        </w:rPr>
        <w:t>Rhamnus frangula</w:t>
      </w:r>
      <w:r w:rsidRPr="00676FE5">
        <w:rPr>
          <w:rFonts w:ascii="Times New Roman" w:eastAsia="Times New Roman" w:hAnsi="Times New Roman" w:cs="Times New Roman"/>
          <w:noProof/>
        </w:rPr>
        <w:t xml:space="preserve"> and </w:t>
      </w:r>
      <w:r w:rsidRPr="00676FE5">
        <w:rPr>
          <w:rFonts w:ascii="Times New Roman" w:eastAsia="Times New Roman" w:hAnsi="Times New Roman" w:cs="Times New Roman"/>
          <w:i/>
          <w:iCs/>
          <w:noProof/>
        </w:rPr>
        <w:t>Sporobolus asperifolius</w:t>
      </w:r>
      <w:r w:rsidRPr="00676FE5">
        <w:rPr>
          <w:rFonts w:ascii="Times New Roman" w:eastAsia="Times New Roman" w:hAnsi="Times New Roman" w:cs="Times New Roman"/>
          <w:noProof/>
        </w:rPr>
        <w:t>. Rhodora 14:227–229.</w:t>
      </w:r>
    </w:p>
    <w:p w14:paraId="17FE6F9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Sorrie, B. A.</w:t>
      </w:r>
      <w:r w:rsidRPr="00676FE5">
        <w:rPr>
          <w:rFonts w:ascii="Times New Roman" w:eastAsia="Times New Roman" w:hAnsi="Times New Roman" w:cs="Times New Roman"/>
          <w:noProof/>
        </w:rPr>
        <w:t xml:space="preserve"> 2005. Alien vascular plants in Massachusetts. Rhodora 107:284–329. Retrieved from Rhodora. &lt;http://www.bioone.org/doi/abs/10.3119/0035-4902(2005)107[0284:AVPIM]2.0.CO;2&gt;.</w:t>
      </w:r>
    </w:p>
    <w:p w14:paraId="170BDAA9"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Theoharides, K. A., and J. S. Dukes</w:t>
      </w:r>
      <w:r w:rsidRPr="00676FE5">
        <w:rPr>
          <w:rFonts w:ascii="Times New Roman" w:eastAsia="Times New Roman" w:hAnsi="Times New Roman" w:cs="Times New Roman"/>
          <w:noProof/>
        </w:rPr>
        <w:t>. 2007. Plant invasion across space and time: factors affecting nonindigenous species success during four stages of invasion. New Phytol. 176:256–273. Retrieved from New Phytologist. &lt;http://doi.wiley.com/10.1111/j.1469-8137.2007.02207.x&gt;.</w:t>
      </w:r>
    </w:p>
    <w:p w14:paraId="3CD040F7"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Del Tredici, P.</w:t>
      </w:r>
      <w:r w:rsidRPr="00676FE5">
        <w:rPr>
          <w:rFonts w:ascii="Times New Roman" w:eastAsia="Times New Roman" w:hAnsi="Times New Roman" w:cs="Times New Roman"/>
          <w:noProof/>
        </w:rPr>
        <w:t xml:space="preserve"> 2010. Wild Urban Plants of the Northeast: A Field Guide. Comstock Publishing Associates, Ithica.</w:t>
      </w:r>
    </w:p>
    <w:p w14:paraId="1C5906B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United States Pharmacopeial Convention</w:t>
      </w:r>
      <w:r w:rsidRPr="00676FE5">
        <w:rPr>
          <w:rFonts w:ascii="Times New Roman" w:eastAsia="Times New Roman" w:hAnsi="Times New Roman" w:cs="Times New Roman"/>
          <w:noProof/>
        </w:rPr>
        <w:t>. 1910. The Pharmacopeia of the United States of AmericaNinth Dece. P. Blakiston’s Son &amp; Company, Philadelphia.</w:t>
      </w:r>
    </w:p>
    <w:p w14:paraId="1E638328" w14:textId="77777777" w:rsidR="00676FE5" w:rsidRPr="00676FE5" w:rsidRDefault="00676FE5" w:rsidP="00676FE5">
      <w:pPr>
        <w:widowControl w:val="0"/>
        <w:autoSpaceDE w:val="0"/>
        <w:autoSpaceDN w:val="0"/>
        <w:adjustRightInd w:val="0"/>
        <w:spacing w:before="100" w:after="100"/>
        <w:ind w:left="480" w:hanging="480"/>
        <w:rPr>
          <w:rFonts w:ascii="Times New Roman" w:eastAsia="Times New Roman" w:hAnsi="Times New Roman" w:cs="Times New Roman"/>
          <w:noProof/>
        </w:rPr>
      </w:pPr>
      <w:r w:rsidRPr="00676FE5">
        <w:rPr>
          <w:rFonts w:ascii="Times New Roman" w:eastAsia="Times New Roman" w:hAnsi="Times New Roman" w:cs="Times New Roman"/>
          <w:smallCaps/>
          <w:noProof/>
        </w:rPr>
        <w:t>Weber, E.</w:t>
      </w:r>
      <w:r w:rsidRPr="00676FE5">
        <w:rPr>
          <w:rFonts w:ascii="Times New Roman" w:eastAsia="Times New Roman" w:hAnsi="Times New Roman" w:cs="Times New Roman"/>
          <w:noProof/>
        </w:rPr>
        <w:t xml:space="preserve"> 1998. The dynamics of plant invasions: a case study of three exotic goldenrod species (</w:t>
      </w:r>
      <w:r w:rsidRPr="00676FE5">
        <w:rPr>
          <w:rFonts w:ascii="Times New Roman" w:eastAsia="Times New Roman" w:hAnsi="Times New Roman" w:cs="Times New Roman"/>
          <w:i/>
          <w:iCs/>
          <w:noProof/>
        </w:rPr>
        <w:t>Solidago</w:t>
      </w:r>
      <w:r w:rsidRPr="00676FE5">
        <w:rPr>
          <w:rFonts w:ascii="Times New Roman" w:eastAsia="Times New Roman" w:hAnsi="Times New Roman" w:cs="Times New Roman"/>
          <w:noProof/>
        </w:rPr>
        <w:t xml:space="preserve"> L.) in Europe. J. Biogeogr. 25:147–154.</w:t>
      </w:r>
    </w:p>
    <w:p w14:paraId="6AAB65DA" w14:textId="77777777" w:rsidR="00676FE5" w:rsidRPr="00676FE5" w:rsidRDefault="00676FE5" w:rsidP="00676FE5">
      <w:pPr>
        <w:widowControl w:val="0"/>
        <w:autoSpaceDE w:val="0"/>
        <w:autoSpaceDN w:val="0"/>
        <w:adjustRightInd w:val="0"/>
        <w:spacing w:before="100" w:after="100"/>
        <w:ind w:left="480" w:hanging="480"/>
        <w:rPr>
          <w:rFonts w:ascii="Times New Roman" w:hAnsi="Times New Roman" w:cs="Times New Roman"/>
          <w:noProof/>
        </w:rPr>
      </w:pPr>
      <w:r w:rsidRPr="00676FE5">
        <w:rPr>
          <w:rFonts w:ascii="Times New Roman" w:eastAsia="Times New Roman" w:hAnsi="Times New Roman" w:cs="Times New Roman"/>
          <w:smallCaps/>
          <w:noProof/>
        </w:rPr>
        <w:t>Wright, J. P., and J. D. Fridley</w:t>
      </w:r>
      <w:r w:rsidRPr="00676FE5">
        <w:rPr>
          <w:rFonts w:ascii="Times New Roman" w:eastAsia="Times New Roman" w:hAnsi="Times New Roman" w:cs="Times New Roman"/>
          <w:noProof/>
        </w:rPr>
        <w:t>. 2010. Biogeographic synthesis of secondary succession rates in eastern North America. J. Biogeogr. 37:1584–1596. Blackwell Science Ltd. Retrieved from Journal of Biogeography. &lt;http://doi.wiley.com/10.1111/j.1365-2699.2010.02298.x&gt;.</w:t>
      </w:r>
    </w:p>
    <w:p w14:paraId="56E51C0F" w14:textId="6CF1EE7F" w:rsidR="002F1410" w:rsidRDefault="00BB62A5" w:rsidP="00676FE5">
      <w:pPr>
        <w:widowControl w:val="0"/>
        <w:autoSpaceDE w:val="0"/>
        <w:autoSpaceDN w:val="0"/>
        <w:adjustRightInd w:val="0"/>
        <w:spacing w:before="100" w:after="100"/>
        <w:ind w:left="480" w:hanging="480"/>
        <w:rPr>
          <w:rFonts w:ascii="Times New Roman" w:hAnsi="Times New Roman"/>
          <w:b/>
          <w:sz w:val="22"/>
          <w:szCs w:val="22"/>
        </w:rPr>
      </w:pPr>
      <w:r w:rsidRPr="0091245A">
        <w:rPr>
          <w:rFonts w:ascii="Times New Roman" w:hAnsi="Times New Roman"/>
        </w:rPr>
        <w:fldChar w:fldCharType="end"/>
      </w:r>
      <w:r w:rsidR="002F1410" w:rsidRPr="002F1410">
        <w:rPr>
          <w:rFonts w:ascii="Times New Roman" w:hAnsi="Times New Roman"/>
          <w:b/>
          <w:sz w:val="22"/>
          <w:szCs w:val="22"/>
        </w:rPr>
        <w:t xml:space="preserve"> </w:t>
      </w:r>
    </w:p>
    <w:p w14:paraId="733D3E01" w14:textId="77777777" w:rsidR="002F1410" w:rsidRDefault="002F1410">
      <w:pPr>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F1410">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Historical presence record sources and counts. Abbreviations for “Accession Method” column: CBIF = Canadian Biodiversity Information Facility, GBIF = Global Biodiversity Information Facility, IPANE = Invasive Plant Atlas of New England, and vPlants = Virtual Herbarium of the Chicago Region.</w:t>
      </w:r>
    </w:p>
    <w:p w14:paraId="149A9FD4" w14:textId="77777777" w:rsidR="002F1410" w:rsidRDefault="002F1410" w:rsidP="002F1410">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40282E">
        <w:trPr>
          <w:trHeight w:val="300"/>
        </w:trPr>
        <w:tc>
          <w:tcPr>
            <w:tcW w:w="4345" w:type="dxa"/>
            <w:noWrap/>
            <w:hideMark/>
          </w:tcPr>
          <w:p w14:paraId="0AF238A6"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40282E">
            <w:pPr>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40282E">
        <w:trPr>
          <w:trHeight w:val="215"/>
        </w:trPr>
        <w:tc>
          <w:tcPr>
            <w:tcW w:w="4345" w:type="dxa"/>
            <w:noWrap/>
            <w:hideMark/>
          </w:tcPr>
          <w:p w14:paraId="11C3A23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40282E">
        <w:trPr>
          <w:trHeight w:val="63"/>
        </w:trPr>
        <w:tc>
          <w:tcPr>
            <w:tcW w:w="4345" w:type="dxa"/>
            <w:noWrap/>
            <w:hideMark/>
          </w:tcPr>
          <w:p w14:paraId="5BA7154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40282E">
        <w:trPr>
          <w:trHeight w:val="557"/>
        </w:trPr>
        <w:tc>
          <w:tcPr>
            <w:tcW w:w="4345" w:type="dxa"/>
            <w:noWrap/>
            <w:hideMark/>
          </w:tcPr>
          <w:p w14:paraId="582561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2D1132B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40282E">
        <w:trPr>
          <w:trHeight w:val="125"/>
        </w:trPr>
        <w:tc>
          <w:tcPr>
            <w:tcW w:w="4345" w:type="dxa"/>
            <w:noWrap/>
            <w:hideMark/>
          </w:tcPr>
          <w:p w14:paraId="6B6EC39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40282E">
        <w:trPr>
          <w:trHeight w:val="63"/>
        </w:trPr>
        <w:tc>
          <w:tcPr>
            <w:tcW w:w="4345" w:type="dxa"/>
            <w:noWrap/>
            <w:hideMark/>
          </w:tcPr>
          <w:p w14:paraId="2F91BF6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4D217B35" w14:textId="77777777" w:rsidTr="0040282E">
        <w:trPr>
          <w:trHeight w:val="63"/>
        </w:trPr>
        <w:tc>
          <w:tcPr>
            <w:tcW w:w="4345" w:type="dxa"/>
            <w:noWrap/>
            <w:hideMark/>
          </w:tcPr>
          <w:p w14:paraId="1E6D50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40282E">
        <w:trPr>
          <w:trHeight w:val="63"/>
        </w:trPr>
        <w:tc>
          <w:tcPr>
            <w:tcW w:w="4345" w:type="dxa"/>
            <w:noWrap/>
            <w:hideMark/>
          </w:tcPr>
          <w:p w14:paraId="18806E1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40282E">
        <w:trPr>
          <w:trHeight w:val="63"/>
        </w:trPr>
        <w:tc>
          <w:tcPr>
            <w:tcW w:w="4345" w:type="dxa"/>
            <w:noWrap/>
            <w:hideMark/>
          </w:tcPr>
          <w:p w14:paraId="3A5CCC3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40282E">
        <w:trPr>
          <w:trHeight w:val="63"/>
        </w:trPr>
        <w:tc>
          <w:tcPr>
            <w:tcW w:w="4345" w:type="dxa"/>
            <w:noWrap/>
            <w:hideMark/>
          </w:tcPr>
          <w:p w14:paraId="0365659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2F1410" w:rsidRPr="00400B60" w14:paraId="6F22F19C" w14:textId="77777777" w:rsidTr="0040282E">
        <w:trPr>
          <w:trHeight w:val="143"/>
        </w:trPr>
        <w:tc>
          <w:tcPr>
            <w:tcW w:w="4345" w:type="dxa"/>
            <w:noWrap/>
            <w:hideMark/>
          </w:tcPr>
          <w:p w14:paraId="036D001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40282E">
        <w:trPr>
          <w:trHeight w:val="107"/>
        </w:trPr>
        <w:tc>
          <w:tcPr>
            <w:tcW w:w="4345" w:type="dxa"/>
            <w:noWrap/>
            <w:hideMark/>
          </w:tcPr>
          <w:p w14:paraId="2A9BE33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40282E">
        <w:trPr>
          <w:trHeight w:val="71"/>
        </w:trPr>
        <w:tc>
          <w:tcPr>
            <w:tcW w:w="4345" w:type="dxa"/>
            <w:noWrap/>
            <w:hideMark/>
          </w:tcPr>
          <w:p w14:paraId="3E8F680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40282E">
        <w:trPr>
          <w:trHeight w:val="116"/>
        </w:trPr>
        <w:tc>
          <w:tcPr>
            <w:tcW w:w="4345" w:type="dxa"/>
            <w:noWrap/>
            <w:hideMark/>
          </w:tcPr>
          <w:p w14:paraId="1BC3E95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40282E">
        <w:trPr>
          <w:trHeight w:val="63"/>
        </w:trPr>
        <w:tc>
          <w:tcPr>
            <w:tcW w:w="4345" w:type="dxa"/>
            <w:noWrap/>
            <w:hideMark/>
          </w:tcPr>
          <w:p w14:paraId="06F0075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40282E">
        <w:trPr>
          <w:trHeight w:val="63"/>
        </w:trPr>
        <w:tc>
          <w:tcPr>
            <w:tcW w:w="4345" w:type="dxa"/>
            <w:noWrap/>
          </w:tcPr>
          <w:p w14:paraId="42A28D2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40282E">
        <w:trPr>
          <w:trHeight w:val="63"/>
        </w:trPr>
        <w:tc>
          <w:tcPr>
            <w:tcW w:w="4345" w:type="dxa"/>
            <w:noWrap/>
            <w:hideMark/>
          </w:tcPr>
          <w:p w14:paraId="3F2DF38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40282E">
        <w:trPr>
          <w:trHeight w:val="63"/>
        </w:trPr>
        <w:tc>
          <w:tcPr>
            <w:tcW w:w="4345" w:type="dxa"/>
            <w:noWrap/>
            <w:hideMark/>
          </w:tcPr>
          <w:p w14:paraId="787AF07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40282E">
        <w:trPr>
          <w:trHeight w:val="63"/>
        </w:trPr>
        <w:tc>
          <w:tcPr>
            <w:tcW w:w="4345" w:type="dxa"/>
            <w:noWrap/>
            <w:hideMark/>
          </w:tcPr>
          <w:p w14:paraId="2533AA6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40282E">
        <w:trPr>
          <w:trHeight w:val="98"/>
        </w:trPr>
        <w:tc>
          <w:tcPr>
            <w:tcW w:w="4345" w:type="dxa"/>
            <w:noWrap/>
            <w:hideMark/>
          </w:tcPr>
          <w:p w14:paraId="49560AB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04E5720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40282E">
        <w:trPr>
          <w:trHeight w:val="63"/>
        </w:trPr>
        <w:tc>
          <w:tcPr>
            <w:tcW w:w="4345" w:type="dxa"/>
            <w:noWrap/>
            <w:hideMark/>
          </w:tcPr>
          <w:p w14:paraId="21B553B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40282E">
        <w:trPr>
          <w:trHeight w:val="63"/>
        </w:trPr>
        <w:tc>
          <w:tcPr>
            <w:tcW w:w="4345" w:type="dxa"/>
            <w:noWrap/>
            <w:hideMark/>
          </w:tcPr>
          <w:p w14:paraId="58CAC2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40282E">
        <w:trPr>
          <w:trHeight w:val="63"/>
        </w:trPr>
        <w:tc>
          <w:tcPr>
            <w:tcW w:w="4345" w:type="dxa"/>
            <w:noWrap/>
            <w:hideMark/>
          </w:tcPr>
          <w:p w14:paraId="2F50738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40282E">
        <w:trPr>
          <w:trHeight w:val="63"/>
        </w:trPr>
        <w:tc>
          <w:tcPr>
            <w:tcW w:w="4345" w:type="dxa"/>
            <w:noWrap/>
            <w:hideMark/>
          </w:tcPr>
          <w:p w14:paraId="30BD830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40282E">
        <w:trPr>
          <w:trHeight w:val="80"/>
        </w:trPr>
        <w:tc>
          <w:tcPr>
            <w:tcW w:w="4345" w:type="dxa"/>
            <w:noWrap/>
          </w:tcPr>
          <w:p w14:paraId="6F818C7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40282E">
        <w:trPr>
          <w:trHeight w:val="80"/>
        </w:trPr>
        <w:tc>
          <w:tcPr>
            <w:tcW w:w="4345" w:type="dxa"/>
            <w:noWrap/>
            <w:hideMark/>
          </w:tcPr>
          <w:p w14:paraId="7A440F8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40282E">
        <w:trPr>
          <w:trHeight w:val="63"/>
        </w:trPr>
        <w:tc>
          <w:tcPr>
            <w:tcW w:w="4345" w:type="dxa"/>
            <w:noWrap/>
            <w:hideMark/>
          </w:tcPr>
          <w:p w14:paraId="5F52F9C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40282E">
        <w:trPr>
          <w:trHeight w:val="63"/>
        </w:trPr>
        <w:tc>
          <w:tcPr>
            <w:tcW w:w="4345" w:type="dxa"/>
            <w:noWrap/>
            <w:hideMark/>
          </w:tcPr>
          <w:p w14:paraId="78538D76"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40282E">
        <w:trPr>
          <w:trHeight w:val="63"/>
        </w:trPr>
        <w:tc>
          <w:tcPr>
            <w:tcW w:w="4345" w:type="dxa"/>
            <w:noWrap/>
            <w:hideMark/>
          </w:tcPr>
          <w:p w14:paraId="76430D3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40282E">
        <w:trPr>
          <w:trHeight w:val="63"/>
        </w:trPr>
        <w:tc>
          <w:tcPr>
            <w:tcW w:w="4345" w:type="dxa"/>
            <w:noWrap/>
            <w:hideMark/>
          </w:tcPr>
          <w:p w14:paraId="21F31C12"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40282E">
        <w:trPr>
          <w:trHeight w:val="152"/>
        </w:trPr>
        <w:tc>
          <w:tcPr>
            <w:tcW w:w="4345" w:type="dxa"/>
            <w:noWrap/>
            <w:hideMark/>
          </w:tcPr>
          <w:p w14:paraId="752095DD"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7E224135"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40282E">
            <w:pPr>
              <w:rPr>
                <w:rFonts w:ascii="Times New Roman" w:hAnsi="Times New Roman" w:cs="Times New Roman"/>
                <w:sz w:val="22"/>
                <w:szCs w:val="22"/>
              </w:rPr>
            </w:pPr>
          </w:p>
        </w:tc>
      </w:tr>
      <w:tr w:rsidR="002F1410" w:rsidRPr="00400B60" w14:paraId="110A2FAC" w14:textId="77777777" w:rsidTr="0040282E">
        <w:trPr>
          <w:trHeight w:val="107"/>
        </w:trPr>
        <w:tc>
          <w:tcPr>
            <w:tcW w:w="4345" w:type="dxa"/>
            <w:noWrap/>
            <w:hideMark/>
          </w:tcPr>
          <w:p w14:paraId="5547E98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40282E">
        <w:trPr>
          <w:trHeight w:val="63"/>
        </w:trPr>
        <w:tc>
          <w:tcPr>
            <w:tcW w:w="4345" w:type="dxa"/>
            <w:noWrap/>
            <w:hideMark/>
          </w:tcPr>
          <w:p w14:paraId="4ED3A071"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40282E">
        <w:trPr>
          <w:trHeight w:val="63"/>
        </w:trPr>
        <w:tc>
          <w:tcPr>
            <w:tcW w:w="4345" w:type="dxa"/>
            <w:noWrap/>
            <w:hideMark/>
          </w:tcPr>
          <w:p w14:paraId="7FCA106B"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40282E">
            <w:pPr>
              <w:rPr>
                <w:rFonts w:ascii="Times New Roman" w:hAnsi="Times New Roman" w:cs="Times New Roman"/>
                <w:sz w:val="22"/>
                <w:szCs w:val="22"/>
              </w:rPr>
            </w:pPr>
          </w:p>
        </w:tc>
        <w:tc>
          <w:tcPr>
            <w:tcW w:w="990" w:type="dxa"/>
            <w:noWrap/>
            <w:hideMark/>
          </w:tcPr>
          <w:p w14:paraId="36BC0769"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40282E">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6CFA0245" w14:textId="77777777" w:rsidR="002F1410" w:rsidRDefault="002F1410" w:rsidP="002F1410">
      <w:pPr>
        <w:rPr>
          <w:rFonts w:ascii="Times New Roman" w:hAnsi="Times New Roman" w:cs="Times New Roman"/>
        </w:rPr>
      </w:pPr>
      <w:r w:rsidRPr="00400B60">
        <w:rPr>
          <w:rFonts w:ascii="Times New Roman" w:hAnsi="Times New Roman" w:cs="Times New Roman"/>
          <w:sz w:val="22"/>
          <w:szCs w:val="22"/>
        </w:rPr>
        <w:br w:type="page"/>
      </w:r>
    </w:p>
    <w:p w14:paraId="4E360894" w14:textId="77777777" w:rsidR="002F1410" w:rsidRDefault="002F1410" w:rsidP="002F1410">
      <w:pPr>
        <w:rPr>
          <w:rFonts w:ascii="Times New Roman" w:hAnsi="Times New Roman" w:cs="Times New Roman"/>
          <w:iCs/>
        </w:rPr>
        <w:sectPr w:rsidR="002F1410" w:rsidSect="0059502B">
          <w:pgSz w:w="12240" w:h="15840"/>
          <w:pgMar w:top="1440" w:right="1440" w:bottom="1440" w:left="1440" w:header="720" w:footer="720" w:gutter="0"/>
          <w:cols w:space="720"/>
          <w:docGrid w:linePitch="360"/>
        </w:sectPr>
      </w:pPr>
    </w:p>
    <w:p w14:paraId="09F3E4D2" w14:textId="77777777" w:rsidR="002F1410" w:rsidRPr="008D584A" w:rsidRDefault="002F1410" w:rsidP="002F1410">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6C9DF19A" w14:textId="77777777" w:rsidR="002F1410" w:rsidRDefault="002F1410" w:rsidP="002F1410">
      <w:pPr>
        <w:rPr>
          <w:rFonts w:ascii="Times New Roman" w:hAnsi="Times New Roman" w:cs="Times New Roman"/>
          <w:iCs/>
        </w:rPr>
        <w:sectPr w:rsidR="002F1410"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51AB438F" wp14:editId="324BA875">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6">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024A8C52" w14:textId="77777777" w:rsidR="002F1410" w:rsidRPr="00D507C7" w:rsidRDefault="002F1410" w:rsidP="002F1410">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associated species -  </w:t>
      </w:r>
      <w:r w:rsidRPr="00771E1C">
        <w:rPr>
          <w:rFonts w:ascii="Times New Roman" w:hAnsi="Times New Roman" w:cs="Times New Roman"/>
          <w:b w:val="0"/>
          <w:i/>
          <w:iCs/>
          <w:color w:val="auto"/>
          <w:sz w:val="22"/>
          <w:szCs w:val="22"/>
        </w:rPr>
        <w:t>Alnus incana</w:t>
      </w:r>
      <w:r w:rsidRPr="00771E1C">
        <w:rPr>
          <w:rFonts w:ascii="Times New Roman" w:hAnsi="Times New Roman" w:cs="Times New Roman"/>
          <w:b w:val="0"/>
          <w:iCs/>
          <w:color w:val="auto"/>
          <w:sz w:val="22"/>
          <w:szCs w:val="22"/>
        </w:rPr>
        <w:t xml:space="preserve">, </w:t>
      </w:r>
      <w:r w:rsidRPr="00771E1C">
        <w:rPr>
          <w:rFonts w:ascii="Times New Roman" w:hAnsi="Times New Roman" w:cs="Times New Roman"/>
          <w:b w:val="0"/>
          <w:i/>
          <w:iCs/>
          <w:color w:val="auto"/>
          <w:sz w:val="22"/>
          <w:szCs w:val="22"/>
        </w:rPr>
        <w:t>A. serrulata</w:t>
      </w:r>
      <w:r w:rsidRPr="00771E1C">
        <w:rPr>
          <w:rFonts w:ascii="Times New Roman" w:hAnsi="Times New Roman" w:cs="Times New Roman"/>
          <w:b w:val="0"/>
          <w:iCs/>
          <w:color w:val="auto"/>
          <w:sz w:val="22"/>
          <w:szCs w:val="22"/>
        </w:rPr>
        <w:t xml:space="preserve">, </w:t>
      </w:r>
      <w:r w:rsidRPr="00771E1C">
        <w:rPr>
          <w:rFonts w:ascii="Times New Roman" w:hAnsi="Times New Roman" w:cs="Times New Roman"/>
          <w:b w:val="0"/>
          <w:i/>
          <w:iCs/>
          <w:color w:val="auto"/>
          <w:sz w:val="22"/>
          <w:szCs w:val="22"/>
        </w:rPr>
        <w:t>Rhamnus alnifolia</w:t>
      </w:r>
      <w:r w:rsidRPr="00771E1C">
        <w:rPr>
          <w:rFonts w:ascii="Times New Roman" w:hAnsi="Times New Roman" w:cs="Times New Roman"/>
          <w:b w:val="0"/>
          <w:iCs/>
          <w:color w:val="auto"/>
          <w:sz w:val="22"/>
          <w:szCs w:val="22"/>
        </w:rPr>
        <w:t xml:space="preserve">, </w:t>
      </w:r>
      <w:r w:rsidRPr="00771E1C">
        <w:rPr>
          <w:rFonts w:ascii="Times New Roman" w:hAnsi="Times New Roman" w:cs="Times New Roman"/>
          <w:b w:val="0"/>
          <w:i/>
          <w:iCs/>
          <w:color w:val="auto"/>
          <w:sz w:val="22"/>
          <w:szCs w:val="22"/>
        </w:rPr>
        <w:t>Salix peiolarisi, Hamamelis virginica</w:t>
      </w:r>
      <w:r w:rsidRPr="00771E1C">
        <w:rPr>
          <w:rFonts w:ascii="Times New Roman" w:hAnsi="Times New Roman" w:cs="Times New Roman"/>
          <w:b w:val="0"/>
          <w:iCs/>
          <w:color w:val="auto"/>
          <w:sz w:val="22"/>
          <w:szCs w:val="22"/>
        </w:rPr>
        <w:t xml:space="preserve"> (syn. </w:t>
      </w:r>
      <w:r w:rsidRPr="00771E1C">
        <w:rPr>
          <w:rFonts w:ascii="Times New Roman" w:hAnsi="Times New Roman" w:cs="Times New Roman"/>
          <w:b w:val="0"/>
          <w:i/>
          <w:iCs/>
          <w:color w:val="auto"/>
          <w:sz w:val="22"/>
          <w:szCs w:val="22"/>
        </w:rPr>
        <w:t>macrophylla</w:t>
      </w:r>
      <w:r w:rsidRPr="00771E1C">
        <w:rPr>
          <w:rFonts w:ascii="Times New Roman" w:hAnsi="Times New Roman" w:cs="Times New Roman"/>
          <w:b w:val="0"/>
          <w:iCs/>
          <w:color w:val="auto"/>
          <w:sz w:val="22"/>
          <w:szCs w:val="22"/>
        </w:rPr>
        <w:t xml:space="preserve">), and </w:t>
      </w:r>
      <w:r>
        <w:rPr>
          <w:rFonts w:ascii="Times New Roman" w:hAnsi="Times New Roman" w:cs="Times New Roman"/>
          <w:b w:val="0"/>
          <w:i/>
          <w:iCs/>
          <w:color w:val="auto"/>
          <w:sz w:val="22"/>
          <w:szCs w:val="22"/>
        </w:rPr>
        <w:t>Fraxinus a</w:t>
      </w:r>
      <w:r w:rsidRPr="00771E1C">
        <w:rPr>
          <w:rFonts w:ascii="Times New Roman" w:hAnsi="Times New Roman" w:cs="Times New Roman"/>
          <w:b w:val="0"/>
          <w:i/>
          <w:iCs/>
          <w:color w:val="auto"/>
          <w:sz w:val="22"/>
          <w:szCs w:val="22"/>
        </w:rPr>
        <w:t>mericana</w:t>
      </w:r>
      <w:r w:rsidRPr="00771E1C">
        <w:rPr>
          <w:rFonts w:ascii="Times New Roman" w:hAnsi="Times New Roman" w:cs="Times New Roman"/>
          <w:b w:val="0"/>
          <w:iCs/>
          <w:color w:val="auto"/>
          <w:sz w:val="22"/>
          <w:szCs w:val="22"/>
        </w:rPr>
        <w:t xml:space="preserve"> </w:t>
      </w:r>
      <w:r>
        <w:rPr>
          <w:rFonts w:ascii="Times New Roman" w:hAnsi="Times New Roman" w:cs="Times New Roman"/>
          <w:b w:val="0"/>
          <w:color w:val="auto"/>
          <w:sz w:val="22"/>
          <w:szCs w:val="22"/>
        </w:rPr>
        <w:t>(grey bars)</w:t>
      </w:r>
      <w:r w:rsidRPr="00D507C7">
        <w:rPr>
          <w:rFonts w:ascii="Times New Roman" w:hAnsi="Times New Roman" w:cs="Times New Roman"/>
          <w:b w:val="0"/>
          <w:color w:val="auto"/>
          <w:sz w:val="22"/>
          <w:szCs w:val="22"/>
        </w:rPr>
        <w:t>.</w:t>
      </w:r>
    </w:p>
    <w:p w14:paraId="00F5E482" w14:textId="77777777" w:rsidR="002F1410" w:rsidRDefault="002F1410" w:rsidP="002F1410">
      <w:pPr>
        <w:rPr>
          <w:rFonts w:ascii="Times New Roman" w:hAnsi="Times New Roman" w:cs="Times New Roman"/>
          <w:iCs/>
        </w:rPr>
      </w:pPr>
      <w:r>
        <w:rPr>
          <w:rFonts w:ascii="Times New Roman" w:hAnsi="Times New Roman" w:cs="Times New Roman"/>
          <w:iCs/>
          <w:noProof/>
        </w:rPr>
        <w:drawing>
          <wp:inline distT="0" distB="0" distL="0" distR="0" wp14:anchorId="1B8A4C60" wp14:editId="23A0B75F">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744C03FA" w14:textId="77777777" w:rsidR="002F1410" w:rsidRPr="005F5333" w:rsidRDefault="002F1410" w:rsidP="002F1410">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34179DD" w14:textId="77777777" w:rsidR="002F1410" w:rsidRDefault="002F1410" w:rsidP="002F1410">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67A78FB3" wp14:editId="2240BE37">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166D72"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A78FB3"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3A166D72"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28CE04F2" wp14:editId="02A07DE7">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18A0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CE04F2"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09718A0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1ECD73F" w14:textId="77777777" w:rsidR="002F1410" w:rsidRDefault="002F1410" w:rsidP="002F1410">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620AAD0E" wp14:editId="4E9DDD63">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1942EDA4" wp14:editId="37A37BC7">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9F42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42EDA4"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63C9F42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160A5C10" w14:textId="77777777" w:rsidR="002F1410" w:rsidRPr="00D377C0" w:rsidRDefault="002F1410" w:rsidP="002F1410">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15D05AE9" wp14:editId="753C59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97249"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D05AE9"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55A97249"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273EF6E6" wp14:editId="3592A2CF">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231B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3EF6E6"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09231B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557C9D17" wp14:editId="28A3568C">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AE39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7C9D17"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638AE39E"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267A92ED" w14:textId="77777777" w:rsidR="002F1410" w:rsidRDefault="002F1410" w:rsidP="002F1410">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1D3BEE83" wp14:editId="1F39CD2A">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47636204" w14:textId="77777777" w:rsidR="002F1410" w:rsidRDefault="002F1410" w:rsidP="002F1410">
      <w:pPr>
        <w:rPr>
          <w:rFonts w:ascii="Times New Roman" w:hAnsi="Times New Roman" w:cs="Times New Roman"/>
          <w:b/>
        </w:rPr>
        <w:sectPr w:rsidR="002F1410" w:rsidSect="00D21763">
          <w:pgSz w:w="12240" w:h="15840"/>
          <w:pgMar w:top="1440" w:right="1440" w:bottom="1440" w:left="1440" w:header="720" w:footer="720" w:gutter="0"/>
          <w:cols w:space="720"/>
          <w:docGrid w:linePitch="360"/>
        </w:sectPr>
      </w:pPr>
    </w:p>
    <w:p w14:paraId="4AB41E13" w14:textId="77777777" w:rsidR="002F1410" w:rsidRDefault="002F1410" w:rsidP="002F1410">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7AF2AAF2" w14:textId="77777777" w:rsidR="002F1410" w:rsidRPr="00873A14" w:rsidRDefault="002F1410" w:rsidP="002F1410">
      <w:r>
        <w:rPr>
          <w:noProof/>
        </w:rPr>
        <mc:AlternateContent>
          <mc:Choice Requires="wps">
            <w:drawing>
              <wp:anchor distT="0" distB="0" distL="114300" distR="114300" simplePos="0" relativeHeight="251670528" behindDoc="0" locked="0" layoutInCell="1" allowOverlap="1" wp14:anchorId="0780993B" wp14:editId="6B831F28">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B1AEF"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80993B"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624B1AEF"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04F409D" wp14:editId="1B6E7CE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52A4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4F409D"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76552A4C"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BAC11F" wp14:editId="2F8FB13B">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49FE5"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BAC11F"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3C449FE5" w14:textId="77777777" w:rsidR="002F1410" w:rsidRPr="00EC0570" w:rsidRDefault="002F1410"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681233D2" w14:textId="713080C9" w:rsidR="00E84FD5" w:rsidRPr="00F67395" w:rsidRDefault="002F1410" w:rsidP="00F67395">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368EFEB9" wp14:editId="26CED454">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44D75"/>
    <w:rsid w:val="00053BFD"/>
    <w:rsid w:val="00057433"/>
    <w:rsid w:val="00070B59"/>
    <w:rsid w:val="00073134"/>
    <w:rsid w:val="000746E2"/>
    <w:rsid w:val="00077EFF"/>
    <w:rsid w:val="000A162A"/>
    <w:rsid w:val="000A4799"/>
    <w:rsid w:val="000A789B"/>
    <w:rsid w:val="000B0DDA"/>
    <w:rsid w:val="000B4F5C"/>
    <w:rsid w:val="000C4B1C"/>
    <w:rsid w:val="000D089F"/>
    <w:rsid w:val="000D147E"/>
    <w:rsid w:val="000D7141"/>
    <w:rsid w:val="000F1587"/>
    <w:rsid w:val="000F7524"/>
    <w:rsid w:val="00103FE8"/>
    <w:rsid w:val="00110689"/>
    <w:rsid w:val="0012027B"/>
    <w:rsid w:val="001242C9"/>
    <w:rsid w:val="00132303"/>
    <w:rsid w:val="00133C5A"/>
    <w:rsid w:val="00144CA1"/>
    <w:rsid w:val="001547EE"/>
    <w:rsid w:val="00155963"/>
    <w:rsid w:val="001703ED"/>
    <w:rsid w:val="00173F74"/>
    <w:rsid w:val="001A09E5"/>
    <w:rsid w:val="001A6F2B"/>
    <w:rsid w:val="001C10A4"/>
    <w:rsid w:val="001C44B4"/>
    <w:rsid w:val="001D02F3"/>
    <w:rsid w:val="001D12AB"/>
    <w:rsid w:val="001D2661"/>
    <w:rsid w:val="001F3C80"/>
    <w:rsid w:val="001F447B"/>
    <w:rsid w:val="001F5BC1"/>
    <w:rsid w:val="00207EF8"/>
    <w:rsid w:val="00207FEE"/>
    <w:rsid w:val="002413D8"/>
    <w:rsid w:val="002713F1"/>
    <w:rsid w:val="00286BDA"/>
    <w:rsid w:val="002925CD"/>
    <w:rsid w:val="00295AEB"/>
    <w:rsid w:val="00295EB2"/>
    <w:rsid w:val="002A30F0"/>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73169"/>
    <w:rsid w:val="00386797"/>
    <w:rsid w:val="003C0238"/>
    <w:rsid w:val="003D0E90"/>
    <w:rsid w:val="003D4604"/>
    <w:rsid w:val="003D4660"/>
    <w:rsid w:val="003E3E05"/>
    <w:rsid w:val="00406553"/>
    <w:rsid w:val="00410E4A"/>
    <w:rsid w:val="00436B49"/>
    <w:rsid w:val="00450486"/>
    <w:rsid w:val="00462DB8"/>
    <w:rsid w:val="004704B3"/>
    <w:rsid w:val="004764A4"/>
    <w:rsid w:val="004946CA"/>
    <w:rsid w:val="004A5AC1"/>
    <w:rsid w:val="004B34D5"/>
    <w:rsid w:val="004C6E33"/>
    <w:rsid w:val="004E6979"/>
    <w:rsid w:val="004F1B04"/>
    <w:rsid w:val="005013B4"/>
    <w:rsid w:val="00501AFB"/>
    <w:rsid w:val="005028DF"/>
    <w:rsid w:val="00514A26"/>
    <w:rsid w:val="00526CDC"/>
    <w:rsid w:val="00542040"/>
    <w:rsid w:val="00546984"/>
    <w:rsid w:val="00556B9E"/>
    <w:rsid w:val="005572DE"/>
    <w:rsid w:val="005665FD"/>
    <w:rsid w:val="0057656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088A"/>
    <w:rsid w:val="00634D89"/>
    <w:rsid w:val="00647C04"/>
    <w:rsid w:val="0065100E"/>
    <w:rsid w:val="006579D3"/>
    <w:rsid w:val="00667C6D"/>
    <w:rsid w:val="00672917"/>
    <w:rsid w:val="00676FE5"/>
    <w:rsid w:val="00694752"/>
    <w:rsid w:val="00694B28"/>
    <w:rsid w:val="00695C3B"/>
    <w:rsid w:val="006C7FE2"/>
    <w:rsid w:val="006D07CA"/>
    <w:rsid w:val="006D2BAD"/>
    <w:rsid w:val="006D6F76"/>
    <w:rsid w:val="006E2B05"/>
    <w:rsid w:val="00707031"/>
    <w:rsid w:val="007102A9"/>
    <w:rsid w:val="00715F4C"/>
    <w:rsid w:val="007234D3"/>
    <w:rsid w:val="00730BA4"/>
    <w:rsid w:val="00741A92"/>
    <w:rsid w:val="0076017F"/>
    <w:rsid w:val="00764775"/>
    <w:rsid w:val="007716DA"/>
    <w:rsid w:val="00771E1C"/>
    <w:rsid w:val="0078182E"/>
    <w:rsid w:val="00797AAA"/>
    <w:rsid w:val="007A6C8E"/>
    <w:rsid w:val="007B6221"/>
    <w:rsid w:val="007D5D7A"/>
    <w:rsid w:val="007E23D6"/>
    <w:rsid w:val="007E79E2"/>
    <w:rsid w:val="007F536B"/>
    <w:rsid w:val="008207F7"/>
    <w:rsid w:val="00821148"/>
    <w:rsid w:val="0082771D"/>
    <w:rsid w:val="00833BEA"/>
    <w:rsid w:val="00846B4C"/>
    <w:rsid w:val="0085286F"/>
    <w:rsid w:val="0085679E"/>
    <w:rsid w:val="0086650C"/>
    <w:rsid w:val="00887657"/>
    <w:rsid w:val="008A5635"/>
    <w:rsid w:val="008A588D"/>
    <w:rsid w:val="008F02BB"/>
    <w:rsid w:val="008F2714"/>
    <w:rsid w:val="0091245A"/>
    <w:rsid w:val="00932531"/>
    <w:rsid w:val="00987B94"/>
    <w:rsid w:val="00994D3F"/>
    <w:rsid w:val="009A52FD"/>
    <w:rsid w:val="009A7C3C"/>
    <w:rsid w:val="009C509B"/>
    <w:rsid w:val="009D1B0B"/>
    <w:rsid w:val="009E3368"/>
    <w:rsid w:val="009F1580"/>
    <w:rsid w:val="009F19E2"/>
    <w:rsid w:val="009F45A6"/>
    <w:rsid w:val="00A14954"/>
    <w:rsid w:val="00A53C1F"/>
    <w:rsid w:val="00A94B5B"/>
    <w:rsid w:val="00AA4E23"/>
    <w:rsid w:val="00AA759E"/>
    <w:rsid w:val="00AB5C65"/>
    <w:rsid w:val="00AB7398"/>
    <w:rsid w:val="00AD7FD9"/>
    <w:rsid w:val="00AF05DE"/>
    <w:rsid w:val="00B03182"/>
    <w:rsid w:val="00B155A0"/>
    <w:rsid w:val="00B1621D"/>
    <w:rsid w:val="00B20482"/>
    <w:rsid w:val="00B55E52"/>
    <w:rsid w:val="00B819CA"/>
    <w:rsid w:val="00B90AC5"/>
    <w:rsid w:val="00BB3AA0"/>
    <w:rsid w:val="00BB427C"/>
    <w:rsid w:val="00BB62A5"/>
    <w:rsid w:val="00BC652B"/>
    <w:rsid w:val="00BE3045"/>
    <w:rsid w:val="00BF053D"/>
    <w:rsid w:val="00C2361F"/>
    <w:rsid w:val="00C348DE"/>
    <w:rsid w:val="00C34CA4"/>
    <w:rsid w:val="00C415FA"/>
    <w:rsid w:val="00C57D50"/>
    <w:rsid w:val="00C7299A"/>
    <w:rsid w:val="00C77194"/>
    <w:rsid w:val="00C87AA6"/>
    <w:rsid w:val="00C93A87"/>
    <w:rsid w:val="00C93E19"/>
    <w:rsid w:val="00CA4793"/>
    <w:rsid w:val="00CB0AC0"/>
    <w:rsid w:val="00CB1D1B"/>
    <w:rsid w:val="00CE17A7"/>
    <w:rsid w:val="00CE5731"/>
    <w:rsid w:val="00D01CA2"/>
    <w:rsid w:val="00D031E1"/>
    <w:rsid w:val="00D13CF8"/>
    <w:rsid w:val="00D21763"/>
    <w:rsid w:val="00D35151"/>
    <w:rsid w:val="00D51344"/>
    <w:rsid w:val="00D72A21"/>
    <w:rsid w:val="00D73FBF"/>
    <w:rsid w:val="00D82EDE"/>
    <w:rsid w:val="00DA150F"/>
    <w:rsid w:val="00DB5D93"/>
    <w:rsid w:val="00DD3C34"/>
    <w:rsid w:val="00DE2F35"/>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E69D3"/>
    <w:rsid w:val="00EF72E9"/>
    <w:rsid w:val="00F0171C"/>
    <w:rsid w:val="00F02F80"/>
    <w:rsid w:val="00F26A6B"/>
    <w:rsid w:val="00F3141A"/>
    <w:rsid w:val="00F605A1"/>
    <w:rsid w:val="00F67395"/>
    <w:rsid w:val="00FA6DA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699FDC-8DCD-A046-BFC7-2DCD56C3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39</Pages>
  <Words>25370</Words>
  <Characters>144611</Characters>
  <Application>Microsoft Macintosh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146</cp:revision>
  <cp:lastPrinted>2015-06-05T01:03:00Z</cp:lastPrinted>
  <dcterms:created xsi:type="dcterms:W3CDTF">2014-03-10T17:18:00Z</dcterms:created>
  <dcterms:modified xsi:type="dcterms:W3CDTF">2017-07-20T12:45:00Z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