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033B6" w14:textId="3F50F29C" w:rsidR="00026940" w:rsidRDefault="00026940" w:rsidP="007E79E2">
      <w:pPr>
        <w:outlineLvl w:val="0"/>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9189EDD" w:rsidR="00026940" w:rsidRDefault="00026940" w:rsidP="0059502B">
      <w:pPr>
        <w:rPr>
          <w:rFonts w:ascii="Times New Roman" w:hAnsi="Times New Roman" w:cs="Times New Roman"/>
        </w:rPr>
      </w:pPr>
      <w:r>
        <w:rPr>
          <w:rFonts w:ascii="Times New Roman" w:hAnsi="Times New Roman" w:cs="Times New Roman"/>
        </w:rPr>
        <w:t xml:space="preserve">* Slim intro material to that appropriate for </w:t>
      </w:r>
      <w:r w:rsidR="00833BEA">
        <w:rPr>
          <w:rFonts w:ascii="Times New Roman" w:hAnsi="Times New Roman" w:cs="Times New Roman"/>
        </w:rPr>
        <w:t>Journal of the Torrey Botanical Society</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r w:rsidR="00694752" w:rsidRPr="00694752">
        <w:rPr>
          <w:rFonts w:ascii="Times New Roman" w:hAnsi="Times New Roman" w:cs="Times New Roman"/>
          <w:iCs/>
        </w:rPr>
        <w:t>fral-herbariam</w:t>
      </w:r>
      <w:r w:rsidR="00694752">
        <w:rPr>
          <w:rFonts w:ascii="Times New Roman" w:hAnsi="Times New Roman" w:cs="Times New Roman"/>
          <w:iCs/>
        </w:rPr>
        <w:t>” in mendeley</w:t>
      </w:r>
    </w:p>
    <w:p w14:paraId="426FD210" w14:textId="77777777" w:rsidR="00D13CF8" w:rsidRDefault="00D13CF8" w:rsidP="00D13CF8">
      <w:pPr>
        <w:rPr>
          <w:rFonts w:ascii="Times New Roman" w:hAnsi="Times New Roman" w:cs="Times New Roman"/>
        </w:rPr>
      </w:pPr>
    </w:p>
    <w:p w14:paraId="56DA9677" w14:textId="77777777" w:rsidR="00D13CF8" w:rsidRPr="00DD3C34" w:rsidRDefault="00D13CF8" w:rsidP="00D13CF8">
      <w:pPr>
        <w:rPr>
          <w:rFonts w:ascii="Times New Roman" w:hAnsi="Times New Roman" w:cs="Times New Roman"/>
        </w:rPr>
      </w:pPr>
    </w:p>
    <w:p w14:paraId="3FFE7316" w14:textId="77777777" w:rsidR="00833BEA" w:rsidRDefault="00833BEA">
      <w:pPr>
        <w:rPr>
          <w:rFonts w:ascii="Times New Roman" w:hAnsi="Times New Roman" w:cs="Times New Roman"/>
          <w:b/>
        </w:rPr>
      </w:pPr>
      <w:r>
        <w:rPr>
          <w:rFonts w:ascii="Times New Roman" w:hAnsi="Times New Roman" w:cs="Times New Roman"/>
          <w:b/>
        </w:rPr>
        <w:br w:type="page"/>
      </w:r>
    </w:p>
    <w:p w14:paraId="1F91D921" w14:textId="77777777" w:rsidR="00833BEA" w:rsidRPr="000A4799" w:rsidRDefault="00833BEA" w:rsidP="007E79E2">
      <w:pPr>
        <w:outlineLvl w:val="0"/>
        <w:rPr>
          <w:rFonts w:ascii="Times New Roman" w:hAnsi="Times New Roman" w:cs="Times New Roman"/>
          <w:b/>
        </w:rPr>
      </w:pPr>
      <w:r>
        <w:rPr>
          <w:rFonts w:ascii="Times New Roman" w:hAnsi="Times New Roman" w:cs="Times New Roman"/>
          <w:b/>
        </w:rPr>
        <w:lastRenderedPageBreak/>
        <w:t>Running head:</w:t>
      </w:r>
    </w:p>
    <w:p w14:paraId="39437B10" w14:textId="77777777" w:rsidR="00833BEA" w:rsidRPr="008F2714" w:rsidRDefault="00833BEA" w:rsidP="00833BEA">
      <w:pPr>
        <w:rPr>
          <w:rFonts w:ascii="Times New Roman" w:hAnsi="Times New Roman" w:cs="Times New Roman"/>
        </w:rPr>
      </w:pPr>
    </w:p>
    <w:p w14:paraId="6CD4F7DE" w14:textId="77777777"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Pr="00556B9E">
        <w:rPr>
          <w:rFonts w:ascii="Times New Roman" w:hAnsi="Times New Roman" w:cs="Times New Roman"/>
        </w:rPr>
        <w:t>Analysis of information from multiple herbarium calls into question exist</w:t>
      </w:r>
      <w:r>
        <w:rPr>
          <w:rFonts w:ascii="Times New Roman" w:hAnsi="Times New Roman" w:cs="Times New Roman"/>
        </w:rPr>
        <w:t xml:space="preserve">ence of lag-phase in spread of </w:t>
      </w:r>
      <w:r w:rsidRPr="00CA4793">
        <w:rPr>
          <w:rFonts w:ascii="Times New Roman" w:hAnsi="Times New Roman" w:cs="Times New Roman"/>
          <w:i/>
        </w:rPr>
        <w:t>Frangula alnus</w:t>
      </w:r>
      <w:r w:rsidRPr="00556B9E">
        <w:rPr>
          <w:rFonts w:ascii="Times New Roman" w:hAnsi="Times New Roman" w:cs="Times New Roman"/>
        </w:rPr>
        <w:t xml:space="preserve"> in North America</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7E79E2">
      <w:pPr>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7E79E2">
      <w:pPr>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7E79E2">
      <w:pPr>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7E79E2">
      <w:pPr>
        <w:outlineLvl w:val="0"/>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7E79E2">
      <w:pPr>
        <w:outlineLvl w:val="0"/>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3FFF4DEF"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w:t>
      </w:r>
      <w:r w:rsidR="00E305F9">
        <w:rPr>
          <w:rFonts w:ascii="Times New Roman" w:hAnsi="Times New Roman" w:cs="Times New Roman"/>
        </w:rPr>
        <w:t xml:space="preserve"> </w:t>
      </w:r>
      <w:r w:rsidR="00E305F9">
        <w:rPr>
          <w:rFonts w:ascii="Times New Roman" w:hAnsi="Times New Roman" w:cs="Times New Roman"/>
          <w:color w:val="FF0000"/>
        </w:rPr>
        <w:t>Additional transitional statement.</w:t>
      </w:r>
      <w:r w:rsidR="00C2361F">
        <w:rPr>
          <w:rFonts w:ascii="Times New Roman" w:hAnsi="Times New Roman" w:cs="Times New Roman"/>
          <w:color w:val="FF0000"/>
        </w:rPr>
        <w:t xml:space="preserve"> Of particular importance has been the use of herbarium records to estimate lag-phase durations for non-native invasive species.</w:t>
      </w:r>
      <w:r w:rsidR="00E305F9">
        <w:rPr>
          <w:rFonts w:ascii="Times New Roman" w:hAnsi="Times New Roman" w:cs="Times New Roman"/>
          <w:color w:val="FF0000"/>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alnus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F. alnus</w:t>
      </w:r>
      <w:r w:rsidRPr="00F66DB3">
        <w:rPr>
          <w:rFonts w:ascii="Times New Roman" w:hAnsi="Times New Roman" w:cs="Times New Roman"/>
        </w:rPr>
        <w:t xml:space="preserve"> is a perennial woody </w:t>
      </w:r>
      <w:r w:rsidR="00386797">
        <w:rPr>
          <w:rFonts w:ascii="Times New Roman" w:hAnsi="Times New Roman" w:cs="Times New Roman"/>
        </w:rPr>
        <w:t>shrub</w:t>
      </w:r>
      <w:r w:rsidRPr="00F66DB3">
        <w:rPr>
          <w:rFonts w:ascii="Times New Roman" w:hAnsi="Times New Roman" w:cs="Times New Roman"/>
        </w:rPr>
        <w:t xml:space="preserve"> of concern to land managers throughout </w:t>
      </w:r>
      <w:r>
        <w:rPr>
          <w:rFonts w:ascii="Times New Roman" w:hAnsi="Times New Roman" w:cs="Times New Roman"/>
        </w:rPr>
        <w:t>the invaded range</w:t>
      </w:r>
      <w:r w:rsidRPr="00F66DB3">
        <w:rPr>
          <w:rFonts w:ascii="Times New Roman" w:hAnsi="Times New Roman" w:cs="Times New Roman"/>
        </w:rPr>
        <w:t xml:space="preserve">.  </w:t>
      </w:r>
      <w:r w:rsidR="00386797">
        <w:rPr>
          <w:rFonts w:ascii="Times New Roman" w:hAnsi="Times New Roman" w:cs="Times New Roman"/>
        </w:rPr>
        <w:t>I collected a</w:t>
      </w:r>
      <w:r w:rsidRPr="00F66DB3">
        <w:rPr>
          <w:rFonts w:ascii="Times New Roman" w:hAnsi="Times New Roman" w:cs="Times New Roman"/>
        </w:rPr>
        <w:t>ccession records from online databases</w:t>
      </w:r>
      <w:r w:rsidR="00386797">
        <w:rPr>
          <w:rFonts w:ascii="Times New Roman" w:hAnsi="Times New Roman" w:cs="Times New Roman"/>
        </w:rPr>
        <w:t xml:space="preserve"> and requests</w:t>
      </w:r>
      <w:r w:rsidRPr="00F66DB3">
        <w:rPr>
          <w:rFonts w:ascii="Times New Roman" w:hAnsi="Times New Roman" w:cs="Times New Roman"/>
        </w:rPr>
        <w:t xml:space="preserve"> </w:t>
      </w:r>
      <w:r w:rsidR="00386797">
        <w:rPr>
          <w:rFonts w:ascii="Times New Roman" w:hAnsi="Times New Roman" w:cs="Times New Roman"/>
        </w:rPr>
        <w:t xml:space="preserve">to curators </w:t>
      </w:r>
      <w:r w:rsidRPr="00F66DB3">
        <w:rPr>
          <w:rFonts w:ascii="Times New Roman" w:hAnsi="Times New Roman" w:cs="Times New Roman"/>
        </w:rPr>
        <w:t>of herbaria throughout North America</w:t>
      </w:r>
      <w:r>
        <w:rPr>
          <w:rFonts w:ascii="Times New Roman" w:hAnsi="Times New Roman" w:cs="Times New Roman"/>
        </w:rPr>
        <w:t>, resulting in &gt;700</w:t>
      </w:r>
      <w:r w:rsidRPr="00F66DB3">
        <w:rPr>
          <w:rFonts w:ascii="Times New Roman" w:hAnsi="Times New Roman" w:cs="Times New Roman"/>
        </w:rPr>
        <w:t xml:space="preserve"> records of </w:t>
      </w:r>
      <w:r w:rsidRPr="00F66DB3">
        <w:rPr>
          <w:rFonts w:ascii="Times New Roman" w:hAnsi="Times New Roman" w:cs="Times New Roman"/>
          <w:i/>
        </w:rPr>
        <w:t>F. alnus</w:t>
      </w:r>
      <w:r w:rsidRPr="00F66DB3">
        <w:rPr>
          <w:rFonts w:ascii="Times New Roman" w:hAnsi="Times New Roman" w:cs="Times New Roman"/>
        </w:rPr>
        <w:t xml:space="preserve"> covering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0849E0DB" w14:textId="7B036BE4" w:rsidR="00FA6DA1" w:rsidRPr="00FA6DA1" w:rsidRDefault="00FA6DA1" w:rsidP="007E79E2">
      <w:pPr>
        <w:outlineLvl w:val="0"/>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r>
        <w:rPr>
          <w:rFonts w:ascii="Times New Roman" w:hAnsi="Times New Roman" w:cs="Times New Roman"/>
          <w:i/>
        </w:rPr>
        <w:t>Frangula alnus</w:t>
      </w:r>
      <w:r>
        <w:rPr>
          <w:rFonts w:ascii="Times New Roman" w:hAnsi="Times New Roman" w:cs="Times New Roman"/>
        </w:rPr>
        <w:t>; lag phase; herbarium; spatial spread</w:t>
      </w: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DB79E4D" w:rsidR="0059502B" w:rsidRPr="008F02BB" w:rsidRDefault="0059502B" w:rsidP="007E79E2">
      <w:pPr>
        <w:outlineLvl w:val="0"/>
        <w:rPr>
          <w:rFonts w:ascii="Times New Roman" w:hAnsi="Times New Roman" w:cs="Times New Roman"/>
          <w:b/>
          <w:color w:val="C00000"/>
        </w:rPr>
      </w:pPr>
      <w:r>
        <w:rPr>
          <w:rFonts w:ascii="Times New Roman" w:hAnsi="Times New Roman" w:cs="Times New Roman"/>
          <w:b/>
        </w:rPr>
        <w:lastRenderedPageBreak/>
        <w:t>Introduction</w:t>
      </w:r>
      <w:r w:rsidR="008F02BB">
        <w:rPr>
          <w:rFonts w:ascii="Times New Roman" w:hAnsi="Times New Roman" w:cs="Times New Roman"/>
          <w:b/>
        </w:rPr>
        <w:t xml:space="preserve"> </w:t>
      </w:r>
      <w:r w:rsidR="008F02BB">
        <w:rPr>
          <w:rFonts w:ascii="Times New Roman" w:hAnsi="Times New Roman" w:cs="Times New Roman"/>
          <w:b/>
          <w:color w:val="C00000"/>
        </w:rPr>
        <w:t>(</w:t>
      </w:r>
      <w:r w:rsidR="0065100E">
        <w:rPr>
          <w:rFonts w:ascii="Times New Roman" w:hAnsi="Times New Roman" w:cs="Times New Roman"/>
          <w:b/>
          <w:color w:val="C00000"/>
        </w:rPr>
        <w:t>Currently</w:t>
      </w:r>
      <w:r w:rsidR="008F02BB">
        <w:rPr>
          <w:rFonts w:ascii="Times New Roman" w:hAnsi="Times New Roman" w:cs="Times New Roman"/>
          <w:b/>
          <w:color w:val="C00000"/>
        </w:rPr>
        <w:t xml:space="preserve"> </w:t>
      </w:r>
      <w:r w:rsidR="00037281">
        <w:rPr>
          <w:rFonts w:ascii="Times New Roman" w:hAnsi="Times New Roman" w:cs="Times New Roman"/>
          <w:b/>
          <w:color w:val="C00000"/>
        </w:rPr>
        <w:t>~1400</w:t>
      </w:r>
      <w:r w:rsidR="0065100E">
        <w:rPr>
          <w:rFonts w:ascii="Times New Roman" w:hAnsi="Times New Roman" w:cs="Times New Roman"/>
          <w:b/>
          <w:color w:val="C00000"/>
        </w:rPr>
        <w:t xml:space="preserve"> words)</w:t>
      </w:r>
    </w:p>
    <w:p w14:paraId="0759E6C7" w14:textId="77777777" w:rsidR="006E2B05" w:rsidRDefault="006E2B05" w:rsidP="00F605A1">
      <w:pPr>
        <w:rPr>
          <w:rFonts w:ascii="Times New Roman" w:hAnsi="Times New Roman" w:cs="Times New Roman"/>
        </w:rPr>
      </w:pPr>
    </w:p>
    <w:p w14:paraId="60098EEA" w14:textId="251E1988" w:rsidR="0059502B" w:rsidRDefault="00F605A1" w:rsidP="001242C9">
      <w:pPr>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59502B">
        <w:rPr>
          <w:rFonts w:ascii="Times New Roman" w:hAnsi="Times New Roman" w:cs="Times New Roman"/>
        </w:rPr>
        <w:fldChar w:fldCharType="begin" w:fldLock="1"/>
      </w:r>
      <w:r w:rsidR="0085286F">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"ITEM-2",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"ITEM-3",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"ITEM-3",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"ITEM-4", "itemData" : { "author" : [ { "dropping-particle" : "", "family" : "Crooks", "given" : "JA", "non-dropping-particle" : "", "parse-names" : false, "suffix" : "" } ], "container-title" : "Ecoscience", "id" : "ITEM-4",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Crooks 2005, Theoharides and Dukes 2007)", "plainTextFormattedCitation" : "(Kowarik 1995, Crooks and Soul\u00e9 1999, Crooks 2005, Theoharides and Dukes 2007)", "previouslyFormattedCitation" : "(Kowarik 1995, Crooks and Soul\u00e9 1999, Crooks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F02F80" w:rsidRPr="00F02F80">
        <w:rPr>
          <w:rFonts w:ascii="Times New Roman" w:hAnsi="Times New Roman" w:cs="Times New Roman"/>
          <w:noProof/>
        </w:rPr>
        <w:t>(Kowarik 1995, Crooks and Soulé 1999, Crooks 2005,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9502B">
      <w:pPr>
        <w:ind w:firstLine="720"/>
        <w:rPr>
          <w:rFonts w:ascii="Times New Roman" w:hAnsi="Times New Roman" w:cs="Times New Roman"/>
        </w:rPr>
      </w:pPr>
    </w:p>
    <w:p w14:paraId="044DE0F8" w14:textId="69559FA3" w:rsidR="0059502B" w:rsidRPr="00DF40A5" w:rsidRDefault="001703ED" w:rsidP="001703ED">
      <w:pPr>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N(t) = N(0) R</w:t>
      </w:r>
      <w:r w:rsidRPr="00DF40A5">
        <w:rPr>
          <w:rFonts w:ascii="Times New Roman" w:hAnsi="Times New Roman" w:cs="Times New Roman"/>
          <w:i/>
          <w:color w:val="000000" w:themeColor="text1"/>
          <w:vertAlign w:val="superscript"/>
        </w:rPr>
        <w:t>t</w:t>
      </w:r>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positive density dependence effects (i.e. Allee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EB739D">
        <w:rPr>
          <w:rFonts w:ascii="Times New Roman" w:hAnsi="Times New Roman" w:cs="Times New Roman"/>
          <w:color w:val="000000" w:themeColor="text1"/>
        </w:rPr>
        <w:t>A plot of population size through time yields</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exponential growth curve.</w:t>
      </w:r>
      <w:r w:rsidR="0059502B" w:rsidRPr="00DF40A5">
        <w:rPr>
          <w:rFonts w:ascii="Times New Roman" w:hAnsi="Times New Roman" w:cs="Times New Roman"/>
          <w:color w:val="000000" w:themeColor="text1"/>
        </w:rPr>
        <w:t xml:space="preserve"> Crooks and Soulé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9502B">
      <w:pPr>
        <w:rPr>
          <w:rFonts w:ascii="Times New Roman" w:hAnsi="Times New Roman" w:cs="Times New Roman"/>
          <w:color w:val="7F7F7F" w:themeColor="text1" w:themeTint="80"/>
        </w:rPr>
      </w:pPr>
    </w:p>
    <w:p w14:paraId="25AA87B2" w14:textId="40D5D34E" w:rsidR="00596BE8" w:rsidRPr="00596BE8" w:rsidRDefault="00DF40A5" w:rsidP="00596BE8">
      <w:pPr>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 xml:space="preserve">ower than its potential maximum. </w:t>
      </w:r>
      <w:r w:rsidR="00286BDA">
        <w:rPr>
          <w:rFonts w:ascii="Times New Roman" w:hAnsi="Times New Roman" w:cs="Times New Roman"/>
          <w:color w:val="000000" w:themeColor="text1"/>
        </w:rPr>
        <w:t>A</w:t>
      </w:r>
      <w:r w:rsidR="00596BE8" w:rsidRPr="00596BE8">
        <w:rPr>
          <w:rFonts w:ascii="Times New Roman" w:hAnsi="Times New Roman" w:cs="Times New Roman"/>
          <w:color w:val="000000" w:themeColor="text1"/>
        </w:rPr>
        <w:t xml:space="preserve">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96BE8">
      <w:pPr>
        <w:ind w:firstLine="720"/>
        <w:rPr>
          <w:rFonts w:ascii="Times New Roman" w:hAnsi="Times New Roman" w:cs="Times New Roman"/>
          <w:color w:val="7F7F7F" w:themeColor="text1" w:themeTint="80"/>
        </w:rPr>
      </w:pPr>
    </w:p>
    <w:p w14:paraId="5FC9FBC8" w14:textId="2D353A0E" w:rsidR="0059502B" w:rsidRPr="002925CD" w:rsidRDefault="00462DB8" w:rsidP="00596BE8">
      <w:pPr>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5E2BA7">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1D02F3" w:rsidRPr="001D02F3">
        <w:rPr>
          <w:rFonts w:ascii="Times New Roman" w:hAnsi="Times New Roman" w:cs="Times New Roman"/>
          <w:noProof/>
          <w:color w:val="000000" w:themeColor="text1"/>
        </w:rPr>
        <w:t>(Mack et al. 2000, Sakai et al. 2001, Pyšek and Hulme 2005, Gurevitch et al. 2011)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F02F80">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2925CD" w:rsidRPr="002925CD">
        <w:rPr>
          <w:rFonts w:ascii="Times New Roman" w:hAnsi="Times New Roman" w:cs="Times New Roman"/>
          <w:noProof/>
          <w:color w:val="000000" w:themeColor="text1"/>
        </w:rPr>
        <w:t>(Aikio et al. 2010a)</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9502B">
      <w:pPr>
        <w:rPr>
          <w:rFonts w:ascii="Times New Roman" w:hAnsi="Times New Roman" w:cs="Times New Roman"/>
          <w:color w:val="7F7F7F" w:themeColor="text1" w:themeTint="80"/>
        </w:rPr>
      </w:pPr>
    </w:p>
    <w:p w14:paraId="715CCD2A" w14:textId="27E27287" w:rsidR="0059502B" w:rsidRPr="00132303" w:rsidRDefault="0059502B" w:rsidP="00300B41">
      <w:pPr>
        <w:ind w:firstLine="720"/>
        <w:rPr>
          <w:rFonts w:ascii="Times New Roman" w:hAnsi="Times New Roman" w:cs="Times New Roman"/>
          <w:color w:val="000000" w:themeColor="text1"/>
        </w:rPr>
      </w:pPr>
      <w:r w:rsidRPr="00132303">
        <w:rPr>
          <w:rFonts w:ascii="Times New Roman" w:hAnsi="Times New Roman" w:cs="Times New Roman"/>
          <w:color w:val="000000" w:themeColor="text1"/>
        </w:rPr>
        <w:lastRenderedPageBreak/>
        <w:t>Retrospective spatial analyses can yield insights into the ecological processes involved in the spread of non-native invasive s</w:t>
      </w:r>
      <w:r w:rsidR="000C4B1C">
        <w:rPr>
          <w:rFonts w:ascii="Times New Roman" w:hAnsi="Times New Roman" w:cs="Times New Roman"/>
          <w:color w:val="000000" w:themeColor="text1"/>
        </w:rPr>
        <w:t>pecies</w:t>
      </w:r>
      <w:r w:rsidRPr="00132303">
        <w:rPr>
          <w:rFonts w:ascii="Times New Roman" w:hAnsi="Times New Roman" w:cs="Times New Roman"/>
          <w:color w:val="000000" w:themeColor="text1"/>
        </w:rPr>
        <w:t xml:space="preserve">. </w:t>
      </w:r>
      <w:r w:rsidR="00606FD1">
        <w:rPr>
          <w:rFonts w:ascii="Times New Roman" w:hAnsi="Times New Roman" w:cs="Times New Roman"/>
          <w:color w:val="000000" w:themeColor="text1"/>
        </w:rPr>
        <w:t>T</w:t>
      </w:r>
      <w:r w:rsidR="00606FD1" w:rsidRPr="00132303">
        <w:rPr>
          <w:rFonts w:ascii="Times New Roman" w:hAnsi="Times New Roman" w:cs="Times New Roman"/>
          <w:color w:val="000000" w:themeColor="text1"/>
        </w:rPr>
        <w:t xml:space="preserve">he specimen holdings of herbaria </w:t>
      </w:r>
      <w:r w:rsidR="00606FD1">
        <w:rPr>
          <w:rFonts w:ascii="Times New Roman" w:hAnsi="Times New Roman" w:cs="Times New Roman"/>
          <w:color w:val="000000" w:themeColor="text1"/>
        </w:rPr>
        <w:t>provide a</w:t>
      </w:r>
      <w:r w:rsidRPr="00132303">
        <w:rPr>
          <w:rFonts w:ascii="Times New Roman" w:hAnsi="Times New Roman" w:cs="Times New Roman"/>
          <w:color w:val="000000" w:themeColor="text1"/>
        </w:rPr>
        <w:t xml:space="preserve"> rich data source for </w:t>
      </w:r>
      <w:r w:rsidR="00606FD1">
        <w:rPr>
          <w:rFonts w:ascii="Times New Roman" w:hAnsi="Times New Roman" w:cs="Times New Roman"/>
          <w:color w:val="000000" w:themeColor="text1"/>
        </w:rPr>
        <w:t>spatial analyses of plant species</w:t>
      </w:r>
      <w:r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Pr="00132303">
        <w:rPr>
          <w:rFonts w:ascii="Times New Roman" w:hAnsi="Times New Roman" w:cs="Times New Roman"/>
          <w:color w:val="000000" w:themeColor="text1"/>
        </w:rPr>
        <w:t xml:space="preserve"> estimate species rates of spread through time and space (</w:t>
      </w:r>
      <w:r w:rsidRPr="00132303">
        <w:rPr>
          <w:rFonts w:ascii="Times New Roman" w:hAnsi="Times New Roman" w:cs="Times New Roman"/>
          <w:color w:val="000000" w:themeColor="text1"/>
          <w:highlight w:val="yellow"/>
        </w:rPr>
        <w:t>e.g.,</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(Delisle et al. 2003, Salo 2005, Miller et al. 2009, Crawford and Hoagland 2009, Newbold 2010, Aikio et al. 2010a, 2010b, Lavoie 2012)</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Pr="00132303">
        <w:rPr>
          <w:rFonts w:ascii="Times New Roman" w:hAnsi="Times New Roman" w:cs="Times New Roman"/>
          <w:color w:val="000000" w:themeColor="text1"/>
        </w:rPr>
        <w:t xml:space="preserve">s on regional specimen collection. Other biases may emerge because of issues of convenience. </w:t>
      </w:r>
      <w:r w:rsidR="00797AAA">
        <w:rPr>
          <w:rFonts w:ascii="Times New Roman" w:hAnsi="Times New Roman" w:cs="Times New Roman"/>
          <w:color w:val="000000" w:themeColor="text1"/>
        </w:rPr>
        <w:t>For example, in many holdings a l</w:t>
      </w:r>
      <w:r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Pr="00132303">
        <w:rPr>
          <w:rFonts w:ascii="Times New Roman" w:hAnsi="Times New Roman" w:cs="Times New Roman"/>
          <w:color w:val="000000" w:themeColor="text1"/>
        </w:rPr>
        <w:t xml:space="preserve"> number of specimens </w:t>
      </w:r>
      <w:r w:rsidR="00797AAA">
        <w:rPr>
          <w:rFonts w:ascii="Times New Roman" w:hAnsi="Times New Roman" w:cs="Times New Roman"/>
          <w:color w:val="000000" w:themeColor="text1"/>
        </w:rPr>
        <w:t xml:space="preserve">were </w:t>
      </w:r>
      <w:r w:rsidRPr="00132303">
        <w:rPr>
          <w:rFonts w:ascii="Times New Roman" w:hAnsi="Times New Roman" w:cs="Times New Roman"/>
          <w:color w:val="000000" w:themeColor="text1"/>
        </w:rPr>
        <w:t>collected near museums, herbaria, botanical gardens, and academic centers, as</w:t>
      </w:r>
      <w:r w:rsidR="00320E7F" w:rsidRPr="00132303">
        <w:rPr>
          <w:rFonts w:ascii="Times New Roman" w:hAnsi="Times New Roman" w:cs="Times New Roman"/>
          <w:color w:val="000000" w:themeColor="text1"/>
        </w:rPr>
        <w:t xml:space="preserve"> well as urban areas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(Hijmans et al. 2000, Reddy and Dávalos 2003, Kadmon et al. 2004)</w:t>
      </w:r>
      <w:r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t>These potential biases make it difficult to determine if observed trends in herbarium collections (e.g., increased number of records thro</w:t>
      </w:r>
      <w:r w:rsidR="00D01CA2">
        <w:rPr>
          <w:rFonts w:ascii="Times New Roman" w:hAnsi="Times New Roman" w:cs="Times New Roman"/>
          <w:color w:val="000000" w:themeColor="text1"/>
        </w:rPr>
        <w:t>ugh time) are associated with</w:t>
      </w:r>
      <w:r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9502B">
      <w:pPr>
        <w:rPr>
          <w:rFonts w:ascii="Times New Roman" w:hAnsi="Times New Roman" w:cs="Times New Roman"/>
          <w:color w:val="7F7F7F" w:themeColor="text1" w:themeTint="80"/>
        </w:rPr>
      </w:pPr>
    </w:p>
    <w:p w14:paraId="43035C72" w14:textId="23C6829F" w:rsidR="0059502B" w:rsidRPr="00132303" w:rsidRDefault="0059502B" w:rsidP="0059502B">
      <w:pPr>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w:t>
      </w:r>
      <w:r w:rsidR="00797AAA">
        <w:rPr>
          <w:rFonts w:ascii="Times New Roman" w:hAnsi="Times New Roman" w:cs="Times New Roman"/>
          <w:color w:val="000000" w:themeColor="text1"/>
        </w:rPr>
        <w:t>areal</w:t>
      </w:r>
      <w:r w:rsidRPr="00132303">
        <w:rPr>
          <w:rFonts w:ascii="Times New Roman" w:hAnsi="Times New Roman" w:cs="Times New Roman"/>
          <w:color w:val="000000" w:themeColor="text1"/>
        </w:rPr>
        <w:t xml:space="preserve"> growth (i.e., spatial spread).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9F1580">
        <w:rPr>
          <w:rFonts w:ascii="Times New Roman" w:hAnsi="Times New Roman" w:cs="Times New Roman"/>
          <w:color w:val="000000" w:themeColor="text1"/>
        </w:rPr>
        <w:t>is</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9502B">
      <w:pPr>
        <w:rPr>
          <w:rFonts w:ascii="Times New Roman" w:hAnsi="Times New Roman" w:cs="Times New Roman"/>
          <w:color w:val="7F7F7F" w:themeColor="text1" w:themeTint="80"/>
        </w:rPr>
      </w:pPr>
    </w:p>
    <w:p w14:paraId="24782D58" w14:textId="280537BC" w:rsidR="0059502B" w:rsidRPr="00932531" w:rsidRDefault="00BF053D" w:rsidP="0059502B">
      <w:pPr>
        <w:ind w:firstLine="720"/>
        <w:rPr>
          <w:rFonts w:ascii="Times New Roman" w:hAnsi="Times New Roman" w:cs="Times New Roman"/>
          <w:color w:val="000000" w:themeColor="text1"/>
        </w:rPr>
      </w:pPr>
      <w:r w:rsidRPr="00932531">
        <w:rPr>
          <w:rFonts w:ascii="Times New Roman" w:hAnsi="Times New Roman" w:cs="Times New Roman"/>
          <w:color w:val="000000" w:themeColor="text1"/>
        </w:rPr>
        <w:t>A small number of methods have been developed to address the</w:t>
      </w:r>
      <w:r w:rsidR="009F1580">
        <w:rPr>
          <w:rFonts w:ascii="Times New Roman" w:hAnsi="Times New Roman" w:cs="Times New Roman"/>
          <w:color w:val="000000" w:themeColor="text1"/>
        </w:rPr>
        <w:t xml:space="preserve"> 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Catling and Porebski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Frangula alnus</w:t>
      </w:r>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alnus</w:t>
      </w:r>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i/>
          <w:color w:val="000000" w:themeColor="text1"/>
        </w:rPr>
        <w:t>Rhamnus alnifolia</w:t>
      </w:r>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F. alnus</w:t>
      </w:r>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F. alnus</w:t>
      </w:r>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qualitative, primarily visual,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(Delisle et al. 2003, 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9502B">
      <w:pPr>
        <w:rPr>
          <w:rFonts w:ascii="Times New Roman" w:hAnsi="Times New Roman" w:cs="Times New Roman"/>
        </w:rPr>
      </w:pPr>
    </w:p>
    <w:p w14:paraId="34A8B921" w14:textId="6F5AE35F" w:rsidR="0059502B" w:rsidRPr="00A3140D" w:rsidRDefault="0059502B" w:rsidP="000F7524">
      <w:pPr>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alnus</w:t>
      </w:r>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alnus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w:t>
      </w:r>
      <w:r w:rsidR="005964AF">
        <w:rPr>
          <w:rFonts w:ascii="Times New Roman" w:hAnsi="Times New Roman" w:cs="Times New Roman"/>
        </w:rPr>
        <w:t>The approach I use here allowed me to combine data from multiple herbaria</w:t>
      </w:r>
      <w:r w:rsidR="006D07CA">
        <w:rPr>
          <w:rFonts w:ascii="Times New Roman" w:hAnsi="Times New Roman" w:cs="Times New Roman"/>
        </w:rPr>
        <w:t xml:space="preserve">, while still accounting for potential biases. </w:t>
      </w:r>
      <w:r>
        <w:rPr>
          <w:rFonts w:ascii="Times New Roman" w:hAnsi="Times New Roman" w:cs="Times New Roman"/>
        </w:rPr>
        <w:t xml:space="preserve">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280CA925" w:rsidR="0059502B" w:rsidRPr="0078182E" w:rsidRDefault="00D73FBF" w:rsidP="007E79E2">
      <w:pPr>
        <w:outlineLvl w:val="0"/>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4F1B04">
        <w:rPr>
          <w:rFonts w:ascii="Times New Roman" w:hAnsi="Times New Roman" w:cs="Times New Roman"/>
          <w:b/>
        </w:rPr>
        <w:t xml:space="preserve"> </w:t>
      </w:r>
      <w:r w:rsidR="004C6E33">
        <w:rPr>
          <w:rFonts w:ascii="Times New Roman" w:hAnsi="Times New Roman" w:cs="Times New Roman"/>
          <w:b/>
          <w:color w:val="C00000"/>
        </w:rPr>
        <w:t>(~20</w:t>
      </w:r>
      <w:r w:rsidR="00E83125">
        <w:rPr>
          <w:rFonts w:ascii="Times New Roman" w:hAnsi="Times New Roman" w:cs="Times New Roman"/>
          <w:b/>
          <w:color w:val="C00000"/>
        </w:rPr>
        <w:t>00</w:t>
      </w:r>
      <w:r w:rsidR="0078182E">
        <w:rPr>
          <w:rFonts w:ascii="Times New Roman" w:hAnsi="Times New Roman" w:cs="Times New Roman"/>
          <w:b/>
          <w:color w:val="C00000"/>
        </w:rPr>
        <w:t xml:space="preserve"> words)</w:t>
      </w:r>
    </w:p>
    <w:p w14:paraId="683857F9" w14:textId="77777777" w:rsidR="0059502B" w:rsidRDefault="0059502B" w:rsidP="0059502B">
      <w:pPr>
        <w:rPr>
          <w:rFonts w:ascii="Times New Roman" w:hAnsi="Times New Roman" w:cs="Times New Roman"/>
        </w:rPr>
      </w:pPr>
    </w:p>
    <w:p w14:paraId="05FE7137" w14:textId="6CD007DC" w:rsidR="00D73FBF" w:rsidRPr="00647C04" w:rsidRDefault="00D73FBF" w:rsidP="007E79E2">
      <w:pPr>
        <w:outlineLvl w:val="0"/>
        <w:rPr>
          <w:rFonts w:ascii="Times New Roman" w:hAnsi="Times New Roman" w:cs="Times New Roman"/>
          <w:caps/>
        </w:rPr>
      </w:pPr>
      <w:r w:rsidRPr="00647C04">
        <w:rPr>
          <w:rFonts w:ascii="Times New Roman" w:hAnsi="Times New Roman" w:cs="Times New Roman"/>
          <w:caps/>
          <w:highlight w:val="yellow"/>
        </w:rPr>
        <w:t>Study Species</w:t>
      </w:r>
    </w:p>
    <w:p w14:paraId="0D4A0C8C" w14:textId="77777777" w:rsidR="00D73FBF" w:rsidRDefault="00D73FBF" w:rsidP="0059502B">
      <w:pPr>
        <w:rPr>
          <w:rFonts w:ascii="Times New Roman" w:hAnsi="Times New Roman" w:cs="Times New Roman"/>
        </w:rPr>
      </w:pPr>
    </w:p>
    <w:p w14:paraId="01D21D07" w14:textId="77777777" w:rsidR="005013B4" w:rsidRDefault="005013B4" w:rsidP="0059502B">
      <w:pPr>
        <w:rPr>
          <w:rFonts w:ascii="Times New Roman" w:hAnsi="Times New Roman" w:cs="Times New Roman"/>
        </w:rPr>
      </w:pPr>
    </w:p>
    <w:p w14:paraId="6263782B" w14:textId="66873B5A" w:rsidR="00D73FBF" w:rsidRPr="00C34CA4" w:rsidRDefault="0059502B" w:rsidP="00C34CA4">
      <w:pPr>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alnus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alnus OR </w:t>
      </w:r>
      <w:r>
        <w:rPr>
          <w:rFonts w:ascii="Times New Roman" w:hAnsi="Times New Roman" w:cs="Times New Roman"/>
        </w:rPr>
        <w:t xml:space="preserve">Rhammus frangula” in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alnus,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59502B">
      <w:pPr>
        <w:rPr>
          <w:rFonts w:ascii="Times New Roman" w:hAnsi="Times New Roman" w:cs="Times New Roman"/>
          <w:color w:val="7F7F7F" w:themeColor="text1" w:themeTint="80"/>
        </w:rPr>
      </w:pPr>
    </w:p>
    <w:p w14:paraId="400C1479" w14:textId="78231976" w:rsidR="0059502B" w:rsidRPr="00312367" w:rsidRDefault="00672917" w:rsidP="0059502B">
      <w:pPr>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sidR="00EB098D">
        <w:rPr>
          <w:rFonts w:ascii="Times New Roman" w:hAnsi="Times New Roman" w:cs="Times New Roman"/>
          <w:color w:val="000000" w:themeColor="text1"/>
        </w:rPr>
        <w:t>the</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w:t>
      </w:r>
      <w:r w:rsidR="00EB098D">
        <w:rPr>
          <w:rFonts w:ascii="Times New Roman" w:hAnsi="Times New Roman" w:cs="Times New Roman"/>
          <w:color w:val="000000" w:themeColor="text1"/>
        </w:rPr>
        <w:t>noting</w:t>
      </w:r>
      <w:r w:rsidR="0059502B" w:rsidRPr="00672917">
        <w:rPr>
          <w:rFonts w:ascii="Times New Roman" w:hAnsi="Times New Roman" w:cs="Times New Roman"/>
          <w:color w:val="000000" w:themeColor="text1"/>
        </w:rPr>
        <w:t xml:space="preserve"> where the specimen was collected. However, many had descriptive information, which I used to </w:t>
      </w:r>
      <w:r>
        <w:rPr>
          <w:rFonts w:ascii="Times New Roman" w:hAnsi="Times New Roman" w:cs="Times New Roman"/>
          <w:color w:val="000000" w:themeColor="text1"/>
        </w:rPr>
        <w:t xml:space="preserve">georeferenced the </w:t>
      </w:r>
      <w:r w:rsidR="0059502B" w:rsidRPr="00672917">
        <w:rPr>
          <w:rFonts w:ascii="Times New Roman" w:hAnsi="Times New Roman" w:cs="Times New Roman"/>
          <w:color w:val="000000" w:themeColor="text1"/>
        </w:rPr>
        <w:t>collection location. I primarily used GoogleEarth (Google Inc.) to georeference records (</w:t>
      </w:r>
      <w:r w:rsidR="0059502B" w:rsidRPr="00672917">
        <w:rPr>
          <w:rFonts w:ascii="Times New Roman" w:hAnsi="Times New Roman" w:cs="Times New Roman"/>
          <w:i/>
          <w:color w:val="000000" w:themeColor="text1"/>
        </w:rPr>
        <w:t>sensu</w:t>
      </w:r>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however some cases required additional searches on named locations, such as unique building names or geographic features. The descriptive location information allowed for varying degrees of precision in the final</w:t>
      </w:r>
      <w:r w:rsidR="00EB098D">
        <w:rPr>
          <w:rFonts w:ascii="Times New Roman" w:hAnsi="Times New Roman" w:cs="Times New Roman"/>
          <w:color w:val="000000" w:themeColor="text1"/>
        </w:rPr>
        <w:t xml:space="preserve"> assigned</w:t>
      </w:r>
      <w:r w:rsidR="0059502B" w:rsidRPr="00672917">
        <w:rPr>
          <w:rFonts w:ascii="Times New Roman" w:hAnsi="Times New Roman" w:cs="Times New Roman"/>
          <w:color w:val="000000" w:themeColor="text1"/>
        </w:rPr>
        <w:t xml:space="preserve"> latitude and longitude value.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For finer 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Biogeomancer Consortium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xml:space="preserve">. </w:t>
      </w:r>
    </w:p>
    <w:p w14:paraId="6257B4AC" w14:textId="77777777" w:rsidR="007B6221" w:rsidRDefault="007B6221" w:rsidP="0059502B">
      <w:pPr>
        <w:rPr>
          <w:rFonts w:ascii="Times New Roman" w:hAnsi="Times New Roman" w:cs="Times New Roman"/>
          <w:color w:val="7F7F7F" w:themeColor="text1" w:themeTint="80"/>
        </w:rPr>
      </w:pPr>
    </w:p>
    <w:p w14:paraId="78518F2B" w14:textId="7621C447" w:rsidR="0059502B" w:rsidRPr="00207FEE" w:rsidRDefault="0059502B" w:rsidP="007E23D6">
      <w:pPr>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r w:rsidRPr="00207FEE">
        <w:rPr>
          <w:rFonts w:ascii="Times New Roman" w:hAnsi="Times New Roman" w:cs="Times New Roman"/>
          <w:i/>
          <w:highlight w:val="yellow"/>
        </w:rPr>
        <w:t>sensu</w:t>
      </w:r>
      <w:r w:rsidRPr="00207FEE">
        <w:rPr>
          <w:rFonts w:ascii="Times New Roman" w:hAnsi="Times New Roman" w:cs="Times New Roman"/>
          <w:i/>
        </w:rPr>
        <w:t xml:space="preserve"> </w:t>
      </w:r>
      <w:r w:rsidRPr="00207FEE">
        <w:rPr>
          <w:rFonts w:ascii="Times New Roman" w:hAnsi="Times New Roman" w:cs="Times New Roman"/>
        </w:rPr>
        <w:fldChar w:fldCharType="begin" w:fldLock="1"/>
      </w:r>
      <w:r w:rsidR="00BC652B" w:rsidRPr="00207FE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sidRPr="00207FEE">
        <w:rPr>
          <w:rFonts w:ascii="Times New Roman" w:hAnsi="Times New Roman" w:cs="Times New Roman"/>
        </w:rPr>
        <w:fldChar w:fldCharType="separate"/>
      </w:r>
      <w:r w:rsidR="004B34D5" w:rsidRPr="00207FEE">
        <w:rPr>
          <w:rFonts w:ascii="Times New Roman" w:hAnsi="Times New Roman" w:cs="Times New Roman"/>
          <w:noProof/>
        </w:rPr>
        <w:t>(Pyšek and Prach 1993, Aikio et al. 2010a)</w:t>
      </w:r>
      <w:r w:rsidRPr="00207FEE">
        <w:rPr>
          <w:rFonts w:ascii="Times New Roman" w:hAnsi="Times New Roman" w:cs="Times New Roman"/>
        </w:rPr>
        <w:fldChar w:fldCharType="end"/>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F. alnus</w:t>
      </w:r>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w:t>
      </w:r>
      <w:r w:rsidRPr="005013B4">
        <w:rPr>
          <w:rFonts w:ascii="Times New Roman" w:hAnsi="Times New Roman" w:cs="Times New Roman"/>
          <w:i/>
        </w:rPr>
        <w:t>log</w:t>
      </w:r>
      <w:r w:rsidRPr="00207FEE">
        <w:rPr>
          <w:rFonts w:ascii="Times New Roman" w:hAnsi="Times New Roman" w:cs="Times New Roman"/>
        </w:rPr>
        <w:t xml:space="preserve">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t>
      </w:r>
      <w:r w:rsidRPr="00207FEE">
        <w:rPr>
          <w:rFonts w:ascii="Times New Roman" w:hAnsi="Times New Roman" w:cs="Times New Roman"/>
        </w:rPr>
        <w:lastRenderedPageBreak/>
        <w:t xml:space="preserve">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59502B">
      <w:pPr>
        <w:rPr>
          <w:rFonts w:ascii="Times New Roman" w:hAnsi="Times New Roman" w:cs="Times New Roman"/>
          <w:i/>
          <w:color w:val="7F7F7F" w:themeColor="text1" w:themeTint="80"/>
        </w:rPr>
      </w:pPr>
    </w:p>
    <w:p w14:paraId="686B2E6A" w14:textId="36BD4F19" w:rsidR="0059502B" w:rsidRPr="005E3186" w:rsidRDefault="0059502B" w:rsidP="005E3186">
      <w:pPr>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range expansion of </w:t>
      </w:r>
      <w:r w:rsidR="00EA659F" w:rsidRPr="005E3186">
        <w:rPr>
          <w:rFonts w:ascii="Times New Roman" w:hAnsi="Times New Roman" w:cs="Times New Roman"/>
          <w:i/>
          <w:iCs/>
        </w:rPr>
        <w:t>F. alnus</w:t>
      </w:r>
      <w:r w:rsidR="00EA659F" w:rsidRPr="005E3186">
        <w:rPr>
          <w:rFonts w:ascii="Times New Roman" w:hAnsi="Times New Roman" w:cs="Times New Roman"/>
        </w:rPr>
        <w:t xml:space="preserve">  throughout its novel range,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all presence locations. The grid was constructed using</w:t>
      </w:r>
      <w:r w:rsidRPr="005E3186">
        <w:rPr>
          <w:rFonts w:ascii="Times New Roman" w:hAnsi="Times New Roman" w:cs="Times New Roman"/>
        </w:rPr>
        <w:t xml:space="preserve"> the Quantum GIS software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(QGIS Development Team 2012)</w:t>
      </w:r>
      <w:r w:rsidRPr="005E3186">
        <w:rPr>
          <w:rFonts w:ascii="Times New Roman" w:hAnsi="Times New Roman" w:cs="Times New Roman"/>
        </w:rPr>
        <w:fldChar w:fldCharType="end"/>
      </w:r>
      <w:r w:rsidRPr="005E3186">
        <w:rPr>
          <w:rFonts w:ascii="Times New Roman" w:hAnsi="Times New Roman" w:cs="Times New Roman"/>
        </w:rPr>
        <w:t xml:space="preserve">. I used the R statistical programming environment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(R Core Team 2012)</w:t>
      </w:r>
      <w:r w:rsidRPr="005E3186">
        <w:rPr>
          <w:rFonts w:ascii="Times New Roman" w:hAnsi="Times New Roman" w:cs="Times New Roman"/>
        </w:rPr>
        <w:fldChar w:fldCharType="end"/>
      </w:r>
      <w:r w:rsidR="00070B59">
        <w:rPr>
          <w:rFonts w:ascii="Times New Roman" w:hAnsi="Times New Roman" w:cs="Times New Roman"/>
        </w:rPr>
        <w:t xml:space="preserve"> with additional</w:t>
      </w:r>
      <w:r w:rsidRPr="005E3186">
        <w:rPr>
          <w:rFonts w:ascii="Times New Roman" w:hAnsi="Times New Roman" w:cs="Times New Roman"/>
        </w:rPr>
        <w:t xml:space="preserve"> functions from the  “raster”, “rgdal”, and “dismo” packages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(Hijmans 2012, Keitt et al. 2012, Hijmans et al. 2013)</w:t>
      </w:r>
      <w:r w:rsidRPr="005E3186">
        <w:rPr>
          <w:rFonts w:ascii="Times New Roman" w:hAnsi="Times New Roman" w:cs="Times New Roman"/>
        </w:rPr>
        <w:fldChar w:fldCharType="end"/>
      </w:r>
      <w:r w:rsidRPr="005E3186">
        <w:rPr>
          <w:rFonts w:ascii="Times New Roman" w:hAnsi="Times New Roman" w:cs="Times New Roman"/>
        </w:rPr>
        <w:t xml:space="preserve"> </w:t>
      </w:r>
      <w:r w:rsidRPr="005E3186">
        <w:rPr>
          <w:rFonts w:ascii="Times New Roman" w:hAnsi="Times New Roman" w:cs="Times New Roman"/>
          <w:highlight w:val="yellow"/>
        </w:rPr>
        <w:t>respectively</w:t>
      </w:r>
      <w:r w:rsidRPr="005E3186">
        <w:rPr>
          <w:rFonts w:ascii="Times New Roman" w:hAnsi="Times New Roman" w:cs="Times New Roman"/>
        </w:rPr>
        <w:t>)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F. alnus</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5E3186">
        <w:rPr>
          <w:rFonts w:ascii="Times New Roman" w:hAnsi="Times New Roman" w:cs="Times New Roman"/>
          <w:highlight w:val="yellow"/>
        </w:rPr>
        <w:t>e.g.,</w:t>
      </w:r>
      <w:r w:rsidRPr="005E3186">
        <w:rPr>
          <w:rFonts w:ascii="Times New Roman" w:hAnsi="Times New Roman" w:cs="Times New Roman"/>
        </w:rPr>
        <w:t xml:space="preserv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(Pyšek and Prach 1995, Weber 1998, Delisle et al. 2003)</w:t>
      </w:r>
      <w:r w:rsidRPr="005E3186">
        <w:rPr>
          <w:rFonts w:ascii="Times New Roman" w:hAnsi="Times New Roman" w:cs="Times New Roman"/>
        </w:rPr>
        <w:fldChar w:fldCharType="end"/>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 xml:space="preserve">in the same </w:t>
      </w:r>
      <w:r w:rsidR="0012027B">
        <w:rPr>
          <w:rFonts w:ascii="Times New Roman" w:hAnsi="Times New Roman" w:cs="Times New Roman"/>
        </w:rPr>
        <w:t>way</w:t>
      </w:r>
      <w:r w:rsidR="005E2BA7" w:rsidRPr="005E3186">
        <w:rPr>
          <w:rFonts w:ascii="Times New Roman" w:hAnsi="Times New Roman" w:cs="Times New Roman"/>
        </w:rPr>
        <w:t xml:space="preserve"> as </w:t>
      </w:r>
      <w:r w:rsidR="0012027B">
        <w:rPr>
          <w:rFonts w:ascii="Times New Roman" w:hAnsi="Times New Roman" w:cs="Times New Roman"/>
        </w:rPr>
        <w:t xml:space="preserve">I did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59502B">
      <w:pPr>
        <w:rPr>
          <w:rFonts w:ascii="Times New Roman" w:hAnsi="Times New Roman" w:cs="Times New Roman"/>
          <w:color w:val="7F7F7F" w:themeColor="text1" w:themeTint="80"/>
        </w:rPr>
      </w:pPr>
    </w:p>
    <w:p w14:paraId="0A77248B" w14:textId="45DDE0A1" w:rsidR="0059502B" w:rsidRPr="000746E2" w:rsidRDefault="0059502B" w:rsidP="000746E2">
      <w:pPr>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alnus </w:t>
      </w:r>
      <w:r w:rsidRPr="000746E2">
        <w:rPr>
          <w:rFonts w:ascii="Times New Roman" w:hAnsi="Times New Roman" w:cs="Times New Roman"/>
        </w:rPr>
        <w:t xml:space="preserve">through time. Again, I assumed that once </w:t>
      </w:r>
      <w:r w:rsidRPr="000746E2">
        <w:rPr>
          <w:rFonts w:ascii="Times New Roman" w:hAnsi="Times New Roman" w:cs="Times New Roman"/>
          <w:i/>
        </w:rPr>
        <w:t>F. alnus</w:t>
      </w:r>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r w:rsidR="001547EE">
        <w:rPr>
          <w:rFonts w:ascii="Times New Roman" w:hAnsi="Times New Roman" w:cs="Times New Roman"/>
        </w:rPr>
        <w:t xml:space="preserve"> and area of occupancy through time</w:t>
      </w:r>
      <w:r w:rsidRPr="000746E2">
        <w:rPr>
          <w:rFonts w:ascii="Times New Roman" w:hAnsi="Times New Roman" w:cs="Times New Roman"/>
        </w:rPr>
        <w:t>.</w:t>
      </w:r>
    </w:p>
    <w:p w14:paraId="17C19A67" w14:textId="77777777" w:rsidR="0059502B" w:rsidRPr="00D73FBF" w:rsidRDefault="0059502B" w:rsidP="0059502B">
      <w:pPr>
        <w:rPr>
          <w:rFonts w:ascii="Times New Roman" w:hAnsi="Times New Roman" w:cs="Times New Roman"/>
          <w:color w:val="7F7F7F" w:themeColor="text1" w:themeTint="80"/>
        </w:rPr>
      </w:pPr>
    </w:p>
    <w:p w14:paraId="03C83B36" w14:textId="3B949217" w:rsidR="0059502B" w:rsidRPr="00DA150F" w:rsidRDefault="0059502B" w:rsidP="009C509B">
      <w:pPr>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Pr="00DA150F">
        <w:rPr>
          <w:rFonts w:ascii="Times New Roman" w:hAnsi="Times New Roman" w:cs="Times New Roman"/>
        </w:rPr>
        <w:fldChar w:fldCharType="begin" w:fldLock="1"/>
      </w:r>
      <w:r w:rsidR="00BC652B" w:rsidRPr="00DA150F">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A150F">
        <w:rPr>
          <w:rFonts w:ascii="Times New Roman" w:hAnsi="Times New Roman" w:cs="Times New Roman"/>
        </w:rPr>
        <w:fldChar w:fldCharType="separate"/>
      </w:r>
      <w:r w:rsidR="004B34D5" w:rsidRPr="00DA150F">
        <w:rPr>
          <w:rFonts w:ascii="Times New Roman" w:hAnsi="Times New Roman" w:cs="Times New Roman"/>
          <w:noProof/>
        </w:rPr>
        <w:t>(Delisle et al. 2003)</w:t>
      </w:r>
      <w:r w:rsidRPr="00DA150F">
        <w:rPr>
          <w:rFonts w:ascii="Times New Roman" w:hAnsi="Times New Roman" w:cs="Times New Roman"/>
        </w:rPr>
        <w:fldChar w:fldCharType="end"/>
      </w:r>
      <w:r w:rsidRPr="00DA150F">
        <w:rPr>
          <w:rFonts w:ascii="Times New Roman" w:hAnsi="Times New Roman" w:cs="Times New Roman"/>
        </w:rPr>
        <w:t xml:space="preserve">. </w:t>
      </w:r>
      <w:r w:rsidR="000319B1">
        <w:rPr>
          <w:rFonts w:ascii="Times New Roman" w:hAnsi="Times New Roman" w:cs="Times New Roman"/>
        </w:rPr>
        <w:t xml:space="preserve">Thus,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r w:rsidR="009C509B" w:rsidRPr="00DA150F">
        <w:rPr>
          <w:rFonts w:ascii="Times New Roman" w:hAnsi="Times New Roman" w:cs="Times New Roman"/>
          <w:i/>
          <w:iCs/>
        </w:rPr>
        <w:t>Alnus incana</w:t>
      </w:r>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serrulata</w:t>
      </w:r>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Rhamnus alnifolia</w:t>
      </w:r>
      <w:r w:rsidR="009C509B" w:rsidRPr="00DA150F">
        <w:rPr>
          <w:rFonts w:ascii="Times New Roman" w:hAnsi="Times New Roman" w:cs="Times New Roman"/>
        </w:rPr>
        <w:t xml:space="preserve"> (</w:t>
      </w:r>
      <w:r w:rsidRPr="00DA150F">
        <w:rPr>
          <w:rFonts w:ascii="Times New Roman" w:hAnsi="Times New Roman" w:cs="Times New Roman"/>
        </w:rPr>
        <w:t>Alderleaf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Salix peiolarisi</w:t>
      </w:r>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r w:rsidR="009C509B" w:rsidRPr="00DA150F">
        <w:rPr>
          <w:rFonts w:ascii="Times New Roman" w:hAnsi="Times New Roman" w:cs="Times New Roman"/>
          <w:i/>
          <w:iCs/>
        </w:rPr>
        <w:t>Hamamelis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9C509B" w:rsidRPr="00DA150F">
        <w:rPr>
          <w:rFonts w:ascii="Times New Roman" w:hAnsi="Times New Roman" w:cs="Times New Roman"/>
          <w:i/>
          <w:iCs/>
        </w:rPr>
        <w:t>Fraxinus Americana</w:t>
      </w:r>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F. alnus</w:t>
      </w:r>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DA150F">
        <w:rPr>
          <w:rFonts w:ascii="Times New Roman" w:hAnsi="Times New Roman" w:cs="Times New Roman"/>
          <w:highlight w:val="yellow"/>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DA150F" w:rsidRPr="00DA150F">
        <w:rPr>
          <w:rFonts w:ascii="Times New Roman" w:hAnsi="Times New Roman" w:cs="Times New Roman"/>
        </w:rPr>
        <w:fldChar w:fldCharType="begin" w:fldLock="1"/>
      </w:r>
      <w:r w:rsidR="00DA150F" w:rsidRPr="00DA150F">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"Houlahan", "given" : "J E", "non-dropping-particle" : "", "parse-names" : false, "suffix" : "" }, { "dropping-particle" : "", "family" : "Findlay", "given" : "\u0421 S", "non-dropping-particle" : "", "parse-names" : false, "suffix" : "" } ], "container-title" : "Conservation Biology", "id" : "ITEM-2", "issue" : "4", "issued" : { "date-parts" : [ [ "2004" ] ] }, "page" : "1132-1138", "publisher" : "Blackwell Science Inc", "title" : "Effect of invasive plant species on temperate wetland paint diversity", "type" : "article-journal", "volume" : "18" }, "uris" : [ "http://www.mendeley.com/documents/?uuid=9fe2bd65-f399-4b7c-a575-9477ad93ab16" ] }, { "id" : "ITEM-3",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"ITEM-3", "issued" : { "date-parts" : [ [ "1980" ] ] }, "publisher" : "Alfred A. Knopf", "title" : "National Audubon Society Field Guide to North American Trees: Eastern Region", "type" : "book" }, "uris" : [ "http://www.mendeley.com/documents/?uuid=aa4e6ee8-76b9-49a1-92ea-b11688cadf0f" ] } ], "mendeley" : { "formattedCitation" : "(Little et al. 1980, Catling and Porebski 1994, Houlahan and Findlay 2004)", "plainTextFormattedCitation" : "(Little et al. 1980, Catling and Porebski 1994, Houlahan and Findlay 2004)" }, "properties" : { "noteIndex" : 0 }, "schema" : "https://github.com/citation-style-language/schema/raw/master/csl-citation.json" }</w:instrText>
      </w:r>
      <w:r w:rsidR="00DA150F" w:rsidRPr="00DA150F">
        <w:rPr>
          <w:rFonts w:ascii="Times New Roman" w:hAnsi="Times New Roman" w:cs="Times New Roman"/>
        </w:rPr>
        <w:fldChar w:fldCharType="separate"/>
      </w:r>
      <w:r w:rsidR="00DA150F" w:rsidRPr="00DA150F">
        <w:rPr>
          <w:rFonts w:ascii="Times New Roman" w:hAnsi="Times New Roman" w:cs="Times New Roman"/>
          <w:noProof/>
        </w:rPr>
        <w:t>(Little et al. 1980, Catling and Porebski 1994, Houlahan and Findlay 2004)</w:t>
      </w:r>
      <w:r w:rsidR="00DA150F" w:rsidRPr="00DA150F">
        <w:rPr>
          <w:rFonts w:ascii="Times New Roman" w:hAnsi="Times New Roman" w:cs="Times New Roman"/>
        </w:rPr>
        <w:fldChar w:fldCharType="end"/>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all of 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59502B">
      <w:pPr>
        <w:rPr>
          <w:rFonts w:ascii="Times New Roman" w:hAnsi="Times New Roman" w:cs="Times New Roman"/>
          <w:color w:val="7F7F7F" w:themeColor="text1" w:themeTint="80"/>
        </w:rPr>
      </w:pPr>
    </w:p>
    <w:p w14:paraId="55FEB97D" w14:textId="6931FDA7" w:rsidR="0059502B" w:rsidRPr="00103FE8" w:rsidRDefault="0059502B" w:rsidP="0059502B">
      <w:pPr>
        <w:ind w:firstLine="720"/>
        <w:rPr>
          <w:rFonts w:ascii="Times New Roman" w:hAnsi="Times New Roman" w:cs="Times New Roman"/>
        </w:rPr>
      </w:pPr>
      <w:r w:rsidRPr="00103FE8">
        <w:rPr>
          <w:rFonts w:ascii="Times New Roman" w:hAnsi="Times New Roman" w:cs="Times New Roman"/>
        </w:rPr>
        <w:lastRenderedPageBreak/>
        <w:t xml:space="preserve">I compared the trends for </w:t>
      </w:r>
      <w:r w:rsidRPr="00103FE8">
        <w:rPr>
          <w:rFonts w:ascii="Times New Roman" w:hAnsi="Times New Roman" w:cs="Times New Roman"/>
          <w:i/>
        </w:rPr>
        <w:t>F. alnus</w:t>
      </w:r>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using a modified method to that presented by</w:t>
      </w:r>
      <w:r w:rsidRPr="00103FE8">
        <w:rPr>
          <w:rFonts w:ascii="Times New Roman" w:hAnsi="Times New Roman" w:cs="Times New Roman"/>
        </w:rPr>
        <w:t xml:space="preserve"> Delisle et al. </w:t>
      </w:r>
      <w:r w:rsidRPr="00103FE8">
        <w:rPr>
          <w:rFonts w:ascii="Times New Roman" w:hAnsi="Times New Roman" w:cs="Times New Roman"/>
        </w:rPr>
        <w:fldChar w:fldCharType="begin" w:fldLock="1"/>
      </w:r>
      <w:r w:rsidR="007A6C8E" w:rsidRPr="00103FE8">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sidRPr="00103FE8">
        <w:rPr>
          <w:rFonts w:ascii="Times New Roman" w:hAnsi="Times New Roman" w:cs="Times New Roman"/>
        </w:rPr>
        <w:fldChar w:fldCharType="separate"/>
      </w:r>
      <w:r w:rsidRPr="00103FE8">
        <w:rPr>
          <w:rFonts w:ascii="Times New Roman" w:hAnsi="Times New Roman" w:cs="Times New Roman"/>
          <w:noProof/>
        </w:rPr>
        <w:t>(2003)</w:t>
      </w:r>
      <w:r w:rsidRPr="00103FE8">
        <w:rPr>
          <w:rFonts w:ascii="Times New Roman" w:hAnsi="Times New Roman" w:cs="Times New Roman"/>
        </w:rPr>
        <w:fldChar w:fldCharType="end"/>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for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p>
    <w:p w14:paraId="281ED052" w14:textId="77777777" w:rsidR="0059502B" w:rsidRPr="00D73FBF" w:rsidRDefault="0059502B" w:rsidP="0059502B">
      <w:pPr>
        <w:rPr>
          <w:rFonts w:ascii="Times New Roman" w:hAnsi="Times New Roman" w:cs="Times New Roman"/>
          <w:color w:val="7F7F7F" w:themeColor="text1" w:themeTint="80"/>
        </w:rPr>
      </w:pPr>
    </w:p>
    <w:p w14:paraId="412AA072" w14:textId="7B956FB2" w:rsidR="0059502B" w:rsidRPr="009A7C3C" w:rsidRDefault="0059502B" w:rsidP="0059502B">
      <w:pPr>
        <w:ind w:firstLine="720"/>
        <w:rPr>
          <w:rFonts w:ascii="Times New Roman" w:hAnsi="Times New Roman" w:cs="Times New Roman"/>
        </w:rPr>
      </w:pPr>
      <w:r w:rsidRPr="009A7C3C">
        <w:rPr>
          <w:rFonts w:ascii="Times New Roman" w:hAnsi="Times New Roman" w:cs="Times New Roman"/>
        </w:rPr>
        <w:t xml:space="preserve">In this study, I was interested in examining spatial spread in a larger region than that studied in </w:t>
      </w:r>
      <w:r w:rsidRPr="009A7C3C">
        <w:rPr>
          <w:rFonts w:ascii="Times New Roman" w:hAnsi="Times New Roman" w:cs="Times New Roman"/>
        </w:rPr>
        <w:fldChar w:fldCharType="begin" w:fldLock="1"/>
      </w:r>
      <w:r w:rsidR="00BC652B" w:rsidRPr="009A7C3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9A7C3C">
        <w:rPr>
          <w:rFonts w:ascii="Times New Roman" w:hAnsi="Times New Roman" w:cs="Times New Roman"/>
        </w:rPr>
        <w:fldChar w:fldCharType="separate"/>
      </w:r>
      <w:r w:rsidR="004B34D5" w:rsidRPr="009A7C3C">
        <w:rPr>
          <w:rFonts w:ascii="Times New Roman" w:hAnsi="Times New Roman" w:cs="Times New Roman"/>
          <w:noProof/>
        </w:rPr>
        <w:t>(Delisle et al. 2003)</w:t>
      </w:r>
      <w:r w:rsidRPr="009A7C3C">
        <w:rPr>
          <w:rFonts w:ascii="Times New Roman" w:hAnsi="Times New Roman" w:cs="Times New Roman"/>
        </w:rPr>
        <w:fldChar w:fldCharType="end"/>
      </w:r>
      <w:r w:rsidRPr="009A7C3C">
        <w:rPr>
          <w:rFonts w:ascii="Times New Roman" w:hAnsi="Times New Roman" w:cs="Times New Roman"/>
        </w:rPr>
        <w:t>, as well as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F. alnus</w:t>
      </w:r>
      <w:r w:rsidRPr="009A7C3C">
        <w:rPr>
          <w:rFonts w:ascii="Times New Roman" w:hAnsi="Times New Roman" w:cs="Times New Roman"/>
        </w:rPr>
        <w:t xml:space="preserve"> has not been observed, most likely due to the larger niche breadth of some of the associated species compared to </w:t>
      </w:r>
      <w:r w:rsidRPr="009A7C3C">
        <w:rPr>
          <w:rFonts w:ascii="Times New Roman" w:hAnsi="Times New Roman" w:cs="Times New Roman"/>
          <w:i/>
        </w:rPr>
        <w:t xml:space="preserve">F. alnus, </w:t>
      </w:r>
      <w:r w:rsidRPr="009A7C3C">
        <w:rPr>
          <w:rFonts w:ascii="Times New Roman" w:hAnsi="Times New Roman" w:cs="Times New Roman"/>
        </w:rPr>
        <w:t xml:space="preserve">(e.g., </w:t>
      </w:r>
      <w:r w:rsidRPr="009A7C3C">
        <w:rPr>
          <w:rFonts w:ascii="Times New Roman" w:hAnsi="Times New Roman" w:cs="Times New Roman"/>
          <w:i/>
        </w:rPr>
        <w:t>Fraxinus americana</w:t>
      </w:r>
      <w:r w:rsidR="00AA4E23" w:rsidRPr="009A7C3C">
        <w:rPr>
          <w:rFonts w:ascii="Times New Roman" w:hAnsi="Times New Roman" w:cs="Times New Roman"/>
        </w:rPr>
        <w:t>)</w:t>
      </w:r>
      <w:r w:rsidR="00887657">
        <w:rPr>
          <w:rFonts w:ascii="Times New Roman" w:hAnsi="Times New Roman" w:cs="Times New Roman"/>
        </w:rPr>
        <w:t>.</w:t>
      </w:r>
      <w:r w:rsidRPr="009A7C3C">
        <w:rPr>
          <w:rFonts w:ascii="Times New Roman" w:hAnsi="Times New Roman" w:cs="Times New Roman"/>
        </w:rPr>
        <w:t xml:space="preserve"> Including these records in my analysis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F. alnus</w:t>
      </w:r>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F. alnus</w:t>
      </w:r>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 xml:space="preserve">(e.g.,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 (</w:t>
      </w:r>
      <w:r w:rsidR="009A7C3C" w:rsidRPr="009A7C3C">
        <w:rPr>
          <w:rFonts w:ascii="Times New Roman" w:hAnsi="Times New Roman" w:cs="Times New Roman"/>
        </w:rPr>
        <w:t>e.g.,</w:t>
      </w:r>
      <w:r w:rsidRPr="009A7C3C">
        <w:rPr>
          <w:rFonts w:ascii="Times New Roman" w:hAnsi="Times New Roman" w:cs="Times New Roman"/>
        </w:rPr>
        <w:t xml:space="preserve"> primarily located in the states of Ohio and New Jersey </w:t>
      </w:r>
      <w:r w:rsidR="009A7C3C" w:rsidRPr="009A7C3C">
        <w:rPr>
          <w:rFonts w:ascii="Times New Roman" w:hAnsi="Times New Roman" w:cs="Times New Roman"/>
        </w:rPr>
        <w:t>for the institutions mentioned)</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including these records had</w:t>
      </w:r>
      <w:r w:rsidRPr="009A7C3C">
        <w:rPr>
          <w:rFonts w:ascii="Times New Roman" w:hAnsi="Times New Roman" w:cs="Times New Roman"/>
        </w:rPr>
        <w:t xml:space="preserve"> the effect of increasing the area of occupancy of </w:t>
      </w:r>
      <w:r w:rsidRPr="009A7C3C">
        <w:rPr>
          <w:rFonts w:ascii="Times New Roman" w:hAnsi="Times New Roman" w:cs="Times New Roman"/>
          <w:i/>
        </w:rPr>
        <w:t>F. alnus</w:t>
      </w:r>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F. alnus</w:t>
      </w:r>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w:t>
      </w:r>
      <w:r w:rsidR="003D4604" w:rsidRPr="009A7C3C">
        <w:rPr>
          <w:rFonts w:ascii="Times New Roman" w:hAnsi="Times New Roman" w:cs="Times New Roman"/>
        </w:rPr>
        <w:t>30 x 30 arc minutes (i.e., 0.5° or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xml:space="preserve">, each record was assigned membership to one 30’ grid cell based on its latitude and longitude value. I then constructed restricted </w:t>
      </w:r>
      <w:r w:rsidRPr="009A7C3C">
        <w:rPr>
          <w:rFonts w:ascii="Times New Roman" w:hAnsi="Times New Roman" w:cs="Times New Roman"/>
          <w:i/>
        </w:rPr>
        <w:t>F. alnus</w:t>
      </w:r>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in which only records that occurred in a 30’ grid cell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F. alnus</w:t>
      </w:r>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F. alnus</w:t>
      </w:r>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F. alnus</w:t>
      </w:r>
      <w:r w:rsidRPr="009A7C3C">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sidRPr="009A7C3C">
        <w:rPr>
          <w:rFonts w:ascii="Times New Roman" w:hAnsi="Times New Roman" w:cs="Times New Roman"/>
          <w:i/>
        </w:rPr>
        <w:t>F. alnus</w:t>
      </w:r>
      <w:r w:rsidRPr="009A7C3C">
        <w:rPr>
          <w:rFonts w:ascii="Times New Roman" w:hAnsi="Times New Roman" w:cs="Times New Roman"/>
        </w:rPr>
        <w:t xml:space="preserve"> and the group of associated species. To compare the growth rates I divided the annual growth rate of </w:t>
      </w:r>
      <w:r w:rsidRPr="009A7C3C">
        <w:rPr>
          <w:rFonts w:ascii="Times New Roman" w:hAnsi="Times New Roman" w:cs="Times New Roman"/>
          <w:i/>
        </w:rPr>
        <w:t>F. alnus</w:t>
      </w:r>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59502B">
      <w:pPr>
        <w:rPr>
          <w:rFonts w:ascii="Times New Roman" w:hAnsi="Times New Roman" w:cs="Times New Roman"/>
          <w:color w:val="7F7F7F" w:themeColor="text1" w:themeTint="80"/>
        </w:rPr>
      </w:pPr>
    </w:p>
    <w:p w14:paraId="3E3F5DAD" w14:textId="72C108AA" w:rsidR="0059502B" w:rsidRPr="00E83125" w:rsidRDefault="0059502B" w:rsidP="00E83125">
      <w:pPr>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F. alnus</w:t>
      </w:r>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F. alnus</w:t>
      </w:r>
      <w:r w:rsidRPr="00E83125">
        <w:rPr>
          <w:rFonts w:ascii="Times New Roman" w:hAnsi="Times New Roman" w:cs="Times New Roman"/>
        </w:rPr>
        <w:t xml:space="preserve"> records by the cumulative number of associated species records. This correction method is similar to that proposed by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E83125">
        <w:rPr>
          <w:rFonts w:ascii="Times New Roman" w:hAnsi="Times New Roman" w:cs="Times New Roman"/>
        </w:rPr>
        <w:fldChar w:fldCharType="separate"/>
      </w:r>
      <w:r w:rsidR="004B34D5" w:rsidRPr="00E83125">
        <w:rPr>
          <w:rFonts w:ascii="Times New Roman" w:hAnsi="Times New Roman" w:cs="Times New Roman"/>
          <w:noProof/>
        </w:rPr>
        <w:t>(Delisle et al. 2003)</w:t>
      </w:r>
      <w:r w:rsidRPr="00E83125">
        <w:rPr>
          <w:rFonts w:ascii="Times New Roman" w:hAnsi="Times New Roman" w:cs="Times New Roman"/>
        </w:rPr>
        <w:fldChar w:fldCharType="end"/>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sidRPr="00E83125">
        <w:rPr>
          <w:rFonts w:ascii="Times New Roman" w:hAnsi="Times New Roman" w:cs="Times New Roman"/>
        </w:rPr>
        <w:fldChar w:fldCharType="separate"/>
      </w:r>
      <w:r w:rsidRPr="00E83125">
        <w:rPr>
          <w:rFonts w:ascii="Times New Roman" w:hAnsi="Times New Roman" w:cs="Times New Roman"/>
          <w:noProof/>
        </w:rPr>
        <w:t>Mihulka &amp; Pyšek 2001; Aikio et al. 2010a; Larkin 2011)</w:t>
      </w:r>
      <w:r w:rsidRPr="00E83125">
        <w:rPr>
          <w:rFonts w:ascii="Times New Roman" w:hAnsi="Times New Roman" w:cs="Times New Roman"/>
        </w:rPr>
        <w:fldChar w:fldCharType="end"/>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alnus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alnus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indicated that it was greater that that of the associated species.</w:t>
      </w:r>
    </w:p>
    <w:p w14:paraId="1FF99502" w14:textId="77777777" w:rsidR="0059502B" w:rsidRPr="00E83125" w:rsidRDefault="0059502B" w:rsidP="0059502B">
      <w:pPr>
        <w:rPr>
          <w:rFonts w:ascii="Times New Roman" w:hAnsi="Times New Roman" w:cs="Times New Roman"/>
          <w:b/>
        </w:rPr>
      </w:pPr>
      <w:r w:rsidRPr="00E83125">
        <w:rPr>
          <w:rFonts w:ascii="Times New Roman" w:hAnsi="Times New Roman" w:cs="Times New Roman"/>
          <w:b/>
        </w:rPr>
        <w:br w:type="page"/>
      </w:r>
    </w:p>
    <w:p w14:paraId="44D63B6D" w14:textId="77D7522A" w:rsidR="0059502B" w:rsidRPr="00C93E19" w:rsidRDefault="0059502B" w:rsidP="007E79E2">
      <w:pPr>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r w:rsidR="00FE1711">
        <w:rPr>
          <w:rFonts w:ascii="Times New Roman" w:hAnsi="Times New Roman" w:cs="Times New Roman"/>
          <w:b/>
          <w:color w:val="C00000"/>
        </w:rPr>
        <w:t>(~1040</w:t>
      </w:r>
      <w:r w:rsidR="00C93E19">
        <w:rPr>
          <w:rFonts w:ascii="Times New Roman" w:hAnsi="Times New Roman" w:cs="Times New Roman"/>
          <w:b/>
          <w:color w:val="C00000"/>
        </w:rPr>
        <w:t xml:space="preserve"> words)</w:t>
      </w:r>
    </w:p>
    <w:p w14:paraId="69B2AC4C" w14:textId="77777777" w:rsidR="0059502B" w:rsidRDefault="0059502B" w:rsidP="0059502B">
      <w:pPr>
        <w:rPr>
          <w:rFonts w:ascii="Times New Roman" w:hAnsi="Times New Roman" w:cs="Times New Roman"/>
        </w:rPr>
      </w:pPr>
    </w:p>
    <w:p w14:paraId="0688C870" w14:textId="2F1C881A" w:rsidR="0059502B" w:rsidRPr="000D147E" w:rsidRDefault="0059502B" w:rsidP="0059502B">
      <w:pPr>
        <w:widowControl w:val="0"/>
        <w:autoSpaceDE w:val="0"/>
        <w:autoSpaceDN w:val="0"/>
        <w:adjustRightInd w:val="0"/>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alnus</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Pr="000D147E">
        <w:rPr>
          <w:rFonts w:ascii="Times New Roman" w:hAnsi="Times New Roman" w:cs="Times New Roman"/>
          <w:color w:val="000000" w:themeColor="text1"/>
          <w:highlight w:val="yellow"/>
        </w:rPr>
        <w:t>Figure 2</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r w:rsidRPr="000D147E">
        <w:rPr>
          <w:rFonts w:ascii="Times New Roman" w:hAnsi="Times New Roman" w:cs="Times New Roman"/>
          <w:i/>
          <w:iCs/>
          <w:color w:val="000000" w:themeColor="text1"/>
        </w:rPr>
        <w:t>Hamamelis virginiana</w:t>
      </w:r>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and the group of associated species increased through time (Figure 3).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which is a pattern </w:t>
      </w:r>
      <w:r w:rsidR="000D147E" w:rsidRPr="000D147E">
        <w:rPr>
          <w:rFonts w:ascii="Times New Roman" w:hAnsi="Times New Roman" w:cs="Times New Roman"/>
          <w:color w:val="000000" w:themeColor="text1"/>
        </w:rPr>
        <w:t xml:space="preserve">also </w:t>
      </w:r>
      <w:r w:rsidRPr="000D147E">
        <w:rPr>
          <w:rFonts w:ascii="Times New Roman" w:hAnsi="Times New Roman" w:cs="Times New Roman"/>
          <w:color w:val="000000" w:themeColor="text1"/>
        </w:rPr>
        <w:t xml:space="preserve">observed elsewhere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w:t>
      </w:r>
    </w:p>
    <w:p w14:paraId="487E2895" w14:textId="77777777" w:rsidR="0059502B" w:rsidRPr="007D5D7A" w:rsidRDefault="0059502B" w:rsidP="0059502B">
      <w:pPr>
        <w:rPr>
          <w:rFonts w:ascii="Times New Roman" w:hAnsi="Times New Roman" w:cs="Times New Roman"/>
          <w:b/>
          <w:color w:val="7F7F7F" w:themeColor="text1" w:themeTint="80"/>
        </w:rPr>
      </w:pPr>
    </w:p>
    <w:p w14:paraId="2AE7C94D" w14:textId="10ED9807" w:rsidR="0059502B" w:rsidRPr="00695C3B" w:rsidRDefault="0059502B" w:rsidP="00AB5C65">
      <w:pPr>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alnus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(Fig.</w:t>
      </w:r>
      <w:r w:rsidR="000D089F" w:rsidRPr="00695C3B">
        <w:rPr>
          <w:rFonts w:ascii="Times New Roman" w:hAnsi="Times New Roman" w:cs="Times New Roman"/>
          <w:iCs/>
          <w:color w:val="000000" w:themeColor="text1"/>
        </w:rPr>
        <w:t xml:space="preserve"> 4A).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df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0.979, df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0.05 respectively).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(geometric mean) growth rates show that the rate </w:t>
      </w:r>
      <w:r w:rsidR="00AA759E" w:rsidRPr="00695C3B">
        <w:rPr>
          <w:rFonts w:ascii="Times New Roman" w:hAnsi="Times New Roman" w:cs="Times New Roman"/>
          <w:color w:val="000000" w:themeColor="text1"/>
        </w:rPr>
        <w:t>of</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(Fig.</w:t>
      </w:r>
      <w:r w:rsidRPr="00695C3B">
        <w:rPr>
          <w:rFonts w:ascii="Times New Roman" w:hAnsi="Times New Roman" w:cs="Times New Roman"/>
          <w:color w:val="000000" w:themeColor="text1"/>
        </w:rPr>
        <w:t xml:space="preserve"> 4B). The ratio of the cumulative increase in records of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F. alnus</w:t>
      </w:r>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(Fig.</w:t>
      </w:r>
      <w:r w:rsidRPr="00695C3B">
        <w:rPr>
          <w:rFonts w:ascii="Times New Roman" w:hAnsi="Times New Roman" w:cs="Times New Roman"/>
          <w:color w:val="000000" w:themeColor="text1"/>
        </w:rPr>
        <w:t xml:space="preserve"> 4C). </w:t>
      </w:r>
    </w:p>
    <w:p w14:paraId="19225B67" w14:textId="77777777" w:rsidR="0059502B" w:rsidRPr="007D5D7A" w:rsidRDefault="0059502B" w:rsidP="0059502B">
      <w:pPr>
        <w:rPr>
          <w:rFonts w:ascii="Times New Roman" w:hAnsi="Times New Roman" w:cs="Times New Roman"/>
          <w:color w:val="7F7F7F" w:themeColor="text1" w:themeTint="80"/>
        </w:rPr>
      </w:pPr>
    </w:p>
    <w:p w14:paraId="56193C62" w14:textId="4B4A1697" w:rsidR="0059502B" w:rsidRPr="005028DF" w:rsidRDefault="0059502B" w:rsidP="0059502B">
      <w:pPr>
        <w:ind w:firstLine="720"/>
        <w:rPr>
          <w:rFonts w:ascii="Times New Roman" w:hAnsi="Times New Roman" w:cs="Times New Roman"/>
          <w:color w:val="000000" w:themeColor="text1"/>
        </w:rPr>
      </w:pPr>
      <w:r w:rsidRPr="005028DF">
        <w:rPr>
          <w:rFonts w:ascii="Times New Roman" w:hAnsi="Times New Roman" w:cs="Times New Roman"/>
          <w:color w:val="000000" w:themeColor="text1"/>
        </w:rPr>
        <w:t xml:space="preserve">The cumulative number of occupied 5 arc min grid cells for </w:t>
      </w:r>
      <w:r w:rsidRPr="005028DF">
        <w:rPr>
          <w:rFonts w:ascii="Times New Roman" w:hAnsi="Times New Roman" w:cs="Times New Roman"/>
          <w:i/>
          <w:iCs/>
          <w:color w:val="000000" w:themeColor="text1"/>
        </w:rPr>
        <w:t>F. alnus</w:t>
      </w:r>
      <w:r w:rsidRPr="005028DF">
        <w:rPr>
          <w:rFonts w:ascii="Times New Roman" w:hAnsi="Times New Roman" w:cs="Times New Roman"/>
          <w:color w:val="000000" w:themeColor="text1"/>
        </w:rPr>
        <w:t xml:space="preserve"> and the associated species, constrained to overlap within 30 arc min grid cells, increased throug</w:t>
      </w:r>
      <w:r w:rsidR="00695C3B" w:rsidRPr="005028DF">
        <w:rPr>
          <w:rFonts w:ascii="Times New Roman" w:hAnsi="Times New Roman" w:cs="Times New Roman"/>
          <w:color w:val="000000" w:themeColor="text1"/>
        </w:rPr>
        <w:t>h time for both datasets (Fig.</w:t>
      </w:r>
      <w:r w:rsidRPr="005028DF">
        <w:rPr>
          <w:rFonts w:ascii="Times New Roman" w:hAnsi="Times New Roman" w:cs="Times New Roman"/>
          <w:color w:val="000000" w:themeColor="text1"/>
        </w:rPr>
        <w:t xml:space="preserve"> 5).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(Fig.</w:t>
      </w:r>
      <w:r w:rsidRPr="005028DF">
        <w:rPr>
          <w:rFonts w:ascii="Times New Roman" w:hAnsi="Times New Roman" w:cs="Times New Roman"/>
          <w:color w:val="000000" w:themeColor="text1"/>
        </w:rPr>
        <w:t xml:space="preserve"> 5A).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df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df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and the associated species until 1890, after which the number of occupied cells rapidly increases for the group of associated species. In contrast, the number of occupied cells continued to increase slowly for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until approximately 1920, as is demonstrated by the calculated ratio betw</w:t>
      </w:r>
      <w:r w:rsidR="005028DF" w:rsidRPr="005028DF">
        <w:rPr>
          <w:rFonts w:ascii="Times New Roman" w:hAnsi="Times New Roman" w:cs="Times New Roman"/>
          <w:color w:val="000000" w:themeColor="text1"/>
        </w:rPr>
        <w:t>een the two growth rates (Fig.</w:t>
      </w:r>
      <w:r w:rsidRPr="005028DF">
        <w:rPr>
          <w:rFonts w:ascii="Times New Roman" w:hAnsi="Times New Roman" w:cs="Times New Roman"/>
          <w:color w:val="000000" w:themeColor="text1"/>
        </w:rPr>
        <w:t xml:space="preserve"> 5B). Prior to 1915, with the exception of the earliest years of the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w:t>
      </w:r>
      <w:r w:rsidRPr="005028DF">
        <w:rPr>
          <w:rFonts w:ascii="Times New Roman" w:hAnsi="Times New Roman" w:cs="Times New Roman"/>
          <w:color w:val="000000" w:themeColor="text1"/>
        </w:rPr>
        <w:lastRenderedPageBreak/>
        <w:t xml:space="preserve">1915 to the present, the rate at which grid cells are considered occupied by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F. alnus</w:t>
      </w:r>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(Fig.</w:t>
      </w:r>
      <w:r w:rsidRPr="005028DF">
        <w:rPr>
          <w:rFonts w:ascii="Times New Roman" w:hAnsi="Times New Roman" w:cs="Times New Roman"/>
          <w:color w:val="000000" w:themeColor="text1"/>
        </w:rPr>
        <w:t xml:space="preserve"> 5C).</w:t>
      </w:r>
    </w:p>
    <w:p w14:paraId="212E5DC3" w14:textId="77777777" w:rsidR="0059502B" w:rsidRPr="007D5D7A" w:rsidRDefault="0059502B" w:rsidP="0059502B">
      <w:pPr>
        <w:rPr>
          <w:rFonts w:ascii="Times New Roman" w:hAnsi="Times New Roman" w:cs="Times New Roman"/>
          <w:color w:val="7F7F7F" w:themeColor="text1" w:themeTint="80"/>
        </w:rPr>
      </w:pPr>
    </w:p>
    <w:p w14:paraId="7D9CB6CB" w14:textId="076B256A" w:rsidR="00E54B8D" w:rsidRPr="008A5635" w:rsidRDefault="0059502B" w:rsidP="0059502B">
      <w:pPr>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F. alnus</w:t>
      </w:r>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(Fig.</w:t>
      </w:r>
      <w:r w:rsidRPr="008A5635">
        <w:rPr>
          <w:rFonts w:ascii="Times New Roman" w:hAnsi="Times New Roman" w:cs="Times New Roman"/>
          <w:color w:val="000000" w:themeColor="text1"/>
        </w:rPr>
        <w:t xml:space="preserve"> 6A).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F. alnus</w:t>
      </w:r>
      <w:r w:rsidR="00C7299A" w:rsidRPr="008A5635">
        <w:rPr>
          <w:rFonts w:ascii="Times New Roman" w:hAnsi="Times New Roman" w:cs="Times New Roman"/>
          <w:color w:val="000000" w:themeColor="text1"/>
        </w:rPr>
        <w:t xml:space="preserve"> (Fig.</w:t>
      </w:r>
      <w:r w:rsidRPr="008A5635">
        <w:rPr>
          <w:rFonts w:ascii="Times New Roman" w:hAnsi="Times New Roman" w:cs="Times New Roman"/>
          <w:color w:val="000000" w:themeColor="text1"/>
        </w:rPr>
        <w:t xml:space="preserve"> 6A).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df = 166, P &lt; 0.001) and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df = 130, P &lt; 0.001). The difference in the rate of growth of cumulative occupied counties between </w:t>
      </w:r>
      <w:r w:rsidRPr="008A5635">
        <w:rPr>
          <w:rFonts w:ascii="Times New Roman" w:hAnsi="Times New Roman" w:cs="Times New Roman"/>
          <w:i/>
          <w:iCs/>
          <w:color w:val="000000" w:themeColor="text1"/>
        </w:rPr>
        <w:t>F. alnus</w:t>
      </w:r>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(Fig.</w:t>
      </w:r>
      <w:r w:rsidRPr="008A5635">
        <w:rPr>
          <w:rFonts w:ascii="Times New Roman" w:hAnsi="Times New Roman" w:cs="Times New Roman"/>
          <w:color w:val="000000" w:themeColor="text1"/>
        </w:rPr>
        <w:t xml:space="preserve"> 6B). The rate at which counties are considered occupied is slower for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has increased more rapidly than the number of counties occupi</w:t>
      </w:r>
      <w:r w:rsidR="002713F1" w:rsidRPr="008A5635">
        <w:rPr>
          <w:rFonts w:ascii="Times New Roman" w:hAnsi="Times New Roman" w:cs="Times New Roman"/>
          <w:color w:val="000000" w:themeColor="text1"/>
        </w:rPr>
        <w:t>ed by associated species (Fig.</w:t>
      </w:r>
      <w:r w:rsidRPr="008A5635">
        <w:rPr>
          <w:rFonts w:ascii="Times New Roman" w:hAnsi="Times New Roman" w:cs="Times New Roman"/>
          <w:color w:val="000000" w:themeColor="text1"/>
        </w:rPr>
        <w:t xml:space="preserve"> 6C). </w:t>
      </w:r>
      <w:r w:rsidR="002713F1" w:rsidRPr="008A5635">
        <w:rPr>
          <w:rFonts w:ascii="Times New Roman" w:hAnsi="Times New Roman" w:cs="Times New Roman"/>
          <w:color w:val="000000" w:themeColor="text1"/>
        </w:rPr>
        <w:t xml:space="preserve">Additionally, </w:t>
      </w:r>
      <w:r w:rsidRPr="008A5635">
        <w:rPr>
          <w:rFonts w:ascii="Times New Roman" w:hAnsi="Times New Roman" w:cs="Times New Roman"/>
          <w:i/>
          <w:color w:val="000000" w:themeColor="text1"/>
        </w:rPr>
        <w:t xml:space="preserve">F. alnus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77777777" w:rsidR="0059502B" w:rsidRPr="007D5D7A" w:rsidRDefault="0059502B" w:rsidP="0059502B">
      <w:pPr>
        <w:rPr>
          <w:rFonts w:ascii="Times New Roman" w:hAnsi="Times New Roman" w:cs="Times New Roman"/>
          <w:color w:val="7F7F7F" w:themeColor="text1" w:themeTint="80"/>
        </w:rPr>
      </w:pPr>
    </w:p>
    <w:p w14:paraId="550EF550" w14:textId="77777777" w:rsidR="0059502B" w:rsidRPr="007D5D7A" w:rsidRDefault="0059502B" w:rsidP="0059502B">
      <w:pPr>
        <w:keepNext/>
        <w:rPr>
          <w:color w:val="7F7F7F" w:themeColor="text1" w:themeTint="80"/>
        </w:rPr>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5816AD0D" w:rsidR="0059502B" w:rsidRPr="00343117" w:rsidRDefault="0059502B" w:rsidP="007E79E2">
      <w:pPr>
        <w:outlineLvl w:val="0"/>
        <w:rPr>
          <w:rFonts w:ascii="Times New Roman" w:hAnsi="Times New Roman" w:cs="Times New Roman"/>
          <w:color w:val="C00000"/>
        </w:rPr>
      </w:pPr>
      <w:r>
        <w:rPr>
          <w:rFonts w:ascii="Times New Roman" w:hAnsi="Times New Roman" w:cs="Times New Roman"/>
          <w:b/>
        </w:rPr>
        <w:lastRenderedPageBreak/>
        <w:t>Discussion</w:t>
      </w:r>
      <w:r w:rsidR="00343117">
        <w:rPr>
          <w:rFonts w:ascii="Times New Roman" w:hAnsi="Times New Roman" w:cs="Times New Roman"/>
          <w:b/>
        </w:rPr>
        <w:t xml:space="preserve"> </w:t>
      </w:r>
      <w:r w:rsidR="00343117">
        <w:rPr>
          <w:rFonts w:ascii="Times New Roman" w:hAnsi="Times New Roman" w:cs="Times New Roman"/>
          <w:b/>
          <w:color w:val="C00000"/>
        </w:rPr>
        <w:t>(~3200 words)</w:t>
      </w:r>
    </w:p>
    <w:p w14:paraId="5C79816D" w14:textId="77777777" w:rsidR="0059502B" w:rsidRDefault="0059502B" w:rsidP="0059502B">
      <w:pPr>
        <w:rPr>
          <w:rFonts w:ascii="Times New Roman" w:hAnsi="Times New Roman" w:cs="Times New Roman"/>
        </w:rPr>
      </w:pPr>
    </w:p>
    <w:p w14:paraId="5A61CD9F" w14:textId="12D4D221" w:rsidR="0059502B" w:rsidRPr="0076017F" w:rsidRDefault="0059502B" w:rsidP="0076017F">
      <w:pPr>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bookmarkStart w:id="2" w:name="_GoBack"/>
      <w:bookmarkEnd w:id="2"/>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F. alnus</w:t>
      </w:r>
      <w:r w:rsidR="00D031E1" w:rsidRPr="0076017F">
        <w:rPr>
          <w:rFonts w:ascii="Times New Roman" w:hAnsi="Times New Roman" w:cs="Times New Roman"/>
          <w:color w:val="000000" w:themeColor="text1"/>
        </w:rPr>
        <w:t xml:space="preserve"> is unknown, but b</w:t>
      </w:r>
      <w:r w:rsidRPr="0076017F">
        <w:rPr>
          <w:rFonts w:ascii="Times New Roman" w:hAnsi="Times New Roman" w:cs="Times New Roman"/>
          <w:color w:val="000000" w:themeColor="text1"/>
        </w:rPr>
        <w:t xml:space="preserve">ased on its long history of use as a medicinal plant </w:t>
      </w:r>
      <w:r w:rsidRPr="0076017F">
        <w:rPr>
          <w:rFonts w:ascii="Times New Roman" w:hAnsi="Times New Roman" w:cs="Times New Roman"/>
          <w:color w:val="000000" w:themeColor="text1"/>
        </w:rPr>
        <w:fldChar w:fldCharType="begin" w:fldLock="1"/>
      </w:r>
      <w:r w:rsidR="00BC652B" w:rsidRPr="0076017F">
        <w:rPr>
          <w:rFonts w:ascii="Times New Roman" w:hAnsi="Times New Roman" w:cs="Times New Roman"/>
          <w:color w:val="000000" w:themeColor="text1"/>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and evidence that it was planted as an ornamental shrub </w:t>
      </w:r>
      <w:r w:rsidRPr="0076017F">
        <w:rPr>
          <w:rFonts w:ascii="Times New Roman" w:hAnsi="Times New Roman" w:cs="Times New Roman"/>
          <w:color w:val="000000" w:themeColor="text1"/>
        </w:rPr>
        <w:fldChar w:fldCharType="begin" w:fldLock="1"/>
      </w:r>
      <w:r w:rsidR="00BC652B" w:rsidRPr="0076017F">
        <w:rPr>
          <w:rFonts w:ascii="Times New Roman" w:hAnsi="Times New Roman" w:cs="Times New Roman"/>
          <w:color w:val="000000" w:themeColor="text1"/>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4B34D5" w:rsidRPr="0076017F">
        <w:rPr>
          <w:rFonts w:ascii="Times New Roman" w:hAnsi="Times New Roman" w:cs="Times New Roman"/>
          <w:noProof/>
          <w:color w:val="000000" w:themeColor="text1"/>
        </w:rPr>
        <w:t>(Sherff 1912)</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w:t>
      </w:r>
      <w:r w:rsidRPr="0076017F">
        <w:rPr>
          <w:rFonts w:ascii="Times New Roman" w:hAnsi="Times New Roman" w:cs="Times New Roman"/>
          <w:color w:val="000000" w:themeColor="text1"/>
          <w:highlight w:val="yellow"/>
        </w:rPr>
        <w:t>Add reference to Sudworth and Fernow: (Sudworth, G. B. and B. E. Fernow.  1891.  </w:t>
      </w:r>
      <w:r w:rsidRPr="0076017F">
        <w:rPr>
          <w:rFonts w:ascii="Times New Roman" w:hAnsi="Times New Roman" w:cs="Times New Roman"/>
          <w:i/>
          <w:iCs/>
          <w:color w:val="000000" w:themeColor="text1"/>
          <w:highlight w:val="yellow"/>
        </w:rPr>
        <w:t>Trees of Washington, D.C.</w:t>
      </w:r>
      <w:r w:rsidRPr="0076017F">
        <w:rPr>
          <w:rFonts w:ascii="Times New Roman" w:hAnsi="Times New Roman" w:cs="Times New Roman"/>
          <w:color w:val="000000" w:themeColor="text1"/>
          <w:highlight w:val="yellow"/>
        </w:rPr>
        <w:t>, compliments of the Forestry Division. Geo. B. Sudworth, botanist ; B. E. Fernow, chief.  Washington, D.C.: Bell Lithographing Co.  [18] pp.; 2 folding plans; 14 x 22 cm.)</w:t>
      </w:r>
      <w:r w:rsidR="00D031E1" w:rsidRPr="0076017F">
        <w:rPr>
          <w:rFonts w:ascii="Times New Roman" w:hAnsi="Times New Roman" w:cs="Times New Roman"/>
          <w:color w:val="000000" w:themeColor="text1"/>
        </w:rPr>
        <w:t xml:space="preserve">, it is likely it </w:t>
      </w:r>
      <w:r w:rsidRPr="0076017F">
        <w:rPr>
          <w:rFonts w:ascii="Times New Roman" w:hAnsi="Times New Roman" w:cs="Times New Roman"/>
          <w:color w:val="000000" w:themeColor="text1"/>
        </w:rPr>
        <w:t xml:space="preserve">was 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the metropolitan New York City area and areas of New Jersey along New York Harbor. Specimens for 12 of 14 records dating from before 1900 were collected in this region.</w:t>
      </w:r>
      <w:r w:rsidR="0076017F" w:rsidRPr="0076017F">
        <w:rPr>
          <w:rFonts w:ascii="Times New Roman" w:hAnsi="Times New Roman" w:cs="Times New Roman"/>
          <w:color w:val="000000" w:themeColor="text1"/>
        </w:rPr>
        <w:t xml:space="preserve"> L</w:t>
      </w:r>
      <w:r w:rsidRPr="0076017F">
        <w:rPr>
          <w:rFonts w:ascii="Times New Roman" w:hAnsi="Times New Roman" w:cs="Times New Roman"/>
          <w:color w:val="000000" w:themeColor="text1"/>
        </w:rPr>
        <w:t xml:space="preserve">ocations in southern Ontario account for the remaining 2 of 14 records dating before 1900, indicating that introduction into the region was likely early during the spread of </w:t>
      </w:r>
      <w:r w:rsidRPr="0076017F">
        <w:rPr>
          <w:rFonts w:ascii="Times New Roman" w:hAnsi="Times New Roman" w:cs="Times New Roman"/>
          <w:i/>
          <w:color w:val="000000" w:themeColor="text1"/>
        </w:rPr>
        <w:t>F. alnus</w:t>
      </w:r>
      <w:r w:rsidRPr="0076017F">
        <w:rPr>
          <w:rFonts w:ascii="Times New Roman" w:hAnsi="Times New Roman" w:cs="Times New Roman"/>
          <w:color w:val="000000" w:themeColor="text1"/>
        </w:rPr>
        <w:t xml:space="preserve">. </w:t>
      </w:r>
      <w:r w:rsidR="0076017F" w:rsidRPr="0076017F">
        <w:rPr>
          <w:rFonts w:ascii="Times New Roman" w:hAnsi="Times New Roman" w:cs="Times New Roman"/>
          <w:color w:val="000000" w:themeColor="text1"/>
        </w:rPr>
        <w:t>New York Harbor</w:t>
      </w:r>
      <w:r w:rsidRPr="0076017F">
        <w:rPr>
          <w:rFonts w:ascii="Times New Roman" w:hAnsi="Times New Roman" w:cs="Times New Roman"/>
          <w:color w:val="000000" w:themeColor="text1"/>
        </w:rPr>
        <w:t xml:space="preserve">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Pr="0076017F">
        <w:rPr>
          <w:rFonts w:ascii="Times New Roman" w:hAnsi="Times New Roman" w:cs="Times New Roman"/>
          <w:color w:val="000000" w:themeColor="text1"/>
        </w:rPr>
        <w:fldChar w:fldCharType="begin" w:fldLock="1"/>
      </w:r>
      <w:r w:rsidR="00BC652B" w:rsidRPr="0076017F">
        <w:rPr>
          <w:rFonts w:ascii="Times New Roman" w:hAnsi="Times New Roman" w:cs="Times New Roman"/>
          <w:color w:val="000000" w:themeColor="text1"/>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4B34D5" w:rsidRPr="0076017F">
        <w:rPr>
          <w:rFonts w:ascii="Times New Roman" w:hAnsi="Times New Roman" w:cs="Times New Roman"/>
          <w:noProof/>
          <w:color w:val="000000" w:themeColor="text1"/>
        </w:rPr>
        <w:t>(Sorrie 2005, Barney 2006)</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However, this region historical had a high population density, thus there also may have been more people who purposely planted </w:t>
      </w:r>
      <w:r w:rsidRPr="0076017F">
        <w:rPr>
          <w:rFonts w:ascii="Times New Roman" w:hAnsi="Times New Roman" w:cs="Times New Roman"/>
          <w:i/>
          <w:color w:val="000000" w:themeColor="text1"/>
        </w:rPr>
        <w:t>F. alnus</w:t>
      </w:r>
      <w:r w:rsidRPr="0076017F">
        <w:rPr>
          <w:rFonts w:ascii="Times New Roman" w:hAnsi="Times New Roman" w:cs="Times New Roman"/>
          <w:color w:val="000000" w:themeColor="text1"/>
        </w:rPr>
        <w:t>.</w:t>
      </w:r>
    </w:p>
    <w:p w14:paraId="751A30DD" w14:textId="77777777" w:rsidR="0059502B" w:rsidRPr="007D5D7A" w:rsidRDefault="0059502B" w:rsidP="0059502B">
      <w:pPr>
        <w:rPr>
          <w:rFonts w:ascii="Times New Roman" w:hAnsi="Times New Roman" w:cs="Times New Roman"/>
          <w:color w:val="7F7F7F" w:themeColor="text1" w:themeTint="80"/>
        </w:rPr>
      </w:pPr>
    </w:p>
    <w:p w14:paraId="08D181E7" w14:textId="77777777" w:rsidR="0059502B" w:rsidRPr="007D5D7A" w:rsidRDefault="0059502B" w:rsidP="007E79E2">
      <w:pPr>
        <w:outlineLvl w:val="0"/>
        <w:rPr>
          <w:rFonts w:ascii="Times New Roman" w:hAnsi="Times New Roman" w:cs="Times New Roman"/>
          <w:color w:val="7F7F7F" w:themeColor="text1" w:themeTint="80"/>
        </w:rPr>
      </w:pPr>
      <w:r w:rsidRPr="007D5D7A">
        <w:rPr>
          <w:rFonts w:ascii="Times New Roman" w:hAnsi="Times New Roman" w:cs="Times New Roman"/>
          <w:i/>
          <w:color w:val="7F7F7F" w:themeColor="text1" w:themeTint="80"/>
        </w:rPr>
        <w:t xml:space="preserve">Accounting for unequal sampling effort in historical biodiversity collections </w:t>
      </w:r>
    </w:p>
    <w:p w14:paraId="687138E2" w14:textId="77777777" w:rsidR="0059502B" w:rsidRPr="007D5D7A" w:rsidRDefault="0059502B" w:rsidP="0059502B">
      <w:pPr>
        <w:rPr>
          <w:rFonts w:ascii="Times New Roman" w:hAnsi="Times New Roman" w:cs="Times New Roman"/>
          <w:color w:val="7F7F7F" w:themeColor="text1" w:themeTint="80"/>
        </w:rPr>
      </w:pPr>
    </w:p>
    <w:p w14:paraId="5AA01842" w14:textId="34FE332B"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Using historical biodiversity collections to reconstruct patterns of species presence presents many challenges. One of the most common is the presence of unequal sampling effort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(Reddy and Dávalos 2003, Graham et al. 2004, Kadmon et al. 2004, Boakes et al.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sidRPr="007D5D7A">
        <w:rPr>
          <w:rFonts w:ascii="Times New Roman" w:hAnsi="Times New Roman" w:cs="Times New Roman"/>
          <w:i/>
          <w:iCs/>
          <w:color w:val="7F7F7F" w:themeColor="text1" w:themeTint="80"/>
        </w:rPr>
        <w:t>F. alnus</w:t>
      </w:r>
      <w:r w:rsidRPr="007D5D7A">
        <w:rPr>
          <w:rFonts w:ascii="Times New Roman" w:hAnsi="Times New Roman" w:cs="Times New Roman"/>
          <w:iCs/>
          <w:color w:val="7F7F7F" w:themeColor="text1" w:themeTint="80"/>
        </w:rPr>
        <w:t xml:space="preserve"> in Ohio in the compiled dataset, it is hard to discern if conditions in Ohio are favorable for establishment and spread of buckthorn, or if this region is simply better sampled than others.</w:t>
      </w:r>
      <w:r w:rsidRPr="007D5D7A">
        <w:rPr>
          <w:rFonts w:ascii="Times New Roman" w:hAnsi="Times New Roman" w:cs="Times New Roman"/>
          <w:color w:val="7F7F7F" w:themeColor="text1" w:themeTint="80"/>
        </w:rPr>
        <w:t xml:space="preserve"> There may also be unequal sampling effort associated with taxonomic grouping. There are numerous examples of collections of orchids, bryophytes, mosses, and ferns, which are all groups of particular interest to plant collectors. </w:t>
      </w:r>
    </w:p>
    <w:p w14:paraId="4ACF73DE" w14:textId="77777777" w:rsidR="0059502B" w:rsidRPr="007D5D7A" w:rsidRDefault="0059502B" w:rsidP="0059502B">
      <w:pPr>
        <w:rPr>
          <w:rFonts w:ascii="Times New Roman" w:hAnsi="Times New Roman" w:cs="Times New Roman"/>
          <w:color w:val="7F7F7F" w:themeColor="text1" w:themeTint="80"/>
        </w:rPr>
      </w:pPr>
    </w:p>
    <w:p w14:paraId="139CE7F7" w14:textId="0FD13FA8"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Calculating the ratio of the cumulative number of records in space and time of non-native to native plants offers a way to account for unequal sampling effort, making it possible to distinguish periods of relatively slow versus rapid spread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(Delisle et al. 2003)</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(Wright and Fridley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as well as affecting plant invasion dynamics </w:t>
      </w:r>
      <w:r w:rsidRPr="007D5D7A">
        <w:rPr>
          <w:rFonts w:ascii="Times New Roman" w:hAnsi="Times New Roman" w:cs="Times New Roman"/>
          <w:color w:val="7F7F7F" w:themeColor="text1" w:themeTint="80"/>
        </w:rPr>
        <w:lastRenderedPageBreak/>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(Mosher et al. 2009)</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However, given that the species chosen for the group of associated species have similar ecological requirements as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I expect that any such changes would affect trends in these species and </w:t>
      </w:r>
      <w:r w:rsidRPr="007D5D7A">
        <w:rPr>
          <w:rFonts w:ascii="Times New Roman" w:hAnsi="Times New Roman" w:cs="Times New Roman"/>
          <w:i/>
          <w:iCs/>
          <w:color w:val="7F7F7F" w:themeColor="text1" w:themeTint="80"/>
        </w:rPr>
        <w:t>F. alnus</w:t>
      </w:r>
      <w:r w:rsidRPr="007D5D7A">
        <w:rPr>
          <w:rFonts w:ascii="Times New Roman" w:hAnsi="Times New Roman" w:cs="Times New Roman"/>
          <w:iCs/>
          <w:color w:val="7F7F7F" w:themeColor="text1" w:themeTint="80"/>
        </w:rPr>
        <w:t xml:space="preserve"> equally. </w:t>
      </w:r>
    </w:p>
    <w:p w14:paraId="057B99D1" w14:textId="77777777" w:rsidR="0059502B" w:rsidRPr="007D5D7A" w:rsidRDefault="0059502B" w:rsidP="0059502B">
      <w:pPr>
        <w:rPr>
          <w:rFonts w:ascii="Times New Roman" w:hAnsi="Times New Roman" w:cs="Times New Roman"/>
          <w:color w:val="7F7F7F" w:themeColor="text1" w:themeTint="80"/>
        </w:rPr>
      </w:pPr>
    </w:p>
    <w:p w14:paraId="71C8AB68" w14:textId="77777777" w:rsidR="0059502B" w:rsidRPr="007D5D7A" w:rsidRDefault="0059502B" w:rsidP="0059502B">
      <w:pPr>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sidRPr="007D5D7A">
        <w:rPr>
          <w:rFonts w:ascii="Times New Roman" w:hAnsi="Times New Roman" w:cs="Times New Roman"/>
          <w:i/>
          <w:iCs/>
          <w:color w:val="7F7F7F" w:themeColor="text1" w:themeTint="80"/>
        </w:rPr>
        <w:t>F. alnus</w:t>
      </w:r>
      <w:r w:rsidRPr="007D5D7A">
        <w:rPr>
          <w:rFonts w:ascii="Times New Roman" w:hAnsi="Times New Roman" w:cs="Times New Roman"/>
          <w:iCs/>
          <w:color w:val="7F7F7F" w:themeColor="text1" w:themeTint="80"/>
        </w:rPr>
        <w:t xml:space="preserve"> to the associated species is increasing in time, this indicates a period during which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is increasing more rapidly than background sampling, and thus experiencing positive growth rates. If the ratio is constant, </w:t>
      </w:r>
      <w:r w:rsidRPr="007D5D7A">
        <w:rPr>
          <w:rFonts w:ascii="Times New Roman" w:hAnsi="Times New Roman" w:cs="Times New Roman"/>
          <w:i/>
          <w:iCs/>
          <w:color w:val="7F7F7F" w:themeColor="text1" w:themeTint="80"/>
        </w:rPr>
        <w:t>F. alnus</w:t>
      </w:r>
      <w:r w:rsidRPr="007D5D7A">
        <w:rPr>
          <w:rFonts w:ascii="Times New Roman" w:hAnsi="Times New Roman" w:cs="Times New Roman"/>
          <w:iCs/>
          <w:color w:val="7F7F7F" w:themeColor="text1" w:themeTint="80"/>
        </w:rPr>
        <w:t xml:space="preserve"> may be increasing, however it is not distinguishable from sampling effort. If the ratio is decreasing,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may still be increasing, but more slowly than the rate of sampling effort. Because the </w:t>
      </w:r>
      <w:r w:rsidRPr="007D5D7A">
        <w:rPr>
          <w:rFonts w:ascii="Times New Roman" w:hAnsi="Times New Roman" w:cs="Times New Roman"/>
          <w:i/>
          <w:iCs/>
          <w:color w:val="7F7F7F" w:themeColor="text1" w:themeTint="80"/>
        </w:rPr>
        <w:t>cumulative</w:t>
      </w:r>
      <w:r w:rsidRPr="007D5D7A">
        <w:rPr>
          <w:rFonts w:ascii="Times New Roman" w:hAnsi="Times New Roman" w:cs="Times New Roman"/>
          <w:iCs/>
          <w:color w:val="7F7F7F" w:themeColor="text1" w:themeTint="80"/>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Pr="007D5D7A" w:rsidRDefault="0059502B" w:rsidP="0059502B">
      <w:pPr>
        <w:rPr>
          <w:rFonts w:ascii="Times New Roman" w:hAnsi="Times New Roman" w:cs="Times New Roman"/>
          <w:iCs/>
          <w:color w:val="7F7F7F" w:themeColor="text1" w:themeTint="80"/>
        </w:rPr>
      </w:pPr>
    </w:p>
    <w:p w14:paraId="449CB800" w14:textId="77777777" w:rsidR="0059502B" w:rsidRPr="007D5D7A" w:rsidRDefault="0059502B" w:rsidP="007E79E2">
      <w:pPr>
        <w:outlineLvl w:val="0"/>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Cumulative records through time</w:t>
      </w:r>
    </w:p>
    <w:p w14:paraId="4B4BB583" w14:textId="77777777" w:rsidR="0059502B" w:rsidRPr="007D5D7A" w:rsidRDefault="0059502B" w:rsidP="0059502B">
      <w:pPr>
        <w:rPr>
          <w:rFonts w:ascii="Times New Roman" w:hAnsi="Times New Roman" w:cs="Times New Roman"/>
          <w:iCs/>
          <w:color w:val="7F7F7F" w:themeColor="text1" w:themeTint="80"/>
        </w:rPr>
      </w:pPr>
    </w:p>
    <w:p w14:paraId="327F3071" w14:textId="72EF4916"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iCs/>
          <w:color w:val="7F7F7F" w:themeColor="text1" w:themeTint="80"/>
        </w:rPr>
        <w:t xml:space="preserve">All three of the calculated ratio values suggest that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samples increased more rapidly than those of the group of associated species (Figures 4B, 5B, and 6B). Prior to 1920, both the ratio values of cumulative number of records and growth rates fluctuated greatly. </w:t>
      </w:r>
      <w:r w:rsidRPr="007D5D7A">
        <w:rPr>
          <w:rFonts w:ascii="Times New Roman" w:hAnsi="Times New Roman" w:cs="Times New Roman"/>
          <w:color w:val="7F7F7F" w:themeColor="text1" w:themeTint="80"/>
        </w:rPr>
        <w:t xml:space="preserve">This may be the result of the relatively small number of cumulative records for both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and the associated species during this time. The addition of a small number of records to either dataset could drastically change the ratio between them. The accumulation of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s had a particularly large effect early in its invasion history, as is indicated by the ratio of growth rates, in which generally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records increased more slowly than the associated species from 1879 to the 1920s, but there are anomalous years in which the growth rate of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was much larger than that of the associated species (Figures 4B, 5B, and 6B). For example, when the cumulative number of records for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Pr="007D5D7A" w:rsidRDefault="0059502B" w:rsidP="0059502B">
      <w:pPr>
        <w:rPr>
          <w:rFonts w:ascii="Times New Roman" w:hAnsi="Times New Roman" w:cs="Times New Roman"/>
          <w:color w:val="7F7F7F" w:themeColor="text1" w:themeTint="80"/>
        </w:rPr>
      </w:pPr>
    </w:p>
    <w:p w14:paraId="3B6806BC" w14:textId="77777777" w:rsidR="0059502B" w:rsidRPr="007D5D7A" w:rsidRDefault="0059502B" w:rsidP="007E79E2">
      <w:pPr>
        <w:outlineLvl w:val="0"/>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Spatial spread and area of occupancy through time</w:t>
      </w:r>
    </w:p>
    <w:p w14:paraId="20D7394F" w14:textId="77777777" w:rsidR="0059502B" w:rsidRPr="007D5D7A" w:rsidRDefault="0059502B" w:rsidP="0059502B">
      <w:pPr>
        <w:rPr>
          <w:rFonts w:ascii="Times New Roman" w:hAnsi="Times New Roman" w:cs="Times New Roman"/>
          <w:color w:val="7F7F7F" w:themeColor="text1" w:themeTint="80"/>
        </w:rPr>
      </w:pPr>
    </w:p>
    <w:p w14:paraId="7BBE4B76" w14:textId="543729A4"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w:t>
      </w:r>
      <w:r w:rsidRPr="007D5D7A">
        <w:rPr>
          <w:rFonts w:ascii="Times New Roman" w:hAnsi="Times New Roman" w:cs="Times New Roman"/>
          <w:color w:val="7F7F7F" w:themeColor="text1" w:themeTint="80"/>
        </w:rPr>
        <w:lastRenderedPageBreak/>
        <w:t>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was high throughout the second half of the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and then decelerated during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However, more complex curve fitting such as GAM or piecewise linear regression may more closely fit these data. Regardless, it is clear that specimen collection rapidly spread across the landscape during the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(Prather et al. 2004)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w:t>
      </w:r>
    </w:p>
    <w:p w14:paraId="4E61DDCF" w14:textId="77777777" w:rsidR="0059502B" w:rsidRPr="007D5D7A" w:rsidRDefault="0059502B" w:rsidP="0059502B">
      <w:pPr>
        <w:rPr>
          <w:rFonts w:ascii="Times New Roman" w:hAnsi="Times New Roman" w:cs="Times New Roman"/>
          <w:color w:val="7F7F7F" w:themeColor="text1" w:themeTint="80"/>
        </w:rPr>
      </w:pPr>
    </w:p>
    <w:p w14:paraId="1B87366D" w14:textId="2F042A6F" w:rsidR="0059502B" w:rsidRPr="007D5D7A" w:rsidRDefault="0059502B" w:rsidP="0059502B">
      <w:pPr>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The earliest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 records of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were collected during this period of high sampling effort. However, it was uncommon across the study region at this time, and appears to have remained uncommon until at least the 1920s. Assuming that cumulative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 curves for the associated species represent the spatial spread of collection effort, and that a collector would collect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if it were present during a survey, it appears that the rate of spatial spread during the early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of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was slow. This is most clearly exemplified by the trends in cumulative number of counties occupied through time. On average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was collected in 2% (4 of 172) of counties. This strongly suggests that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was not common at this time. However, the ratio of </w:t>
      </w:r>
      <w:r w:rsidR="007E79E2">
        <w:rPr>
          <w:rFonts w:ascii="Times New Roman" w:hAnsi="Times New Roman" w:cs="Times New Roman"/>
          <w:iCs/>
          <w:color w:val="7F7F7F" w:themeColor="text1" w:themeTint="80"/>
        </w:rPr>
        <w:t>presence</w:t>
      </w:r>
      <w:r w:rsidRPr="007D5D7A">
        <w:rPr>
          <w:rFonts w:ascii="Times New Roman" w:hAnsi="Times New Roman" w:cs="Times New Roman"/>
          <w:iCs/>
          <w:color w:val="7F7F7F" w:themeColor="text1" w:themeTint="80"/>
        </w:rPr>
        <w:t xml:space="preserve"> records shows a consistent rate of spread throughout the novel range during the following 100 years.</w:t>
      </w:r>
    </w:p>
    <w:p w14:paraId="2D3FC07A" w14:textId="77777777" w:rsidR="0059502B" w:rsidRPr="007D5D7A" w:rsidRDefault="0059502B" w:rsidP="0059502B">
      <w:pPr>
        <w:rPr>
          <w:rFonts w:ascii="Times New Roman" w:hAnsi="Times New Roman" w:cs="Times New Roman"/>
          <w:color w:val="7F7F7F" w:themeColor="text1" w:themeTint="80"/>
        </w:rPr>
      </w:pPr>
    </w:p>
    <w:p w14:paraId="01C7C9BD" w14:textId="77777777" w:rsidR="0059502B" w:rsidRPr="007D5D7A" w:rsidRDefault="0059502B" w:rsidP="007E79E2">
      <w:pPr>
        <w:outlineLvl w:val="0"/>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Evidence for an extended lag phase</w:t>
      </w:r>
    </w:p>
    <w:p w14:paraId="6892FAB9" w14:textId="77777777" w:rsidR="0059502B" w:rsidRPr="007D5D7A" w:rsidRDefault="0059502B" w:rsidP="0059502B">
      <w:pPr>
        <w:rPr>
          <w:rFonts w:ascii="Times New Roman" w:hAnsi="Times New Roman" w:cs="Times New Roman"/>
          <w:color w:val="7F7F7F" w:themeColor="text1" w:themeTint="80"/>
        </w:rPr>
      </w:pPr>
    </w:p>
    <w:p w14:paraId="69A98BB6" w14:textId="275B8FBC" w:rsidR="0059502B" w:rsidRPr="007D5D7A" w:rsidRDefault="0059502B" w:rsidP="0059502B">
      <w:pPr>
        <w:widowControl w:val="0"/>
        <w:autoSpaceDE w:val="0"/>
        <w:autoSpaceDN w:val="0"/>
        <w:adjustRightInd w:val="0"/>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Compared to most previous studies, here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All three analyses suggest that </w:t>
      </w:r>
      <w:r w:rsidRPr="007D5D7A">
        <w:rPr>
          <w:rFonts w:ascii="Times New Roman" w:hAnsi="Times New Roman" w:cs="Times New Roman"/>
          <w:i/>
          <w:iCs/>
          <w:color w:val="7F7F7F" w:themeColor="text1" w:themeTint="80"/>
        </w:rPr>
        <w:t>F. alnus</w:t>
      </w:r>
      <w:r w:rsidRPr="007D5D7A">
        <w:rPr>
          <w:rFonts w:ascii="Times New Roman" w:hAnsi="Times New Roman" w:cs="Times New Roman"/>
          <w:iCs/>
          <w:color w:val="7F7F7F" w:themeColor="text1" w:themeTint="80"/>
        </w:rPr>
        <w:t xml:space="preserve"> increased at a rate greater than sampling effort from at least 1920 on. Given that the rate of increase in record number and spatial </w:t>
      </w:r>
      <w:r w:rsidR="007E79E2">
        <w:rPr>
          <w:rFonts w:ascii="Times New Roman" w:hAnsi="Times New Roman" w:cs="Times New Roman"/>
          <w:iCs/>
          <w:color w:val="7F7F7F" w:themeColor="text1" w:themeTint="80"/>
        </w:rPr>
        <w:t>presence</w:t>
      </w:r>
      <w:r w:rsidRPr="007D5D7A">
        <w:rPr>
          <w:rFonts w:ascii="Times New Roman" w:hAnsi="Times New Roman" w:cs="Times New Roman"/>
          <w:iCs/>
          <w:color w:val="7F7F7F" w:themeColor="text1" w:themeTint="80"/>
        </w:rPr>
        <w:t xml:space="preserve"> for </w:t>
      </w:r>
      <w:r w:rsidRPr="007D5D7A">
        <w:rPr>
          <w:rFonts w:ascii="Times New Roman" w:hAnsi="Times New Roman" w:cs="Times New Roman"/>
          <w:i/>
          <w:iCs/>
          <w:color w:val="7F7F7F" w:themeColor="text1" w:themeTint="80"/>
        </w:rPr>
        <w:t>F. alnus</w:t>
      </w:r>
      <w:r w:rsidRPr="007D5D7A">
        <w:rPr>
          <w:rFonts w:ascii="Times New Roman" w:hAnsi="Times New Roman" w:cs="Times New Roman"/>
          <w:iCs/>
          <w:color w:val="7F7F7F" w:themeColor="text1" w:themeTint="80"/>
        </w:rPr>
        <w:t xml:space="preserve"> was less than that of the associated species from 1880 to 1920, it is plausible that this period of time represents an extended lag phase. However, trends calculated for this period are based on a small number of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records, as is evident in the high variability in both the ratio of growth rates and the ratio of records or occupied area. </w:t>
      </w:r>
    </w:p>
    <w:p w14:paraId="2861A34E" w14:textId="77777777" w:rsidR="0059502B" w:rsidRPr="007D5D7A" w:rsidRDefault="0059502B" w:rsidP="0059502B">
      <w:pPr>
        <w:rPr>
          <w:rFonts w:ascii="Times New Roman" w:hAnsi="Times New Roman" w:cs="Times New Roman"/>
          <w:color w:val="7F7F7F" w:themeColor="text1" w:themeTint="80"/>
        </w:rPr>
      </w:pPr>
    </w:p>
    <w:p w14:paraId="44C2A72D" w14:textId="0291E25C"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Three previous studies examined aspects of the range expansion of </w:t>
      </w:r>
      <w:r w:rsidRPr="007D5D7A">
        <w:rPr>
          <w:rFonts w:ascii="Times New Roman" w:hAnsi="Times New Roman" w:cs="Times New Roman"/>
          <w:i/>
          <w:color w:val="7F7F7F" w:themeColor="text1" w:themeTint="80"/>
        </w:rPr>
        <w:t>Frangula alnus</w:t>
      </w:r>
      <w:r w:rsidRPr="007D5D7A">
        <w:rPr>
          <w:rFonts w:ascii="Times New Roman" w:hAnsi="Times New Roman" w:cs="Times New Roman"/>
          <w:color w:val="7F7F7F" w:themeColor="text1" w:themeTint="80"/>
        </w:rPr>
        <w:t xml:space="preserve"> using herbarium records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(Howell and Blackwell 1977, Catling and Porebski 1994, Larkin 2011)</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Each focused on only part of the invaded range. Howell &amp; Blackwell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spread of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(using the synonym </w:t>
      </w:r>
      <w:r w:rsidRPr="007D5D7A">
        <w:rPr>
          <w:rFonts w:ascii="Times New Roman" w:hAnsi="Times New Roman" w:cs="Times New Roman"/>
          <w:i/>
          <w:color w:val="7F7F7F" w:themeColor="text1" w:themeTint="80"/>
        </w:rPr>
        <w:t>Rhamnus frangula</w:t>
      </w:r>
      <w:r w:rsidRPr="007D5D7A">
        <w:rPr>
          <w:rFonts w:ascii="Times New Roman" w:hAnsi="Times New Roman" w:cs="Times New Roman"/>
          <w:color w:val="7F7F7F" w:themeColor="text1" w:themeTint="80"/>
        </w:rPr>
        <w:t xml:space="preserve">) into, and throughout, Ohio. They found evidence </w:t>
      </w:r>
      <w:r w:rsidRPr="007D5D7A">
        <w:rPr>
          <w:rFonts w:ascii="Times New Roman" w:hAnsi="Times New Roman" w:cs="Times New Roman"/>
          <w:color w:val="7F7F7F" w:themeColor="text1" w:themeTint="80"/>
        </w:rPr>
        <w:lastRenderedPageBreak/>
        <w:t xml:space="preserve">that it likely entered Ohio in the 1920’s, being observed first in Lake County (northeastern Ohio). The authors speculate that the spread of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westward throughout Ohio was facilitated by the range-expansion of the non-native European Starling. Many bird species are noted to eat the fruit of </w:t>
      </w:r>
      <w:r w:rsidRPr="007D5D7A">
        <w:rPr>
          <w:rFonts w:ascii="Times New Roman" w:hAnsi="Times New Roman" w:cs="Times New Roman"/>
          <w:i/>
          <w:color w:val="7F7F7F" w:themeColor="text1" w:themeTint="80"/>
        </w:rPr>
        <w:t xml:space="preserve">F. alnus </w:t>
      </w:r>
      <w:r w:rsidRPr="007D5D7A">
        <w:rPr>
          <w:rFonts w:ascii="Times New Roman" w:hAnsi="Times New Roman" w:cs="Times New Roman"/>
          <w:color w:val="7F7F7F" w:themeColor="text1" w:themeTint="80"/>
        </w:rPr>
        <w:t>and defecate undigested seeds, and European Starlings in particular have been known to eat these fruit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Howell &amp; Blackwell 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authors did not account for potential unequal sampling effort in herbarium records, but rather simply reported when and where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first appeared in Ohio. Catling &amp; Porebski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(1994)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historical spread of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in southern Ontario, Canada (also using the synonym </w:t>
      </w:r>
      <w:r w:rsidRPr="007D5D7A">
        <w:rPr>
          <w:rFonts w:ascii="Times New Roman" w:hAnsi="Times New Roman" w:cs="Times New Roman"/>
          <w:i/>
          <w:color w:val="7F7F7F" w:themeColor="text1" w:themeTint="80"/>
        </w:rPr>
        <w:t>R. frangula</w:t>
      </w:r>
      <w:r w:rsidRPr="007D5D7A">
        <w:rPr>
          <w:rFonts w:ascii="Times New Roman" w:hAnsi="Times New Roman" w:cs="Times New Roman"/>
          <w:color w:val="7F7F7F" w:themeColor="text1" w:themeTint="80"/>
        </w:rPr>
        <w:t xml:space="preserve">) and found that it was first recorded in London, Ontario in 1898 and Ottawa in 1899. Their data suggested that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spread to other urban centers, but primarily remained confined to these areas until the 1970’s. From the 1970’s to the early 1990’s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spread into natural areas outside of urban areas at an increased rate compared to the previous 70 years. The authors suggest that this observation is indicative of a lag phase in the spread of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though no quantitative analysis was carried out. To address potential biases resulting from unequal sampling efforts, specifically for records collected prior to 1930, the authors visually compared the spatial distribution of the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records with that of native </w:t>
      </w:r>
      <w:r w:rsidRPr="007D5D7A">
        <w:rPr>
          <w:rFonts w:ascii="Times New Roman" w:hAnsi="Times New Roman" w:cs="Times New Roman"/>
          <w:i/>
          <w:color w:val="7F7F7F" w:themeColor="text1" w:themeTint="80"/>
        </w:rPr>
        <w:t>Rhamnus alnifolia</w:t>
      </w:r>
      <w:r w:rsidRPr="007D5D7A">
        <w:rPr>
          <w:rFonts w:ascii="Times New Roman" w:hAnsi="Times New Roman" w:cs="Times New Roman"/>
          <w:color w:val="7F7F7F" w:themeColor="text1" w:themeTint="80"/>
        </w:rPr>
        <w:t xml:space="preserve">, a species with similar habitat requirements. More recently, Larkin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(2011)</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lengths of lag phases for multiple (&gt;200) species of non-native invasive species in the Wisconsin and the southern Lake Michigan region, applying the methods of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(Aikio et al. 2010a)</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earliest record of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Pr="007D5D7A" w:rsidRDefault="0059502B" w:rsidP="0059502B">
      <w:pPr>
        <w:rPr>
          <w:rFonts w:ascii="Times New Roman" w:hAnsi="Times New Roman" w:cs="Times New Roman"/>
          <w:color w:val="7F7F7F" w:themeColor="text1" w:themeTint="80"/>
        </w:rPr>
      </w:pPr>
    </w:p>
    <w:p w14:paraId="237DEA26" w14:textId="77777777" w:rsidR="0059502B" w:rsidRPr="007D5D7A" w:rsidRDefault="0059502B" w:rsidP="007E79E2">
      <w:pPr>
        <w:widowControl w:val="0"/>
        <w:autoSpaceDE w:val="0"/>
        <w:autoSpaceDN w:val="0"/>
        <w:adjustRightInd w:val="0"/>
        <w:outlineLvl w:val="0"/>
        <w:rPr>
          <w:rFonts w:ascii="Times New Roman" w:hAnsi="Times New Roman" w:cs="Times New Roman"/>
          <w:i/>
          <w:iCs/>
          <w:color w:val="7F7F7F" w:themeColor="text1" w:themeTint="80"/>
        </w:rPr>
      </w:pPr>
      <w:r w:rsidRPr="007D5D7A">
        <w:rPr>
          <w:rFonts w:ascii="Times New Roman" w:hAnsi="Times New Roman" w:cs="Times New Roman"/>
          <w:i/>
          <w:iCs/>
          <w:color w:val="7F7F7F" w:themeColor="text1" w:themeTint="80"/>
        </w:rPr>
        <w:t>Caveats and potential sources of bias</w:t>
      </w:r>
    </w:p>
    <w:p w14:paraId="308C7345" w14:textId="77777777" w:rsidR="0059502B" w:rsidRPr="007D5D7A" w:rsidRDefault="0059502B" w:rsidP="0059502B">
      <w:pPr>
        <w:rPr>
          <w:rFonts w:ascii="Times New Roman" w:hAnsi="Times New Roman" w:cs="Times New Roman"/>
          <w:color w:val="7F7F7F" w:themeColor="text1" w:themeTint="80"/>
        </w:rPr>
      </w:pPr>
    </w:p>
    <w:p w14:paraId="172EF224" w14:textId="7961DA04"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I made several assumptions in carrying out the analyses presented here. One assumption of note is that I treated the cumulative number of occupied grid cells, and counties, as representative of the area of extent. This may not be valid if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invades </w:t>
      </w:r>
      <w:r w:rsidRPr="007D5D7A">
        <w:rPr>
          <w:rFonts w:ascii="Times New Roman" w:hAnsi="Times New Roman" w:cs="Times New Roman"/>
          <w:color w:val="7F7F7F" w:themeColor="text1" w:themeTint="80"/>
        </w:rPr>
        <w:t xml:space="preserve">an area, but later goes locally extinct. This is an unlikely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 With one notable exception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(Cunard and Lee 2008)</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there are no documented examples of the local extinction of </w:t>
      </w:r>
      <w:r w:rsidRPr="007D5D7A">
        <w:rPr>
          <w:rFonts w:ascii="Times New Roman" w:hAnsi="Times New Roman" w:cs="Times New Roman"/>
          <w:i/>
          <w:iCs/>
          <w:color w:val="7F7F7F" w:themeColor="text1" w:themeTint="80"/>
        </w:rPr>
        <w:t>F. alnus</w:t>
      </w:r>
      <w:r w:rsidRPr="007D5D7A">
        <w:rPr>
          <w:rFonts w:ascii="Times New Roman" w:hAnsi="Times New Roman" w:cs="Times New Roman"/>
          <w:iCs/>
          <w:color w:val="7F7F7F" w:themeColor="text1" w:themeTint="80"/>
        </w:rPr>
        <w:t>, either by natural processes or management actions.</w:t>
      </w:r>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color w:val="7F7F7F" w:themeColor="text1" w:themeTint="80"/>
        </w:rPr>
        <w:t xml:space="preserve">This supports the notion that once a location is occupied, it remains so. However, I am confident that some locations of historical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throughout its novel region. Nevertheless, it can be successful in very small, isolated, and disturbed plots within a urban or suburban land-use matrix (personal observation;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(Del Tredici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Ultimately, the finest spatial resolution used in this study was 5 x 5 arc minutes (approximately 10 x 10 km) for the occupied grid cells through time. The spatial resolution for the number of counties through time varies, but the mean county area for all counties in the study </w:t>
      </w:r>
      <w:r w:rsidRPr="007D5D7A">
        <w:rPr>
          <w:rFonts w:ascii="Times New Roman" w:hAnsi="Times New Roman" w:cs="Times New Roman"/>
          <w:color w:val="7F7F7F" w:themeColor="text1" w:themeTint="80"/>
        </w:rPr>
        <w:lastRenderedPageBreak/>
        <w:t>region is approximately 1500 km</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making it more course than the occupied grid cells through time. For both resolutions, a complete local extinction of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is unlikely.</w:t>
      </w:r>
    </w:p>
    <w:p w14:paraId="7F0BFAE8" w14:textId="77777777" w:rsidR="0059502B" w:rsidRPr="007D5D7A" w:rsidRDefault="0059502B" w:rsidP="0059502B">
      <w:pPr>
        <w:rPr>
          <w:rFonts w:ascii="Times New Roman" w:hAnsi="Times New Roman" w:cs="Times New Roman"/>
          <w:color w:val="7F7F7F" w:themeColor="text1" w:themeTint="80"/>
        </w:rPr>
      </w:pPr>
    </w:p>
    <w:p w14:paraId="09A5A074" w14:textId="708B7D57"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A challenge in using historical biodiversity collections is that most herbaria do not have electronic databases of their holdings that are easily accessed by the public (i.e., a web-base search interface) and many do not have a complete electronic database of records within the institution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(Lavoie 2012)</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I was able to collect records from some herbaria by directly contacting curators and collection managers. Many collection managers were happy to provide me with record information for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(e.g. Miami University Herbarium) or herbaria in regions that I thought were lacking in records collected by other means. These collection issues result in underestimates of the amount of area occupied by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and further collections could potentially increase the accuracy of my results.</w:t>
      </w:r>
    </w:p>
    <w:p w14:paraId="32093385" w14:textId="77777777" w:rsidR="0059502B" w:rsidRPr="007D5D7A" w:rsidRDefault="0059502B" w:rsidP="0059502B">
      <w:pPr>
        <w:rPr>
          <w:rFonts w:ascii="Times New Roman" w:hAnsi="Times New Roman" w:cs="Times New Roman"/>
          <w:b/>
          <w:color w:val="7F7F7F" w:themeColor="text1" w:themeTint="80"/>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7E79E2">
      <w:pPr>
        <w:outlineLvl w:val="0"/>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4794185C" w14:textId="26F72DBE"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F. alnus</w:t>
      </w:r>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F. alnus</w:t>
      </w:r>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F. alnus</w:t>
      </w:r>
      <w:r>
        <w:rPr>
          <w:rFonts w:ascii="Times New Roman" w:hAnsi="Times New Roman" w:cs="Times New Roman"/>
        </w:rPr>
        <w:t xml:space="preserve"> while accounting for potential unequal spatial and temporal sampling bias in </w:t>
      </w:r>
      <w:r w:rsidR="007E79E2">
        <w:rPr>
          <w:rFonts w:ascii="Times New Roman" w:hAnsi="Times New Roman" w:cs="Times New Roman"/>
        </w:rPr>
        <w:t>presence</w:t>
      </w:r>
      <w:r>
        <w:rPr>
          <w:rFonts w:ascii="Times New Roman" w:hAnsi="Times New Roman" w:cs="Times New Roman"/>
        </w:rPr>
        <w:t xml:space="preserve"> record collection. Based on these calculations, </w:t>
      </w:r>
      <w:r>
        <w:rPr>
          <w:rFonts w:ascii="Times New Roman" w:hAnsi="Times New Roman" w:cs="Times New Roman"/>
          <w:i/>
        </w:rPr>
        <w:t>F. alnus</w:t>
      </w:r>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4B34D5" w:rsidRPr="004B34D5">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Historical presence record sources and counts. Abbreviations for “Accession Method” column: CBIF = Canadian Biodiversity Information Facility, GBIF = Global Biodiversity Information Facility, IPANE = Invasive Plant Atlas of New England, and vPlants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Botanischer Garten und Botanisches Museum Berlin-Dahlem</w:t>
            </w:r>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Université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Naturhistorisches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336165"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1DC2C6"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5DCF13"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D48F8F"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77BF5B"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9B0C2"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alnus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7DF28"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C9B0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C5DC5"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2B4047F7" w14:textId="56E4F2E4" w:rsidR="0059502B" w:rsidRPr="00E45D0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7E79E2">
      <w:pPr>
        <w:outlineLvl w:val="0"/>
        <w:rPr>
          <w:rFonts w:ascii="Times New Roman" w:hAnsi="Times New Roman" w:cs="Times New Roman"/>
          <w:b/>
        </w:rPr>
      </w:pPr>
      <w:r>
        <w:rPr>
          <w:rFonts w:ascii="Times New Roman" w:hAnsi="Times New Roman" w:cs="Times New Roman"/>
          <w:b/>
        </w:rPr>
        <w:t>References</w:t>
      </w:r>
    </w:p>
    <w:p w14:paraId="49F70E9C" w14:textId="28D56F8F" w:rsidR="00DA150F" w:rsidRPr="00DA150F" w:rsidRDefault="00BB62A5"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DA150F" w:rsidRPr="00DA150F">
        <w:rPr>
          <w:rFonts w:ascii="Times New Roman" w:eastAsia="Times New Roman" w:hAnsi="Times New Roman" w:cs="Times New Roman"/>
          <w:noProof/>
        </w:rPr>
        <w:t>Aikio, S., R. P. Duncan, and P. E. Hulme. 2010a. Lag-phases in alien plant invasions: separating the facts from the artefacts. Oikos 119:370–378.</w:t>
      </w:r>
    </w:p>
    <w:p w14:paraId="25F85C8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44016E9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05FBA93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2298469A" w14:textId="41CAB8EA"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Boakes, E. H., P. J. K. McGowan, R. A. Fuller, D. Chang-qing, N. E. Clark, K. O’Connor, and G. M. Mace. 2010. Distorted views of biodiversity: spatial and temporal bias in species </w:t>
      </w:r>
      <w:r w:rsidR="007E79E2">
        <w:rPr>
          <w:rFonts w:ascii="Times New Roman" w:eastAsia="Times New Roman" w:hAnsi="Times New Roman" w:cs="Times New Roman"/>
          <w:noProof/>
        </w:rPr>
        <w:t>presence</w:t>
      </w:r>
      <w:r w:rsidRPr="00DA150F">
        <w:rPr>
          <w:rFonts w:ascii="Times New Roman" w:eastAsia="Times New Roman" w:hAnsi="Times New Roman" w:cs="Times New Roman"/>
          <w:noProof/>
        </w:rPr>
        <w:t xml:space="preserve"> data. PLoS Biology 8:e1000385.</w:t>
      </w:r>
    </w:p>
    <w:p w14:paraId="46D959B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Catling, P. M., and Z. S. Porebski. 1994. The history of invasion and current status of glossy buckthorn,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in southern Ontario. Canadian field-naturalist 108:305–310.</w:t>
      </w:r>
    </w:p>
    <w:p w14:paraId="1B52835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Converse, C. K. 1984. Element stewardship abstract for </w:t>
      </w:r>
      <w:r w:rsidRPr="00DA150F">
        <w:rPr>
          <w:rFonts w:ascii="Times New Roman" w:eastAsia="Times New Roman" w:hAnsi="Times New Roman" w:cs="Times New Roman"/>
          <w:i/>
          <w:iCs/>
          <w:noProof/>
        </w:rPr>
        <w:t>Rhamnus cathartica</w:t>
      </w:r>
      <w:r w:rsidRPr="00DA150F">
        <w:rPr>
          <w:rFonts w:ascii="Times New Roman" w:eastAsia="Times New Roman" w:hAnsi="Times New Roman" w:cs="Times New Roman"/>
          <w:noProof/>
        </w:rPr>
        <w:t xml:space="preserve">,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(syn. </w:t>
      </w:r>
      <w:r w:rsidRPr="00DA150F">
        <w:rPr>
          <w:rFonts w:ascii="Times New Roman" w:eastAsia="Times New Roman" w:hAnsi="Times New Roman" w:cs="Times New Roman"/>
          <w:i/>
          <w:iCs/>
          <w:noProof/>
        </w:rPr>
        <w:t>Frangula alnus</w:t>
      </w:r>
      <w:r w:rsidRPr="00DA150F">
        <w:rPr>
          <w:rFonts w:ascii="Times New Roman" w:eastAsia="Times New Roman" w:hAnsi="Times New Roman" w:cs="Times New Roman"/>
          <w:noProof/>
        </w:rPr>
        <w:t>). The Nature Conservancy, Arlington, The Nature Conservancy.</w:t>
      </w:r>
    </w:p>
    <w:p w14:paraId="47846DC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3E7348D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Crooks, J. 2005. Lag times and exotic species: the ecology and management of biological invasions in slow-motion. Ecoscience 12:316–329.</w:t>
      </w:r>
    </w:p>
    <w:p w14:paraId="67BE8E76"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Crooks, J. A., and M. E. Soulé. 1999. Lag times in population explosions of invasive species: causes and implications. Pages 103–125</w:t>
      </w:r>
      <w:r w:rsidRPr="00DA150F">
        <w:rPr>
          <w:rFonts w:ascii="Times New Roman" w:eastAsia="Times New Roman" w:hAnsi="Times New Roman" w:cs="Times New Roman"/>
          <w:i/>
          <w:iCs/>
          <w:noProof/>
        </w:rPr>
        <w:t>in</w:t>
      </w:r>
      <w:r w:rsidRPr="00DA150F">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146C38B6"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Cunard, C., and T. D. Lee. 2008. Is patience a virtue? Succession, light, and the death of invasive glossy buckthorn (</w:t>
      </w:r>
      <w:r w:rsidRPr="00DA150F">
        <w:rPr>
          <w:rFonts w:ascii="Times New Roman" w:eastAsia="Times New Roman" w:hAnsi="Times New Roman" w:cs="Times New Roman"/>
          <w:i/>
          <w:iCs/>
          <w:noProof/>
        </w:rPr>
        <w:t>Frangula alnus</w:t>
      </w:r>
      <w:r w:rsidRPr="00DA150F">
        <w:rPr>
          <w:rFonts w:ascii="Times New Roman" w:eastAsia="Times New Roman" w:hAnsi="Times New Roman" w:cs="Times New Roman"/>
          <w:noProof/>
        </w:rPr>
        <w:t>). Biological Invasions 11:577–586.</w:t>
      </w:r>
    </w:p>
    <w:p w14:paraId="16C84A8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1CE0D20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Frappier, B., R. T. Eckert, and T. D. Lee. 2003. Potential impacts of the invasive exotic shrub Rhamnus frangula L. (glossy buckthorn) on forests of southern New Hampshire. Northeastern Naturalist 10:277–296.</w:t>
      </w:r>
    </w:p>
    <w:p w14:paraId="77E6F37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Garcia-Milagros, E., and V. A. Funk. 2010. Improving the use of information from museum specimens: using Google Earth© to georeference Guiana Shield specimens </w:t>
      </w:r>
      <w:r w:rsidRPr="00DA150F">
        <w:rPr>
          <w:rFonts w:ascii="Times New Roman" w:eastAsia="Times New Roman" w:hAnsi="Times New Roman" w:cs="Times New Roman"/>
          <w:noProof/>
        </w:rPr>
        <w:lastRenderedPageBreak/>
        <w:t>in the US National Herbarium. Frontiers of Biogeography 2:71–77.</w:t>
      </w:r>
    </w:p>
    <w:p w14:paraId="7218208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22A3FF4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08844D5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2012. Introduction to the’raster’package (version 2.0-08). R.</w:t>
      </w:r>
    </w:p>
    <w:p w14:paraId="5697A53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12AA526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S. J. Phillips, J. R. Leathwick, and J. Elith. 2013. dismo: Species distribution modeling. R.</w:t>
      </w:r>
    </w:p>
    <w:p w14:paraId="2B27F2F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Houlahan, J. E., and С. S. Findlay. 2004. Effect of invasive plant species on temperate wetland paint diversity. Conservation Biology 18:1132–1138.</w:t>
      </w:r>
    </w:p>
    <w:p w14:paraId="36A0B464"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Howell, J. A., and W. H. J. Blackwell. 1977. The history of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(glossy buckthorn) in the Ohio flora. Castanea 42:111–115.</w:t>
      </w:r>
    </w:p>
    <w:p w14:paraId="4E351ED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Jacquart, E. M., and T. M. Knight. 2010. Are there noninvasive cultivars of buckthorn. Indiana Nursery and Landscape News 70:16–17.</w:t>
      </w:r>
    </w:p>
    <w:p w14:paraId="66EC247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0C40FD8C"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Keitt, T. H., R. Bivand, and B. Rowlingson. 2012. rgdal. R.</w:t>
      </w:r>
    </w:p>
    <w:p w14:paraId="344B9C6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Kowarik, I. 1995. Time lags in biological invasions with regard to success and failure of alien species. Page </w:t>
      </w:r>
      <w:r w:rsidRPr="00DA150F">
        <w:rPr>
          <w:rFonts w:ascii="Times New Roman" w:eastAsia="Times New Roman" w:hAnsi="Times New Roman" w:cs="Times New Roman"/>
          <w:i/>
          <w:iCs/>
          <w:noProof/>
        </w:rPr>
        <w:t>in</w:t>
      </w:r>
      <w:r w:rsidRPr="00DA150F">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53BD071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Kurylo, J. S., K. S. Knight, J. R. Stewart, and A. G. Endress. 2007. </w:t>
      </w:r>
      <w:r w:rsidRPr="00DA150F">
        <w:rPr>
          <w:rFonts w:ascii="Times New Roman" w:eastAsia="Times New Roman" w:hAnsi="Times New Roman" w:cs="Times New Roman"/>
          <w:i/>
          <w:iCs/>
          <w:noProof/>
        </w:rPr>
        <w:t>Rhamnus cathartica</w:t>
      </w:r>
      <w:r w:rsidRPr="00DA150F">
        <w:rPr>
          <w:rFonts w:ascii="Times New Roman" w:eastAsia="Times New Roman" w:hAnsi="Times New Roman" w:cs="Times New Roman"/>
          <w:noProof/>
        </w:rPr>
        <w:t>: Native and naturalized distribution and habitat preferences. The Journal of the Torrey Botanical Society 134:420–430.</w:t>
      </w:r>
    </w:p>
    <w:p w14:paraId="15C6FDF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Larkin, D. J. 2011. Lengths and correlates of lag phases in upper-Midwest plant invasions. Biological Invasions 14:827–838.</w:t>
      </w:r>
    </w:p>
    <w:p w14:paraId="0E09AE1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2467AB0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Little, E. L., S. Bullaty, and A. Lomeo. 1980. National Audubon Society Field Guide to North American Trees: Eastern Region. Alfred A. Knopf.</w:t>
      </w:r>
    </w:p>
    <w:p w14:paraId="3817FD4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Mack, R. N., D. Simberloff, W. Mark Lonsdale, H. Evans, M. Clout, and F. A. Bazzaz. 2000. Biotic invasions: causes, epidemiology, global consequences, and control. Ecological Applications 10:689–710.</w:t>
      </w:r>
    </w:p>
    <w:p w14:paraId="0B5BBA2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lastRenderedPageBreak/>
        <w:t>Mihulka, S., and P. Pyšek. 2001. Invasion history of Oenothera congeners in Europe: a comparative study of spreading rates in the last 200 years. Journal of Biogeography 28:597–609.</w:t>
      </w:r>
    </w:p>
    <w:p w14:paraId="5901103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Miller, R. J., A. D. Carroll, T. P. Wilson, and J. Shaw. 2009. Spatiotemporal analysis of three common wetland invasive plant species using herbarium specimens and geographic information systems. Castanea 74:133–145.</w:t>
      </w:r>
    </w:p>
    <w:p w14:paraId="18D88BC4"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467699F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4EFEA38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Pluess, T., R. Cannon, V. Jarošík, J. Pergl, P. Pyšek, and S. Bacher. 2012. When are eradication campaigns successful? A test of common assumptions. Biological Invasions 14:1365–1378.</w:t>
      </w:r>
    </w:p>
    <w:p w14:paraId="19D44E5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Possessky, S. L., C. E. Williams, and W. J. Moriarity. 2000. Glossy buckthorn,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L.: A threat to riparian plant communities of the northern Allegheny Plateau (USA). Natural Areas Journal 20:290–292.</w:t>
      </w:r>
    </w:p>
    <w:p w14:paraId="00CECA8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183BA1B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Pyšek, P., and P. E. Hulme. 2005. Spatio-temporal dynamics of plant invasions: linking pattern to process. Ecoscience 12:302–315.</w:t>
      </w:r>
    </w:p>
    <w:p w14:paraId="42B79DB5"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1929FEE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Pyšek, P., and K. Prach. 1995. Invasion dynamics of </w:t>
      </w:r>
      <w:r w:rsidRPr="00DA150F">
        <w:rPr>
          <w:rFonts w:ascii="Times New Roman" w:eastAsia="Times New Roman" w:hAnsi="Times New Roman" w:cs="Times New Roman"/>
          <w:i/>
          <w:iCs/>
          <w:noProof/>
        </w:rPr>
        <w:t>Impatiens glandulifera</w:t>
      </w:r>
      <w:r w:rsidRPr="00DA150F">
        <w:rPr>
          <w:rFonts w:ascii="Times New Roman" w:eastAsia="Times New Roman" w:hAnsi="Times New Roman" w:cs="Times New Roman"/>
          <w:noProof/>
        </w:rPr>
        <w:t xml:space="preserve"> - a century of spreading reconstructed. Biological Conservation 74:41–48.</w:t>
      </w:r>
    </w:p>
    <w:p w14:paraId="7B24094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QGIS Development Team. 2012. QGIS Geographic Information System.</w:t>
      </w:r>
    </w:p>
    <w:p w14:paraId="3083E4B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R Core Team. 2012. R: A language and environment for statistical computing. Vienna, Austria.</w:t>
      </w:r>
    </w:p>
    <w:p w14:paraId="4EE951A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67EEA7C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49A80A0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Salo, L. F. 2005. Red brome (</w:t>
      </w:r>
      <w:r w:rsidRPr="00DA150F">
        <w:rPr>
          <w:rFonts w:ascii="Times New Roman" w:eastAsia="Times New Roman" w:hAnsi="Times New Roman" w:cs="Times New Roman"/>
          <w:i/>
          <w:iCs/>
          <w:noProof/>
        </w:rPr>
        <w:t>Bromus rubens</w:t>
      </w:r>
      <w:r w:rsidRPr="00DA150F">
        <w:rPr>
          <w:rFonts w:ascii="Times New Roman" w:eastAsia="Times New Roman" w:hAnsi="Times New Roman" w:cs="Times New Roman"/>
          <w:noProof/>
        </w:rPr>
        <w:t xml:space="preserve"> subsp. </w:t>
      </w:r>
      <w:r w:rsidRPr="00DA150F">
        <w:rPr>
          <w:rFonts w:ascii="Times New Roman" w:eastAsia="Times New Roman" w:hAnsi="Times New Roman" w:cs="Times New Roman"/>
          <w:i/>
          <w:iCs/>
          <w:noProof/>
        </w:rPr>
        <w:t>madritensis</w:t>
      </w:r>
      <w:r w:rsidRPr="00DA150F">
        <w:rPr>
          <w:rFonts w:ascii="Times New Roman" w:eastAsia="Times New Roman" w:hAnsi="Times New Roman" w:cs="Times New Roman"/>
          <w:noProof/>
        </w:rPr>
        <w:t>) in North America: possible modes for early introductions, subsequent spread. Biological Invasions 7:165–180.</w:t>
      </w:r>
    </w:p>
    <w:p w14:paraId="4E96D03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Sherff, E. E. 1912. Range extenstions of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and </w:t>
      </w:r>
      <w:r w:rsidRPr="00DA150F">
        <w:rPr>
          <w:rFonts w:ascii="Times New Roman" w:eastAsia="Times New Roman" w:hAnsi="Times New Roman" w:cs="Times New Roman"/>
          <w:i/>
          <w:iCs/>
          <w:noProof/>
        </w:rPr>
        <w:t>Sporobolus asperifolius</w:t>
      </w:r>
      <w:r w:rsidRPr="00DA150F">
        <w:rPr>
          <w:rFonts w:ascii="Times New Roman" w:eastAsia="Times New Roman" w:hAnsi="Times New Roman" w:cs="Times New Roman"/>
          <w:noProof/>
        </w:rPr>
        <w:t xml:space="preserve">. </w:t>
      </w:r>
      <w:r w:rsidRPr="00DA150F">
        <w:rPr>
          <w:rFonts w:ascii="Times New Roman" w:eastAsia="Times New Roman" w:hAnsi="Times New Roman" w:cs="Times New Roman"/>
          <w:noProof/>
        </w:rPr>
        <w:lastRenderedPageBreak/>
        <w:t>Rhodora 14:227–229.</w:t>
      </w:r>
    </w:p>
    <w:p w14:paraId="0ABDD37A"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Sibley, D. 2009. The Sibley guide to trees. Alfred A. Knopf, New York.</w:t>
      </w:r>
    </w:p>
    <w:p w14:paraId="2F66A37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Sorrie, B. A. 2005. Alien vascular plants in Massachusetts. Rhodora 107:284–329.</w:t>
      </w:r>
    </w:p>
    <w:p w14:paraId="0F9A1C9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2648B41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Del Tredici, P. 2010. Wild Urban Plants of the Northeast: A Field Guide. Comstock Publishing Associates, Ithica.</w:t>
      </w:r>
    </w:p>
    <w:p w14:paraId="4E309B6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United States Pharmacopeial Convention. 1910. The Pharmacopeia of the United States of America. Ninth Dece. P. Blakiston’s Son &amp; Company, Philadelphia.</w:t>
      </w:r>
    </w:p>
    <w:p w14:paraId="39C6DD9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Weber, E. 1998. The dynamics of plant invasions: a case study of three exotic goldenrod species (</w:t>
      </w:r>
      <w:r w:rsidRPr="00DA150F">
        <w:rPr>
          <w:rFonts w:ascii="Times New Roman" w:eastAsia="Times New Roman" w:hAnsi="Times New Roman" w:cs="Times New Roman"/>
          <w:i/>
          <w:iCs/>
          <w:noProof/>
        </w:rPr>
        <w:t>Solidago</w:t>
      </w:r>
      <w:r w:rsidRPr="00DA150F">
        <w:rPr>
          <w:rFonts w:ascii="Times New Roman" w:eastAsia="Times New Roman" w:hAnsi="Times New Roman" w:cs="Times New Roman"/>
          <w:noProof/>
        </w:rPr>
        <w:t xml:space="preserve"> L.) in Europe. Journal of Biogeography 25:147–154.</w:t>
      </w:r>
    </w:p>
    <w:p w14:paraId="1D2ED606" w14:textId="77777777" w:rsidR="00DA150F" w:rsidRPr="00DA150F" w:rsidRDefault="00DA150F" w:rsidP="00DA150F">
      <w:pPr>
        <w:widowControl w:val="0"/>
        <w:autoSpaceDE w:val="0"/>
        <w:autoSpaceDN w:val="0"/>
        <w:adjustRightInd w:val="0"/>
        <w:spacing w:before="100" w:after="100"/>
        <w:ind w:left="480" w:hanging="480"/>
        <w:rPr>
          <w:rFonts w:ascii="Times New Roman" w:hAnsi="Times New Roman" w:cs="Times New Roman"/>
          <w:noProof/>
        </w:rPr>
      </w:pPr>
      <w:r w:rsidRPr="00DA150F">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681233D2" w14:textId="25E70616" w:rsidR="00E84FD5" w:rsidRPr="0091245A" w:rsidRDefault="00BB62A5" w:rsidP="00DA150F">
      <w:pPr>
        <w:widowControl w:val="0"/>
        <w:autoSpaceDE w:val="0"/>
        <w:autoSpaceDN w:val="0"/>
        <w:adjustRightInd w:val="0"/>
        <w:spacing w:before="100" w:after="100"/>
        <w:ind w:left="480" w:hanging="480"/>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19B1"/>
    <w:rsid w:val="00032283"/>
    <w:rsid w:val="00037281"/>
    <w:rsid w:val="00053BFD"/>
    <w:rsid w:val="00057433"/>
    <w:rsid w:val="00070B59"/>
    <w:rsid w:val="000746E2"/>
    <w:rsid w:val="00077EFF"/>
    <w:rsid w:val="000A162A"/>
    <w:rsid w:val="000A4799"/>
    <w:rsid w:val="000B0DDA"/>
    <w:rsid w:val="000C4B1C"/>
    <w:rsid w:val="000D089F"/>
    <w:rsid w:val="000D147E"/>
    <w:rsid w:val="000D7141"/>
    <w:rsid w:val="000F7524"/>
    <w:rsid w:val="00103FE8"/>
    <w:rsid w:val="0012027B"/>
    <w:rsid w:val="001242C9"/>
    <w:rsid w:val="00132303"/>
    <w:rsid w:val="00133C5A"/>
    <w:rsid w:val="00144CA1"/>
    <w:rsid w:val="001547EE"/>
    <w:rsid w:val="001703ED"/>
    <w:rsid w:val="00173F74"/>
    <w:rsid w:val="001C10A4"/>
    <w:rsid w:val="001D02F3"/>
    <w:rsid w:val="001D12AB"/>
    <w:rsid w:val="001F447B"/>
    <w:rsid w:val="00207EF8"/>
    <w:rsid w:val="00207FEE"/>
    <w:rsid w:val="002713F1"/>
    <w:rsid w:val="00286BDA"/>
    <w:rsid w:val="002925CD"/>
    <w:rsid w:val="00295AEB"/>
    <w:rsid w:val="00295EB2"/>
    <w:rsid w:val="002A30F0"/>
    <w:rsid w:val="002E4ED2"/>
    <w:rsid w:val="00300B41"/>
    <w:rsid w:val="00312367"/>
    <w:rsid w:val="00315200"/>
    <w:rsid w:val="00320B92"/>
    <w:rsid w:val="00320E7F"/>
    <w:rsid w:val="00331ACE"/>
    <w:rsid w:val="00335BB4"/>
    <w:rsid w:val="00342C47"/>
    <w:rsid w:val="00343117"/>
    <w:rsid w:val="00373169"/>
    <w:rsid w:val="00386797"/>
    <w:rsid w:val="003C0238"/>
    <w:rsid w:val="003D0E90"/>
    <w:rsid w:val="003D4604"/>
    <w:rsid w:val="003D4660"/>
    <w:rsid w:val="003E3E05"/>
    <w:rsid w:val="00406553"/>
    <w:rsid w:val="00410E4A"/>
    <w:rsid w:val="00462DB8"/>
    <w:rsid w:val="004704B3"/>
    <w:rsid w:val="004764A4"/>
    <w:rsid w:val="004946CA"/>
    <w:rsid w:val="004A5AC1"/>
    <w:rsid w:val="004B34D5"/>
    <w:rsid w:val="004C6E33"/>
    <w:rsid w:val="004E6979"/>
    <w:rsid w:val="004F1B04"/>
    <w:rsid w:val="005013B4"/>
    <w:rsid w:val="005028DF"/>
    <w:rsid w:val="00514A26"/>
    <w:rsid w:val="00526CDC"/>
    <w:rsid w:val="00542040"/>
    <w:rsid w:val="00546984"/>
    <w:rsid w:val="00556B9E"/>
    <w:rsid w:val="005665FD"/>
    <w:rsid w:val="00577BE8"/>
    <w:rsid w:val="005825CE"/>
    <w:rsid w:val="005852DE"/>
    <w:rsid w:val="0059502B"/>
    <w:rsid w:val="005964AF"/>
    <w:rsid w:val="00596BE8"/>
    <w:rsid w:val="005A51BE"/>
    <w:rsid w:val="005B2F78"/>
    <w:rsid w:val="005B761C"/>
    <w:rsid w:val="005D63BD"/>
    <w:rsid w:val="005E2BA7"/>
    <w:rsid w:val="005E3186"/>
    <w:rsid w:val="005F0DE1"/>
    <w:rsid w:val="00606FD1"/>
    <w:rsid w:val="006224A2"/>
    <w:rsid w:val="00634D89"/>
    <w:rsid w:val="00647C04"/>
    <w:rsid w:val="0065100E"/>
    <w:rsid w:val="00672917"/>
    <w:rsid w:val="00694752"/>
    <w:rsid w:val="00695C3B"/>
    <w:rsid w:val="006C7FE2"/>
    <w:rsid w:val="006D07CA"/>
    <w:rsid w:val="006D2BAD"/>
    <w:rsid w:val="006D6F76"/>
    <w:rsid w:val="006E2B05"/>
    <w:rsid w:val="00707031"/>
    <w:rsid w:val="0076017F"/>
    <w:rsid w:val="007716DA"/>
    <w:rsid w:val="0078182E"/>
    <w:rsid w:val="00797AAA"/>
    <w:rsid w:val="007A6C8E"/>
    <w:rsid w:val="007B6221"/>
    <w:rsid w:val="007D5D7A"/>
    <w:rsid w:val="007E23D6"/>
    <w:rsid w:val="007E79E2"/>
    <w:rsid w:val="008207F7"/>
    <w:rsid w:val="00821148"/>
    <w:rsid w:val="00833BEA"/>
    <w:rsid w:val="00846B4C"/>
    <w:rsid w:val="0085286F"/>
    <w:rsid w:val="0085679E"/>
    <w:rsid w:val="0086650C"/>
    <w:rsid w:val="00887657"/>
    <w:rsid w:val="008A5635"/>
    <w:rsid w:val="008A588D"/>
    <w:rsid w:val="008F02BB"/>
    <w:rsid w:val="008F2714"/>
    <w:rsid w:val="0091245A"/>
    <w:rsid w:val="00932531"/>
    <w:rsid w:val="00987B94"/>
    <w:rsid w:val="00994D3F"/>
    <w:rsid w:val="009A52FD"/>
    <w:rsid w:val="009A7C3C"/>
    <w:rsid w:val="009C509B"/>
    <w:rsid w:val="009E3368"/>
    <w:rsid w:val="009F1580"/>
    <w:rsid w:val="009F19E2"/>
    <w:rsid w:val="009F45A6"/>
    <w:rsid w:val="00AA4E23"/>
    <w:rsid w:val="00AA759E"/>
    <w:rsid w:val="00AB5C65"/>
    <w:rsid w:val="00AB7398"/>
    <w:rsid w:val="00AF05DE"/>
    <w:rsid w:val="00B155A0"/>
    <w:rsid w:val="00B20482"/>
    <w:rsid w:val="00B55E52"/>
    <w:rsid w:val="00B819CA"/>
    <w:rsid w:val="00B90AC5"/>
    <w:rsid w:val="00BB3AA0"/>
    <w:rsid w:val="00BB62A5"/>
    <w:rsid w:val="00BC652B"/>
    <w:rsid w:val="00BE3045"/>
    <w:rsid w:val="00BF053D"/>
    <w:rsid w:val="00C2361F"/>
    <w:rsid w:val="00C34CA4"/>
    <w:rsid w:val="00C415FA"/>
    <w:rsid w:val="00C7299A"/>
    <w:rsid w:val="00C93A87"/>
    <w:rsid w:val="00C93E19"/>
    <w:rsid w:val="00CA4793"/>
    <w:rsid w:val="00CB0AC0"/>
    <w:rsid w:val="00CE5731"/>
    <w:rsid w:val="00D01CA2"/>
    <w:rsid w:val="00D031E1"/>
    <w:rsid w:val="00D13CF8"/>
    <w:rsid w:val="00D21763"/>
    <w:rsid w:val="00D35151"/>
    <w:rsid w:val="00D73FBF"/>
    <w:rsid w:val="00D82EDE"/>
    <w:rsid w:val="00DA150F"/>
    <w:rsid w:val="00DB5D93"/>
    <w:rsid w:val="00DD3C34"/>
    <w:rsid w:val="00DF1710"/>
    <w:rsid w:val="00DF40A5"/>
    <w:rsid w:val="00E305F9"/>
    <w:rsid w:val="00E4214A"/>
    <w:rsid w:val="00E45D01"/>
    <w:rsid w:val="00E54B8D"/>
    <w:rsid w:val="00E65993"/>
    <w:rsid w:val="00E75D55"/>
    <w:rsid w:val="00E83125"/>
    <w:rsid w:val="00E84FD5"/>
    <w:rsid w:val="00EA4B96"/>
    <w:rsid w:val="00EA659F"/>
    <w:rsid w:val="00EB098D"/>
    <w:rsid w:val="00EB739D"/>
    <w:rsid w:val="00EE69D3"/>
    <w:rsid w:val="00F0171C"/>
    <w:rsid w:val="00F02F80"/>
    <w:rsid w:val="00F26A6B"/>
    <w:rsid w:val="00F3141A"/>
    <w:rsid w:val="00F605A1"/>
    <w:rsid w:val="00FA6DA1"/>
    <w:rsid w:val="00FD22A2"/>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A59809-471F-9044-A19A-EC631280F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29</Pages>
  <Words>23475</Words>
  <Characters>133809</Characters>
  <Application>Microsoft Macintosh Word</Application>
  <DocSecurity>0</DocSecurity>
  <Lines>1115</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Microsoft Office User</cp:lastModifiedBy>
  <cp:revision>113</cp:revision>
  <cp:lastPrinted>2015-06-05T01:03:00Z</cp:lastPrinted>
  <dcterms:created xsi:type="dcterms:W3CDTF">2014-03-10T17:18:00Z</dcterms:created>
  <dcterms:modified xsi:type="dcterms:W3CDTF">2017-07-12T03:28:00Z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http://www.zotero.org/styles/ecology</vt:lpwstr>
  </property>
  <property fmtid="{D5CDD505-2E9C-101B-9397-08002B2CF9AE}" pid="15" name="Mendeley Recent Style Name 5_1">
    <vt:lpwstr>Ecology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c422e46c-ad8c-3146-b798-401a4fe07620</vt:lpwstr>
  </property>
</Properties>
</file>