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1C97AACA"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305E15">
        <w:rPr>
          <w:rFonts w:ascii="Times New Roman" w:hAnsi="Times New Roman" w:cs="Times New Roman"/>
          <w:color w:val="000000" w:themeColor="text1"/>
        </w:rPr>
        <w:t>In particular</w:t>
      </w:r>
      <w:r w:rsidR="00404B4F">
        <w:rPr>
          <w:rFonts w:ascii="Times New Roman" w:hAnsi="Times New Roman" w:cs="Times New Roman"/>
          <w:color w:val="000000" w:themeColor="text1"/>
        </w:rPr>
        <w:t>,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xml:space="preserve">, ranging from southern Ontario to </w:t>
      </w:r>
      <w:r w:rsidR="00305E15">
        <w:rPr>
          <w:rFonts w:ascii="Times New Roman" w:hAnsi="Times New Roman" w:cs="Times New Roman"/>
        </w:rPr>
        <w:t xml:space="preserve">the </w:t>
      </w:r>
      <w:r w:rsidRPr="00F66DB3">
        <w:rPr>
          <w:rFonts w:ascii="Times New Roman" w:hAnsi="Times New Roman" w:cs="Times New Roman"/>
        </w:rPr>
        <w:t>co</w:t>
      </w:r>
      <w:r w:rsidR="00386797">
        <w:rPr>
          <w:rFonts w:ascii="Times New Roman" w:hAnsi="Times New Roman" w:cs="Times New Roman"/>
        </w:rPr>
        <w:t xml:space="preserve">astal </w:t>
      </w:r>
      <w:r w:rsidR="00305E15">
        <w:rPr>
          <w:rFonts w:ascii="Times New Roman" w:hAnsi="Times New Roman" w:cs="Times New Roman"/>
        </w:rPr>
        <w:t>Mid-Atlantic region</w:t>
      </w:r>
      <w:r w:rsidR="00386797">
        <w:rPr>
          <w:rFonts w:ascii="Times New Roman" w:hAnsi="Times New Roman" w:cs="Times New Roman"/>
        </w:rPr>
        <w:t>.</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sidRPr="00305E15">
        <w:rPr>
          <w:rFonts w:ascii="Times New Roman" w:hAnsi="Times New Roman" w:cs="Times New Roman"/>
          <w:highlight w:val="red"/>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sidRPr="00305E15">
        <w:rPr>
          <w:rFonts w:ascii="Times New Roman" w:hAnsi="Times New Roman" w:cs="Times New Roman"/>
          <w:i/>
          <w:iCs/>
          <w:highlight w:val="red"/>
        </w:rPr>
        <w:t xml:space="preserve">F. </w:t>
      </w:r>
      <w:proofErr w:type="spellStart"/>
      <w:r w:rsidRPr="00305E15">
        <w:rPr>
          <w:rFonts w:ascii="Times New Roman" w:hAnsi="Times New Roman" w:cs="Times New Roman"/>
          <w:i/>
          <w:iCs/>
          <w:highlight w:val="red"/>
        </w:rPr>
        <w:t>alnus</w:t>
      </w:r>
      <w:proofErr w:type="spellEnd"/>
      <w:r w:rsidRPr="00305E15">
        <w:rPr>
          <w:rFonts w:ascii="Times New Roman" w:hAnsi="Times New Roman" w:cs="Times New Roman"/>
          <w:i/>
          <w:iCs/>
          <w:highlight w:val="red"/>
        </w:rPr>
        <w:t xml:space="preserve"> </w:t>
      </w:r>
      <w:r w:rsidRPr="00305E15">
        <w:rPr>
          <w:rFonts w:ascii="Times New Roman" w:hAnsi="Times New Roman" w:cs="Times New Roman"/>
          <w:iCs/>
          <w:highlight w:val="red"/>
        </w:rPr>
        <w:t xml:space="preserve">has steadily increased in area of occupancy since ca. 1920. </w:t>
      </w:r>
      <w:r w:rsidR="00C87AA6" w:rsidRPr="00305E15">
        <w:rPr>
          <w:rFonts w:ascii="Times New Roman" w:hAnsi="Times New Roman" w:cs="Times New Roman"/>
          <w:iCs/>
          <w:highlight w:val="red"/>
        </w:rPr>
        <w:t>These results raise the q</w:t>
      </w:r>
      <w:r w:rsidR="00590EE5" w:rsidRPr="00305E15">
        <w:rPr>
          <w:rFonts w:ascii="Times New Roman" w:hAnsi="Times New Roman" w:cs="Times New Roman"/>
          <w:iCs/>
          <w:highlight w:val="red"/>
        </w:rPr>
        <w:t xml:space="preserve">uestion of whether extended lag </w:t>
      </w:r>
      <w:r w:rsidR="00C87AA6" w:rsidRPr="00305E15">
        <w:rPr>
          <w:rFonts w:ascii="Times New Roman" w:hAnsi="Times New Roman" w:cs="Times New Roman"/>
          <w:iCs/>
          <w:highlight w:val="red"/>
        </w:rPr>
        <w:t>phases may be a spatial-scal</w:t>
      </w:r>
      <w:r w:rsidR="00A2391C" w:rsidRPr="00305E15">
        <w:rPr>
          <w:rFonts w:ascii="Times New Roman" w:hAnsi="Times New Roman" w:cs="Times New Roman"/>
          <w:iCs/>
          <w:highlight w:val="red"/>
        </w:rPr>
        <w:t>e specific pattern.</w:t>
      </w:r>
      <w:r w:rsidR="00A2391C">
        <w:rPr>
          <w:rFonts w:ascii="Times New Roman" w:hAnsi="Times New Roman" w:cs="Times New Roman"/>
          <w:iCs/>
        </w:rPr>
        <w:t xml:space="preserve">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7A295E17"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C35343">
        <w:rPr>
          <w:rFonts w:ascii="Times New Roman" w:hAnsi="Times New Roman" w:cs="Times New Roman"/>
          <w:b/>
          <w:color w:val="FF0000"/>
        </w:rPr>
        <w:t>850</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7EF95665"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 xml:space="preserve">growth of population size in </w:t>
      </w:r>
      <w:r w:rsidR="00992304">
        <w:rPr>
          <w:rFonts w:ascii="Times New Roman" w:hAnsi="Times New Roman" w:cs="Times New Roman"/>
          <w:color w:val="000000" w:themeColor="text1"/>
        </w:rPr>
        <w:t xml:space="preserve">the </w:t>
      </w:r>
      <w:r w:rsidR="009653FC">
        <w:rPr>
          <w:rFonts w:ascii="Times New Roman" w:hAnsi="Times New Roman" w:cs="Times New Roman"/>
          <w:color w:val="000000" w:themeColor="text1"/>
        </w:rPr>
        <w:t>number of individuals and in range size</w:t>
      </w:r>
      <w:r w:rsidRPr="002925CD">
        <w:rPr>
          <w:rFonts w:ascii="Times New Roman" w:hAnsi="Times New Roman" w:cs="Times New Roman"/>
          <w:color w:val="000000" w:themeColor="text1"/>
        </w:rPr>
        <w:t xml:space="preserve">, but factors causing </w:t>
      </w:r>
      <w:r w:rsidR="00992304">
        <w:rPr>
          <w:rFonts w:ascii="Times New Roman" w:hAnsi="Times New Roman" w:cs="Times New Roman"/>
          <w:color w:val="000000" w:themeColor="text1"/>
        </w:rPr>
        <w:t xml:space="preserve">extended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w:t>
      </w:r>
      <w:r w:rsidR="0059502B" w:rsidRPr="002925CD">
        <w:rPr>
          <w:rFonts w:ascii="Times New Roman" w:hAnsi="Times New Roman" w:cs="Times New Roman"/>
          <w:color w:val="000000" w:themeColor="text1"/>
        </w:rPr>
        <w:lastRenderedPageBreak/>
        <w:t xml:space="preserve">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73D28930"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w:t>
      </w:r>
      <w:r w:rsidR="00EC74BE">
        <w:rPr>
          <w:rFonts w:ascii="Times New Roman" w:hAnsi="Times New Roman" w:cs="Times New Roman"/>
          <w:color w:val="000000" w:themeColor="text1"/>
        </w:rPr>
        <w:t>We must</w:t>
      </w:r>
      <w:r w:rsidR="0059502B" w:rsidRPr="00132303">
        <w:rPr>
          <w:rFonts w:ascii="Times New Roman" w:hAnsi="Times New Roman" w:cs="Times New Roman"/>
          <w:color w:val="000000" w:themeColor="text1"/>
        </w:rPr>
        <w:t xml:space="preserve">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6D155207"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lastRenderedPageBreak/>
        <w:t>A small number of</w:t>
      </w:r>
      <w:r w:rsidR="00EC74BE">
        <w:rPr>
          <w:rFonts w:ascii="Times New Roman" w:hAnsi="Times New Roman" w:cs="Times New Roman"/>
          <w:color w:val="000000" w:themeColor="text1"/>
        </w:rPr>
        <w:t xml:space="preserve"> </w:t>
      </w:r>
      <w:r w:rsidRPr="00932531">
        <w:rPr>
          <w:rFonts w:ascii="Times New Roman" w:hAnsi="Times New Roman" w:cs="Times New Roman"/>
          <w:color w:val="000000" w:themeColor="text1"/>
        </w:rPr>
        <w:t>methods address</w:t>
      </w:r>
      <w:r w:rsidR="00EC74BE">
        <w:rPr>
          <w:rFonts w:ascii="Times New Roman" w:hAnsi="Times New Roman" w:cs="Times New Roman"/>
          <w:color w:val="000000" w:themeColor="text1"/>
        </w:rPr>
        <w:t xml:space="preserve"> the</w:t>
      </w:r>
      <w:r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w:t>
      </w:r>
      <w:r w:rsidR="00EC74BE">
        <w:rPr>
          <w:rFonts w:ascii="Times New Roman" w:hAnsi="Times New Roman" w:cs="Times New Roman"/>
          <w:color w:val="000000" w:themeColor="text1"/>
        </w:rPr>
        <w:t>involve comparison of</w:t>
      </w:r>
      <w:r w:rsidR="0059502B" w:rsidRPr="00932531">
        <w:rPr>
          <w:rFonts w:ascii="Times New Roman" w:hAnsi="Times New Roman" w:cs="Times New Roman"/>
          <w:color w:val="000000" w:themeColor="text1"/>
        </w:rPr>
        <w:t xml:space="preserv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EC74BE">
        <w:rPr>
          <w:rFonts w:ascii="Times New Roman" w:hAnsi="Times New Roman" w:cs="Times New Roman"/>
          <w:color w:val="000000" w:themeColor="text1"/>
        </w:rPr>
        <w:t xml:space="preserve">, and </w:t>
      </w:r>
      <w:r w:rsidR="0059502B" w:rsidRPr="00932531">
        <w:rPr>
          <w:rFonts w:ascii="Times New Roman" w:hAnsi="Times New Roman" w:cs="Times New Roman"/>
          <w:color w:val="000000" w:themeColor="text1"/>
        </w:rPr>
        <w:t xml:space="preserve">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w:t>
      </w:r>
      <w:r w:rsidR="00EC74BE">
        <w:rPr>
          <w:rFonts w:ascii="Times New Roman" w:hAnsi="Times New Roman" w:cs="Times New Roman"/>
          <w:color w:val="000000" w:themeColor="text1"/>
        </w:rPr>
        <w:t xml:space="preserve">extended </w:t>
      </w:r>
      <w:r w:rsidR="0059502B" w:rsidRPr="00932531">
        <w:rPr>
          <w:rFonts w:ascii="Times New Roman" w:hAnsi="Times New Roman" w:cs="Times New Roman"/>
          <w:color w:val="000000" w:themeColor="text1"/>
        </w:rPr>
        <w:t xml:space="preserve">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06CF9B5E"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w:t>
      </w:r>
      <w:r w:rsidR="00741693">
        <w:rPr>
          <w:rFonts w:ascii="Times New Roman" w:hAnsi="Times New Roman" w:cs="Times New Roman"/>
        </w:rPr>
        <w:lastRenderedPageBreak/>
        <w:t xml:space="preserve">approach I </w:t>
      </w:r>
      <w:r w:rsidR="0010031F">
        <w:rPr>
          <w:rFonts w:ascii="Times New Roman" w:hAnsi="Times New Roman" w:cs="Times New Roman"/>
        </w:rPr>
        <w:t>employ</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799F3A1"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w:t>
      </w:r>
      <w:r w:rsidR="00497AE1">
        <w:rPr>
          <w:rFonts w:ascii="Times New Roman" w:hAnsi="Times New Roman" w:cs="Times New Roman"/>
          <w:b/>
          <w:color w:val="FF0000"/>
        </w:rPr>
        <w:t>1813</w:t>
      </w:r>
      <w:r w:rsidR="001431A1">
        <w:rPr>
          <w:rFonts w:ascii="Times New Roman" w:hAnsi="Times New Roman" w:cs="Times New Roman"/>
          <w:b/>
          <w:color w:val="FF0000"/>
        </w:rPr>
        <w:t>)</w:t>
      </w:r>
      <w:r w:rsidR="00511E34">
        <w:rPr>
          <w:rFonts w:ascii="Times New Roman" w:hAnsi="Times New Roman" w:cs="Times New Roman"/>
          <w:b/>
          <w:color w:val="FF0000"/>
        </w:rPr>
        <w:t xml:space="preserve"> words – target – cut ~</w:t>
      </w:r>
      <w:r w:rsidR="00497AE1">
        <w:rPr>
          <w:rFonts w:ascii="Times New Roman" w:hAnsi="Times New Roman" w:cs="Times New Roman"/>
          <w:b/>
          <w:color w:val="FF0000"/>
        </w:rPr>
        <w:t>200</w:t>
      </w:r>
      <w:r w:rsidR="00511E34">
        <w:rPr>
          <w:rFonts w:ascii="Times New Roman" w:hAnsi="Times New Roman" w:cs="Times New Roman"/>
          <w:b/>
          <w:color w:val="FF0000"/>
        </w:rPr>
        <w:t>)</w:t>
      </w:r>
    </w:p>
    <w:p w14:paraId="1440D830" w14:textId="19CB4389"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1C21B51A"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 xml:space="preserve">requesting record information from herbaria curators and collection managers and </w:t>
      </w:r>
      <w:r w:rsidR="00AA1692">
        <w:rPr>
          <w:rFonts w:ascii="Times New Roman" w:hAnsi="Times New Roman" w:cs="Times New Roman"/>
        </w:rPr>
        <w:t xml:space="preserve">by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the 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w:t>
      </w:r>
      <w:r w:rsidR="00AA1692">
        <w:rPr>
          <w:rFonts w:ascii="Times New Roman" w:hAnsi="Times New Roman" w:cs="Times New Roman"/>
        </w:rPr>
        <w:t>retained</w:t>
      </w:r>
      <w:r w:rsidR="00D73FBF">
        <w:rPr>
          <w:rFonts w:ascii="Times New Roman" w:hAnsi="Times New Roman" w:cs="Times New Roman"/>
        </w:rPr>
        <w:t xml:space="preserve"> all presence records with information on the year and location (county level or finer) of observation.</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742D350E"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5B1C01">
        <w:rPr>
          <w:rFonts w:ascii="Times New Roman" w:hAnsi="Times New Roman" w:cs="Times New Roman"/>
        </w:rPr>
        <w:t>A linear trend would imply a constant rate of increase through time, and these</w:t>
      </w:r>
      <w:r w:rsidR="008F1D1E">
        <w:rPr>
          <w:rFonts w:ascii="Times New Roman" w:hAnsi="Times New Roman" w:cs="Times New Roman"/>
        </w:rPr>
        <w:t xml:space="preserve"> comparison</w:t>
      </w:r>
      <w:r w:rsidR="005B1C01">
        <w:rPr>
          <w:rFonts w:ascii="Times New Roman" w:hAnsi="Times New Roman" w:cs="Times New Roman"/>
        </w:rPr>
        <w:t>s</w:t>
      </w:r>
      <w:r w:rsidR="008F1D1E">
        <w:rPr>
          <w:rFonts w:ascii="Times New Roman" w:hAnsi="Times New Roman" w:cs="Times New Roman"/>
        </w:rPr>
        <w:t xml:space="preserve"> allow for a test of deviations from </w:t>
      </w:r>
      <w:r w:rsidR="005B1C01">
        <w:rPr>
          <w:rFonts w:ascii="Times New Roman" w:hAnsi="Times New Roman" w:cs="Times New Roman"/>
        </w:rPr>
        <w:t>such a trend</w:t>
      </w:r>
      <w:r w:rsidR="008F1D1E">
        <w:rPr>
          <w:rFonts w:ascii="Times New Roman" w:hAnsi="Times New Roman" w:cs="Times New Roman"/>
        </w:rPr>
        <w:t xml:space="preserve">.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5D24C31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5B1C01">
        <w:rPr>
          <w:rFonts w:ascii="Times New Roman" w:hAnsi="Times New Roman" w:cs="Times New Roman"/>
        </w:rPr>
        <w:t>was</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w:t>
      </w:r>
      <w:r w:rsidR="00B467E9">
        <w:rPr>
          <w:rFonts w:ascii="Times New Roman" w:hAnsi="Times New Roman" w:cs="Times New Roman"/>
        </w:rPr>
        <w:t>number of grid cells</w:t>
      </w:r>
      <w:r w:rsidRPr="005E3186">
        <w:rPr>
          <w:rFonts w:ascii="Times New Roman" w:hAnsi="Times New Roman" w:cs="Times New Roman"/>
        </w:rPr>
        <w:t xml:space="preserve"> occupied per decade and the cumulative </w:t>
      </w:r>
      <w:r w:rsidR="00B467E9">
        <w:rPr>
          <w:rFonts w:ascii="Times New Roman" w:hAnsi="Times New Roman" w:cs="Times New Roman"/>
        </w:rPr>
        <w:t>number of grid cells</w:t>
      </w:r>
      <w:r w:rsidRPr="005E3186">
        <w:rPr>
          <w:rFonts w:ascii="Times New Roman" w:hAnsi="Times New Roman" w:cs="Times New Roman"/>
        </w:rPr>
        <w:t xml:space="preserve">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6215FB5F"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F26B35">
        <w:rPr>
          <w:rFonts w:ascii="Times New Roman" w:hAnsi="Times New Roman" w:cs="Times New Roman"/>
        </w:rPr>
        <w:t xml:space="preserve">Comparing </w:t>
      </w:r>
      <w:r w:rsidRPr="00DA150F">
        <w:rPr>
          <w:rFonts w:ascii="Times New Roman" w:hAnsi="Times New Roman" w:cs="Times New Roman"/>
        </w:rPr>
        <w:t>trend</w:t>
      </w:r>
      <w:r w:rsidR="00F26B35">
        <w:rPr>
          <w:rFonts w:ascii="Times New Roman" w:hAnsi="Times New Roman" w:cs="Times New Roman"/>
        </w:rPr>
        <w:t>s</w:t>
      </w:r>
      <w:r w:rsidRPr="00DA150F">
        <w:rPr>
          <w:rFonts w:ascii="Times New Roman" w:hAnsi="Times New Roman" w:cs="Times New Roman"/>
        </w:rPr>
        <w:t xml:space="preserve">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F26B35">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plants </w:t>
      </w:r>
      <w:r w:rsidR="00F26B35">
        <w:rPr>
          <w:rFonts w:ascii="Times New Roman" w:hAnsi="Times New Roman" w:cs="Times New Roman"/>
        </w:rPr>
        <w:t>have</w:t>
      </w:r>
      <w:r w:rsidR="00287032">
        <w:rPr>
          <w:rFonts w:ascii="Times New Roman" w:hAnsi="Times New Roman" w:cs="Times New Roman"/>
        </w:rPr>
        <w:t xml:space="preserve">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xml:space="preserve"> </w:t>
      </w:r>
      <w:r w:rsidR="00F26B35">
        <w:rPr>
          <w:rFonts w:ascii="Times New Roman" w:hAnsi="Times New Roman" w:cs="Times New Roman"/>
        </w:rPr>
        <w:t xml:space="preserve">and often </w:t>
      </w:r>
      <w:r w:rsidR="00BA3A3B">
        <w:rPr>
          <w:rFonts w:ascii="Times New Roman" w:hAnsi="Times New Roman" w:cs="Times New Roman"/>
        </w:rPr>
        <w:t>co-occur</w:t>
      </w:r>
      <w:r w:rsidR="00F26B35">
        <w:rPr>
          <w:rFonts w:ascii="Times New Roman" w:hAnsi="Times New Roman" w:cs="Times New Roman"/>
        </w:rPr>
        <w:t xml:space="preserve"> with it</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w:t>
      </w:r>
      <w:r w:rsidR="00F26B35">
        <w:rPr>
          <w:rFonts w:ascii="Times New Roman" w:hAnsi="Times New Roman" w:cs="Times New Roman"/>
        </w:rPr>
        <w:t>I</w:t>
      </w:r>
      <w:r w:rsidR="00DA150F" w:rsidRPr="00DA150F">
        <w:rPr>
          <w:rFonts w:ascii="Times New Roman" w:hAnsi="Times New Roman" w:cs="Times New Roman"/>
        </w:rPr>
        <w:t xml:space="preserve"> </w:t>
      </w:r>
      <w:r w:rsidRPr="00DA150F">
        <w:rPr>
          <w:rFonts w:ascii="Times New Roman" w:hAnsi="Times New Roman" w:cs="Times New Roman"/>
        </w:rPr>
        <w:t>collected records</w:t>
      </w:r>
      <w:r w:rsidR="00F26B35">
        <w:rPr>
          <w:rFonts w:ascii="Times New Roman" w:hAnsi="Times New Roman" w:cs="Times New Roman"/>
        </w:rPr>
        <w:t xml:space="preserve"> of these species</w:t>
      </w:r>
      <w:r w:rsidRPr="00DA150F">
        <w:rPr>
          <w:rFonts w:ascii="Times New Roman" w:hAnsi="Times New Roman" w:cs="Times New Roman"/>
        </w:rPr>
        <w:t xml:space="preserve">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00F26B35">
        <w:rPr>
          <w:rFonts w:ascii="Times New Roman" w:hAnsi="Times New Roman" w:cs="Times New Roman"/>
        </w:rPr>
        <w:t>, as well as searching GBIF</w:t>
      </w:r>
      <w:r w:rsidRPr="00DA150F">
        <w:rPr>
          <w:rFonts w:ascii="Times New Roman" w:hAnsi="Times New Roman" w:cs="Times New Roman"/>
        </w:rPr>
        <w:t xml:space="preserve">. </w:t>
      </w:r>
      <w:r w:rsidR="00F26B35">
        <w:rPr>
          <w:rFonts w:ascii="Times New Roman" w:hAnsi="Times New Roman" w:cs="Times New Roman"/>
        </w:rPr>
        <w:t>R</w:t>
      </w:r>
      <w:r w:rsidRPr="00DA150F">
        <w:rPr>
          <w:rFonts w:ascii="Times New Roman" w:hAnsi="Times New Roman" w:cs="Times New Roman"/>
        </w:rPr>
        <w:t>ecords were georeferenced to the county level</w:t>
      </w:r>
      <w:r w:rsidR="00F26B35">
        <w:rPr>
          <w:rFonts w:ascii="Times New Roman" w:hAnsi="Times New Roman" w:cs="Times New Roman"/>
        </w:rPr>
        <w:t xml:space="preserve"> as needed</w:t>
      </w:r>
      <w:r w:rsidRPr="00DA150F">
        <w:rPr>
          <w:rFonts w:ascii="Times New Roman" w:hAnsi="Times New Roman" w:cs="Times New Roman"/>
        </w:rPr>
        <w:t xml:space="preserve">.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 xml:space="preserve">records, I calculated the metrics for the number of records through time, the </w:t>
      </w:r>
      <w:r w:rsidR="00F26B35">
        <w:rPr>
          <w:rFonts w:ascii="Times New Roman" w:hAnsi="Times New Roman" w:cs="Times New Roman"/>
        </w:rPr>
        <w:t>number of grid cells occupied</w:t>
      </w:r>
      <w:r w:rsidRPr="00DA150F">
        <w:rPr>
          <w:rFonts w:ascii="Times New Roman" w:hAnsi="Times New Roman" w:cs="Times New Roman"/>
        </w:rPr>
        <w:t xml:space="preserve">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41BF37AB"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w:t>
      </w:r>
      <w:r w:rsidR="00F26B35">
        <w:rPr>
          <w:rFonts w:ascii="Times New Roman" w:hAnsi="Times New Roman" w:cs="Times New Roman"/>
        </w:rPr>
        <w:t>number of grid cells occupied</w:t>
      </w:r>
      <w:r w:rsidR="00F26B35" w:rsidRPr="00DA150F">
        <w:rPr>
          <w:rFonts w:ascii="Times New Roman" w:hAnsi="Times New Roman" w:cs="Times New Roman"/>
        </w:rPr>
        <w:t xml:space="preserve"> </w:t>
      </w:r>
      <w:r w:rsidRPr="00103FE8">
        <w:rPr>
          <w:rFonts w:ascii="Times New Roman" w:hAnsi="Times New Roman" w:cs="Times New Roman"/>
        </w:rPr>
        <w:t xml:space="preserve">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w:t>
      </w:r>
      <w:r w:rsidRPr="00103FE8">
        <w:rPr>
          <w:rFonts w:ascii="Times New Roman" w:hAnsi="Times New Roman" w:cs="Times New Roman"/>
        </w:rPr>
        <w:lastRenderedPageBreak/>
        <w:t xml:space="preserve">five native species, yielding a proportion of non-native to native occupied cells for each year of their study period. </w:t>
      </w:r>
      <w:r w:rsidR="006A55F6">
        <w:rPr>
          <w:rFonts w:ascii="Times New Roman" w:hAnsi="Times New Roman" w:cs="Times New Roman"/>
        </w:rPr>
        <w:t>Assuming</w:t>
      </w:r>
      <w:r w:rsidRPr="00103FE8">
        <w:rPr>
          <w:rFonts w:ascii="Times New Roman" w:hAnsi="Times New Roman" w:cs="Times New Roman"/>
        </w:rPr>
        <w:t xml:space="preserve">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and not the spread of these species </w:t>
      </w:r>
      <w:r w:rsidR="006E6CF9">
        <w:rPr>
          <w:rFonts w:ascii="Times New Roman" w:hAnsi="Times New Roman" w:cs="Times New Roman"/>
          <w:i/>
        </w:rPr>
        <w:t>per se</w:t>
      </w:r>
      <w:r w:rsidR="006A55F6">
        <w:rPr>
          <w:rFonts w:ascii="Times New Roman" w:hAnsi="Times New Roman" w:cs="Times New Roman"/>
        </w:rPr>
        <w:t>, a number of conclusions can be drawn</w:t>
      </w:r>
      <w:r w:rsidRPr="00103FE8">
        <w:rPr>
          <w:rFonts w:ascii="Times New Roman" w:hAnsi="Times New Roman" w:cs="Times New Roman"/>
        </w:rPr>
        <w:t xml:space="preserve">. </w:t>
      </w:r>
      <w:r w:rsidR="006A55F6">
        <w:rPr>
          <w:rFonts w:ascii="Times New Roman" w:hAnsi="Times New Roman" w:cs="Times New Roman"/>
        </w:rPr>
        <w:t>An i</w:t>
      </w:r>
      <w:r w:rsidRPr="00103FE8">
        <w:rPr>
          <w:rFonts w:ascii="Times New Roman" w:hAnsi="Times New Roman" w:cs="Times New Roman"/>
        </w:rPr>
        <w:t>ncreasing</w:t>
      </w:r>
      <w:r w:rsidR="006A55F6">
        <w:rPr>
          <w:rFonts w:ascii="Times New Roman" w:hAnsi="Times New Roman" w:cs="Times New Roman"/>
        </w:rPr>
        <w:t xml:space="preserve"> proportion</w:t>
      </w:r>
      <w:r w:rsidRPr="00103FE8">
        <w:rPr>
          <w:rFonts w:ascii="Times New Roman" w:hAnsi="Times New Roman" w:cs="Times New Roman"/>
        </w:rPr>
        <w:t xml:space="preserve"> through time</w:t>
      </w:r>
      <w:r w:rsidR="006A55F6">
        <w:rPr>
          <w:rFonts w:ascii="Times New Roman" w:hAnsi="Times New Roman" w:cs="Times New Roman"/>
        </w:rPr>
        <w:t xml:space="preserve">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6A55F6">
        <w:rPr>
          <w:rFonts w:ascii="Times New Roman" w:hAnsi="Times New Roman" w:cs="Times New Roman"/>
        </w:rPr>
        <w:t>A</w:t>
      </w:r>
      <w:r w:rsidR="00497AE1">
        <w:rPr>
          <w:rFonts w:ascii="Times New Roman" w:hAnsi="Times New Roman" w:cs="Times New Roman"/>
        </w:rPr>
        <w:t xml:space="preserve"> decreasing</w:t>
      </w:r>
      <w:r w:rsidR="006A55F6">
        <w:rPr>
          <w:rFonts w:ascii="Times New Roman" w:hAnsi="Times New Roman" w:cs="Times New Roman"/>
        </w:rPr>
        <w:t xml:space="preserve"> proportion </w:t>
      </w:r>
      <w:r w:rsidR="00497AE1">
        <w:rPr>
          <w:rFonts w:ascii="Times New Roman" w:hAnsi="Times New Roman" w:cs="Times New Roman"/>
        </w:rPr>
        <w:t>suggests a period of relatively slow spatial spread for the non-native species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36246F5A"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6A55F6">
        <w:rPr>
          <w:rFonts w:ascii="Times New Roman" w:hAnsi="Times New Roman" w:cs="Times New Roman"/>
        </w:rPr>
        <w:t>T</w:t>
      </w:r>
      <w:r w:rsidRPr="009A7C3C">
        <w:rPr>
          <w:rFonts w:ascii="Times New Roman" w:hAnsi="Times New Roman" w:cs="Times New Roman"/>
        </w:rPr>
        <w:t xml:space="preserve">hese locations were 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w:t>
      </w:r>
      <w:r w:rsidRPr="009A7C3C">
        <w:rPr>
          <w:rFonts w:ascii="Times New Roman" w:hAnsi="Times New Roman" w:cs="Times New Roman"/>
        </w:rPr>
        <w:lastRenderedPageBreak/>
        <w:t xml:space="preserve">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w:t>
      </w:r>
      <w:r w:rsidR="006A55F6">
        <w:rPr>
          <w:rFonts w:ascii="Times New Roman" w:hAnsi="Times New Roman" w:cs="Times New Roman"/>
        </w:rPr>
        <w:t>E</w:t>
      </w:r>
      <w:r w:rsidRPr="009A7C3C">
        <w:rPr>
          <w:rFonts w:ascii="Times New Roman" w:hAnsi="Times New Roman" w:cs="Times New Roman"/>
        </w:rPr>
        <w:t>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w:t>
      </w:r>
      <w:r w:rsidR="006A55F6">
        <w:rPr>
          <w:rFonts w:ascii="Times New Roman" w:hAnsi="Times New Roman" w:cs="Times New Roman"/>
        </w:rPr>
        <w:t xml:space="preserve">For subsequent analyses I only used </w:t>
      </w:r>
      <w:r w:rsidR="00697E96">
        <w:rPr>
          <w:rFonts w:ascii="Times New Roman" w:hAnsi="Times New Roman" w:cs="Times New Roman"/>
        </w:rPr>
        <w:t xml:space="preserve">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w:t>
      </w:r>
      <w:r w:rsidR="006A55F6">
        <w:rPr>
          <w:rFonts w:ascii="Times New Roman" w:hAnsi="Times New Roman" w:cs="Times New Roman"/>
        </w:rPr>
        <w:t xml:space="preserve"> also</w:t>
      </w:r>
      <w:r w:rsidRPr="009A7C3C">
        <w:rPr>
          <w:rFonts w:ascii="Times New Roman" w:hAnsi="Times New Roman" w:cs="Times New Roman"/>
        </w:rPr>
        <w:t xml:space="preserve">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069B65D8"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w:t>
      </w:r>
      <w:r w:rsidR="005A1D01">
        <w:rPr>
          <w:rFonts w:ascii="Times New Roman" w:hAnsi="Times New Roman" w:cs="Times New Roman"/>
        </w:rPr>
        <w:t xml:space="preserve">A similar </w:t>
      </w:r>
      <w:r w:rsidRPr="00E83125">
        <w:rPr>
          <w:rFonts w:ascii="Times New Roman" w:hAnsi="Times New Roman" w:cs="Times New Roman"/>
        </w:rPr>
        <w:t xml:space="preserve">correction method has been used in several studies to account for bias 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w:t>
      </w:r>
      <w:r w:rsidR="005A1D01">
        <w:rPr>
          <w:rFonts w:ascii="Times New Roman" w:hAnsi="Times New Roman" w:cs="Times New Roman"/>
        </w:rPr>
        <w:t>T</w:t>
      </w:r>
      <w:r w:rsidRPr="00E83125">
        <w:rPr>
          <w:rFonts w:ascii="Times New Roman" w:hAnsi="Times New Roman" w:cs="Times New Roman"/>
        </w:rPr>
        <w:t xml:space="preserve">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lastRenderedPageBreak/>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31B96D7D"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w:t>
      </w:r>
      <w:r w:rsidR="005A1D01">
        <w:rPr>
          <w:rFonts w:ascii="Times New Roman" w:hAnsi="Times New Roman" w:cs="Times New Roman"/>
          <w:iCs/>
        </w:rPr>
        <w:t xml:space="preserve">the correction methods described above are adequately accounting for the potential effects of </w:t>
      </w:r>
      <w:r w:rsidR="009C5C1D">
        <w:rPr>
          <w:rFonts w:ascii="Times New Roman" w:hAnsi="Times New Roman" w:cs="Times New Roman"/>
          <w:iCs/>
        </w:rPr>
        <w:t>increase</w:t>
      </w:r>
      <w:r w:rsidR="005A1D01">
        <w:rPr>
          <w:rFonts w:ascii="Times New Roman" w:hAnsi="Times New Roman" w:cs="Times New Roman"/>
          <w:iCs/>
        </w:rPr>
        <w:t>d</w:t>
      </w:r>
      <w:r w:rsidR="009C5C1D">
        <w:rPr>
          <w:rFonts w:ascii="Times New Roman" w:hAnsi="Times New Roman" w:cs="Times New Roman"/>
          <w:iCs/>
        </w:rPr>
        <w:t xml:space="preserv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w:t>
      </w:r>
      <w:r w:rsidR="001215FD">
        <w:rPr>
          <w:rFonts w:ascii="Times New Roman" w:hAnsi="Times New Roman" w:cs="Times New Roman"/>
          <w:iCs/>
        </w:rPr>
        <w:t xml:space="preserve">total </w:t>
      </w:r>
      <w:r w:rsidR="00781C69">
        <w:rPr>
          <w:rFonts w:ascii="Times New Roman" w:hAnsi="Times New Roman" w:cs="Times New Roman"/>
          <w:iCs/>
        </w:rPr>
        <w:t xml:space="preserve">number of occurrences associated with specific years and locations independently. After these permutations, the cumulative area of occupancy through time values and ratio of the cumulative area of occupancy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13B35D5B"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w:t>
      </w:r>
      <w:r w:rsidR="006E1A34">
        <w:rPr>
          <w:rFonts w:ascii="Times New Roman" w:hAnsi="Times New Roman" w:cs="Times New Roman"/>
          <w:color w:val="000000" w:themeColor="text1"/>
        </w:rPr>
        <w:t>809</w:t>
      </w:r>
      <w:r w:rsidRPr="000D147E">
        <w:rPr>
          <w:rFonts w:ascii="Times New Roman" w:hAnsi="Times New Roman" w:cs="Times New Roman"/>
          <w:color w:val="000000" w:themeColor="text1"/>
        </w:rPr>
        <w:t xml:space="preserve">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w:t>
      </w:r>
      <w:r w:rsidR="006E1A34">
        <w:rPr>
          <w:rFonts w:ascii="Times New Roman" w:hAnsi="Times New Roman" w:cs="Times New Roman"/>
          <w:color w:val="000000" w:themeColor="text1"/>
        </w:rPr>
        <w:t>6057</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883979">
        <w:rPr>
          <w:rFonts w:ascii="Times New Roman" w:hAnsi="Times New Roman" w:cs="Times New Roman"/>
          <w:color w:val="000000" w:themeColor="text1"/>
        </w:rPr>
        <w:t xml:space="preserve">proportion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090F00">
        <w:rPr>
          <w:rFonts w:ascii="Times New Roman" w:hAnsi="Times New Roman" w:cs="Times New Roman"/>
          <w:color w:val="000000" w:themeColor="text1"/>
        </w:rPr>
        <w:t xml:space="preserve">proportion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proportion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t>
      </w:r>
      <w:r w:rsidR="00915927">
        <w:rPr>
          <w:rFonts w:ascii="Times New Roman" w:hAnsi="Times New Roman" w:cs="Times New Roman"/>
          <w:color w:val="000000" w:themeColor="text1"/>
        </w:rPr>
        <w:t>which is consistent with</w:t>
      </w:r>
      <w:r w:rsidR="00A146F3">
        <w:rPr>
          <w:rFonts w:ascii="Times New Roman" w:hAnsi="Times New Roman" w:cs="Times New Roman"/>
          <w:color w:val="000000" w:themeColor="text1"/>
        </w:rPr>
        <w:t xml:space="preserve"> herbarium</w:t>
      </w:r>
      <w:r w:rsidR="00800D19">
        <w:rPr>
          <w:rFonts w:ascii="Times New Roman" w:hAnsi="Times New Roman" w:cs="Times New Roman"/>
          <w:color w:val="000000" w:themeColor="text1"/>
        </w:rPr>
        <w:t xml:space="preserve"> </w:t>
      </w:r>
      <w:r w:rsidR="00915927">
        <w:rPr>
          <w:rFonts w:ascii="Times New Roman" w:hAnsi="Times New Roman" w:cs="Times New Roman"/>
          <w:color w:val="000000" w:themeColor="text1"/>
        </w:rPr>
        <w:t>collection in general</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0A465C0E"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EA215C7"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w:t>
      </w:r>
      <w:r w:rsidR="007A6D29">
        <w:rPr>
          <w:rFonts w:ascii="Times New Roman" w:hAnsi="Times New Roman" w:cs="Times New Roman"/>
          <w:color w:val="000000" w:themeColor="text1"/>
        </w:rPr>
        <w:t>were</w:t>
      </w:r>
      <w:r w:rsidRPr="005028DF">
        <w:rPr>
          <w:rFonts w:ascii="Times New Roman" w:hAnsi="Times New Roman" w:cs="Times New Roman"/>
          <w:color w:val="000000" w:themeColor="text1"/>
        </w:rPr>
        <w:t xml:space="preserv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3B2A5A52"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w:t>
      </w:r>
      <w:r w:rsidRPr="008A5635">
        <w:rPr>
          <w:rFonts w:ascii="Times New Roman" w:hAnsi="Times New Roman" w:cs="Times New Roman"/>
          <w:color w:val="000000" w:themeColor="text1"/>
        </w:rPr>
        <w:lastRenderedPageBreak/>
        <w:t xml:space="preserve">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bookmarkStart w:id="2" w:name="OLE_LINK1"/>
      <w:bookmarkStart w:id="3" w:name="OLE_LINK2"/>
      <w:r w:rsidRPr="008A5635">
        <w:rPr>
          <w:rFonts w:ascii="Times New Roman" w:hAnsi="Times New Roman" w:cs="Times New Roman"/>
          <w:color w:val="000000" w:themeColor="text1"/>
        </w:rPr>
        <w:t xml:space="preserve">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w:t>
      </w:r>
      <w:bookmarkEnd w:id="2"/>
      <w:bookmarkEnd w:id="3"/>
      <w:r w:rsidRPr="008A5635">
        <w:rPr>
          <w:rFonts w:ascii="Times New Roman" w:hAnsi="Times New Roman" w:cs="Times New Roman"/>
          <w:color w:val="000000" w:themeColor="text1"/>
        </w:rPr>
        <w:t xml:space="preserve">,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456BE707" w14:textId="77777777" w:rsidR="00A37BA1" w:rsidRDefault="00A37BA1" w:rsidP="00A37BA1">
      <w:pPr>
        <w:spacing w:line="480" w:lineRule="auto"/>
        <w:ind w:firstLine="720"/>
        <w:rPr>
          <w:rFonts w:ascii="Times New Roman" w:hAnsi="Times New Roman" w:cs="Times New Roman"/>
          <w:color w:val="000000" w:themeColor="text1"/>
        </w:rPr>
      </w:pPr>
    </w:p>
    <w:p w14:paraId="5D20F975" w14:textId="7A359F3A" w:rsidR="0059502B" w:rsidRPr="00063E92" w:rsidRDefault="00A37BA1" w:rsidP="00A37BA1">
      <w:pPr>
        <w:spacing w:line="480" w:lineRule="auto"/>
        <w:ind w:firstLine="720"/>
        <w:rPr>
          <w:rFonts w:ascii="Times New Roman" w:hAnsi="Times New Roman" w:cs="Times New Roman"/>
          <w:color w:val="000000" w:themeColor="text1"/>
        </w:rPr>
      </w:pPr>
      <w:r w:rsidRPr="007A6D29">
        <w:rPr>
          <w:rFonts w:ascii="Times New Roman" w:hAnsi="Times New Roman" w:cs="Times New Roman"/>
          <w:color w:val="000000" w:themeColor="text1"/>
        </w:rPr>
        <w:t xml:space="preserve">Examining the patterns in the null model analysis of </w:t>
      </w:r>
      <w:r w:rsidR="00284DBD" w:rsidRPr="007A6D29">
        <w:rPr>
          <w:rFonts w:ascii="Times New Roman" w:hAnsi="Times New Roman" w:cs="Times New Roman"/>
          <w:color w:val="000000" w:themeColor="text1"/>
        </w:rPr>
        <w:t>c</w:t>
      </w:r>
      <w:r w:rsidRPr="007A6D29">
        <w:rPr>
          <w:rFonts w:ascii="Times New Roman" w:hAnsi="Times New Roman" w:cs="Times New Roman"/>
          <w:color w:val="000000" w:themeColor="text1"/>
        </w:rPr>
        <w:t xml:space="preserve">umulative </w:t>
      </w:r>
      <w:r w:rsidR="00284DBD" w:rsidRPr="007A6D29">
        <w:rPr>
          <w:rFonts w:ascii="Times New Roman" w:hAnsi="Times New Roman" w:cs="Times New Roman"/>
          <w:color w:val="000000" w:themeColor="text1"/>
        </w:rPr>
        <w:t>occupied grid cells through time</w:t>
      </w:r>
      <w:r w:rsidRPr="007A6D29">
        <w:rPr>
          <w:rFonts w:ascii="Times New Roman" w:hAnsi="Times New Roman" w:cs="Times New Roman"/>
          <w:color w:val="000000" w:themeColor="text1"/>
        </w:rPr>
        <w:t xml:space="preserve"> and</w:t>
      </w:r>
      <w:r w:rsidR="00284DBD" w:rsidRPr="007A6D29">
        <w:rPr>
          <w:rFonts w:ascii="Times New Roman" w:hAnsi="Times New Roman" w:cs="Times New Roman"/>
          <w:color w:val="000000" w:themeColor="text1"/>
        </w:rPr>
        <w:t xml:space="preserve"> the ratio of occupied grid cells through time</w:t>
      </w:r>
      <w:r w:rsidRPr="007A6D29">
        <w:rPr>
          <w:rFonts w:ascii="Times New Roman" w:hAnsi="Times New Roman" w:cs="Times New Roman"/>
          <w:color w:val="000000" w:themeColor="text1"/>
        </w:rPr>
        <w:t xml:space="preserve">, </w:t>
      </w:r>
      <w:r w:rsidR="00284DBD" w:rsidRPr="007A6D29">
        <w:rPr>
          <w:rFonts w:ascii="Times New Roman" w:hAnsi="Times New Roman" w:cs="Times New Roman"/>
          <w:color w:val="000000" w:themeColor="text1"/>
        </w:rPr>
        <w:t xml:space="preserve">an extended lag phase lasting from its introduction until approximately 1920 seems more apparent </w:t>
      </w:r>
      <w:r w:rsidRPr="007A6D29">
        <w:rPr>
          <w:rFonts w:ascii="Times New Roman" w:hAnsi="Times New Roman" w:cs="Times New Roman"/>
          <w:color w:val="000000" w:themeColor="text1"/>
        </w:rPr>
        <w:t xml:space="preserve">for </w:t>
      </w:r>
      <w:r w:rsidR="00284DBD" w:rsidRPr="007A6D29">
        <w:rPr>
          <w:rFonts w:ascii="Times New Roman" w:hAnsi="Times New Roman" w:cs="Times New Roman"/>
          <w:i/>
          <w:iCs/>
        </w:rPr>
        <w:t xml:space="preserve">F. </w:t>
      </w:r>
      <w:proofErr w:type="spellStart"/>
      <w:r w:rsidR="00284DBD" w:rsidRPr="007A6D29">
        <w:rPr>
          <w:rFonts w:ascii="Times New Roman" w:hAnsi="Times New Roman" w:cs="Times New Roman"/>
          <w:i/>
          <w:iCs/>
        </w:rPr>
        <w:t>alnus</w:t>
      </w:r>
      <w:proofErr w:type="spellEnd"/>
      <w:r w:rsidRPr="007A6D29">
        <w:rPr>
          <w:rFonts w:ascii="Times New Roman" w:hAnsi="Times New Roman" w:cs="Times New Roman"/>
          <w:color w:val="000000" w:themeColor="text1"/>
        </w:rPr>
        <w:t xml:space="preserve">. </w:t>
      </w:r>
      <w:r w:rsidR="00284DBD">
        <w:rPr>
          <w:rFonts w:ascii="Times New Roman" w:hAnsi="Times New Roman" w:cs="Times New Roman"/>
          <w:color w:val="000000" w:themeColor="text1"/>
        </w:rPr>
        <w:t>Comparing</w:t>
      </w:r>
      <w:r>
        <w:rPr>
          <w:rFonts w:ascii="Times New Roman" w:hAnsi="Times New Roman" w:cs="Times New Roman"/>
          <w:color w:val="000000" w:themeColor="text1"/>
        </w:rPr>
        <w:t xml:space="preserve"> the trends in the cumulative number of grid cells occupied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the associated species </w:t>
      </w:r>
      <w:r w:rsidR="00284DBD">
        <w:rPr>
          <w:rFonts w:ascii="Times New Roman" w:hAnsi="Times New Roman" w:cs="Times New Roman"/>
          <w:iCs/>
        </w:rPr>
        <w:t xml:space="preserve">under the null model with the trends observed in the </w:t>
      </w:r>
      <w:r w:rsidR="007A6D29">
        <w:rPr>
          <w:rFonts w:ascii="Times New Roman" w:hAnsi="Times New Roman" w:cs="Times New Roman"/>
          <w:iCs/>
        </w:rPr>
        <w:t>real</w:t>
      </w:r>
      <w:r w:rsidR="00284DBD">
        <w:rPr>
          <w:rFonts w:ascii="Times New Roman" w:hAnsi="Times New Roman" w:cs="Times New Roman"/>
          <w:iCs/>
        </w:rPr>
        <w:t xml:space="preserve"> data </w:t>
      </w:r>
      <w:r>
        <w:rPr>
          <w:rFonts w:ascii="Times New Roman" w:hAnsi="Times New Roman" w:cs="Times New Roman"/>
          <w:iCs/>
        </w:rPr>
        <w:t>shows two different patterns</w:t>
      </w:r>
      <w:r w:rsidR="00F325D9">
        <w:rPr>
          <w:rFonts w:ascii="Times New Roman" w:hAnsi="Times New Roman" w:cs="Times New Roman"/>
          <w:iCs/>
        </w:rPr>
        <w:t xml:space="preserve"> (Figure 6A)</w:t>
      </w:r>
      <w:r>
        <w:rPr>
          <w:rFonts w:ascii="Times New Roman" w:hAnsi="Times New Roman" w:cs="Times New Roman"/>
          <w:iCs/>
        </w:rPr>
        <w:t>.</w:t>
      </w:r>
      <w:r w:rsidR="00F325D9">
        <w:rPr>
          <w:rFonts w:ascii="Times New Roman" w:hAnsi="Times New Roman" w:cs="Times New Roman"/>
          <w:iCs/>
        </w:rPr>
        <w:t xml:space="preserve"> The associated species null model pattern matches the shape of the </w:t>
      </w:r>
      <w:r w:rsidR="007A6D29">
        <w:rPr>
          <w:rFonts w:ascii="Times New Roman" w:hAnsi="Times New Roman" w:cs="Times New Roman"/>
          <w:iCs/>
        </w:rPr>
        <w:t>real</w:t>
      </w:r>
      <w:r w:rsidR="00F325D9">
        <w:rPr>
          <w:rFonts w:ascii="Times New Roman" w:hAnsi="Times New Roman" w:cs="Times New Roman"/>
          <w:iCs/>
        </w:rPr>
        <w:t xml:space="preserve"> data, including showing an abrupt change in the rate of collections at approximately 1920.</w:t>
      </w:r>
      <w:r>
        <w:rPr>
          <w:rFonts w:ascii="Times New Roman" w:hAnsi="Times New Roman" w:cs="Times New Roman"/>
          <w:iCs/>
        </w:rPr>
        <w:t xml:space="preserve"> </w:t>
      </w:r>
      <w:r w:rsidR="00F325D9">
        <w:rPr>
          <w:rFonts w:ascii="Times New Roman" w:hAnsi="Times New Roman" w:cs="Times New Roman"/>
          <w:iCs/>
        </w:rPr>
        <w:t xml:space="preserve">The </w:t>
      </w:r>
      <w:r w:rsidR="00F325D9">
        <w:rPr>
          <w:rFonts w:ascii="Times New Roman" w:hAnsi="Times New Roman" w:cs="Times New Roman"/>
          <w:i/>
          <w:iCs/>
        </w:rPr>
        <w:t xml:space="preserve">F. </w:t>
      </w:r>
      <w:proofErr w:type="spellStart"/>
      <w:r w:rsidR="00F325D9">
        <w:rPr>
          <w:rFonts w:ascii="Times New Roman" w:hAnsi="Times New Roman" w:cs="Times New Roman"/>
          <w:i/>
          <w:iCs/>
        </w:rPr>
        <w:t>alnus</w:t>
      </w:r>
      <w:proofErr w:type="spellEnd"/>
      <w:r w:rsidR="00F325D9">
        <w:rPr>
          <w:rFonts w:ascii="Times New Roman" w:hAnsi="Times New Roman" w:cs="Times New Roman"/>
          <w:i/>
          <w:iCs/>
        </w:rPr>
        <w:t xml:space="preserve"> </w:t>
      </w:r>
      <w:r w:rsidR="00F325D9">
        <w:rPr>
          <w:rFonts w:ascii="Times New Roman" w:hAnsi="Times New Roman" w:cs="Times New Roman"/>
          <w:iCs/>
        </w:rPr>
        <w:t xml:space="preserve">null model pattern, on the other hand, differs from the pattern in the </w:t>
      </w:r>
      <w:r w:rsidR="007A6D29">
        <w:rPr>
          <w:rFonts w:ascii="Times New Roman" w:hAnsi="Times New Roman" w:cs="Times New Roman"/>
          <w:iCs/>
        </w:rPr>
        <w:t>real</w:t>
      </w:r>
      <w:r w:rsidR="00F325D9">
        <w:rPr>
          <w:rFonts w:ascii="Times New Roman" w:hAnsi="Times New Roman" w:cs="Times New Roman"/>
          <w:iCs/>
        </w:rPr>
        <w:t xml:space="preserve"> data. The null model pattern resembles that of the associated species, including a concave down pattern indicative of a slowing of the species spread, whereas the actual data show a concave up pattern, indicative of an acceleration of the species spread. </w:t>
      </w:r>
      <w:r w:rsidR="00F325D9" w:rsidRPr="008A5635">
        <w:rPr>
          <w:rFonts w:ascii="Times New Roman" w:hAnsi="Times New Roman" w:cs="Times New Roman"/>
          <w:color w:val="000000" w:themeColor="text1"/>
        </w:rPr>
        <w:t xml:space="preserve">The ratio of occupied </w:t>
      </w:r>
      <w:r w:rsidR="00F325D9">
        <w:rPr>
          <w:rFonts w:ascii="Times New Roman" w:hAnsi="Times New Roman" w:cs="Times New Roman"/>
          <w:color w:val="000000" w:themeColor="text1"/>
        </w:rPr>
        <w:t>grid cells</w:t>
      </w:r>
      <w:r w:rsidR="00F325D9" w:rsidRPr="008A5635">
        <w:rPr>
          <w:rFonts w:ascii="Times New Roman" w:hAnsi="Times New Roman" w:cs="Times New Roman"/>
          <w:color w:val="000000" w:themeColor="text1"/>
        </w:rPr>
        <w:t xml:space="preserve"> of </w:t>
      </w:r>
      <w:r w:rsidR="00F325D9" w:rsidRPr="008A5635">
        <w:rPr>
          <w:rFonts w:ascii="Times New Roman" w:hAnsi="Times New Roman" w:cs="Times New Roman"/>
          <w:i/>
          <w:color w:val="000000" w:themeColor="text1"/>
        </w:rPr>
        <w:t xml:space="preserve">F. </w:t>
      </w:r>
      <w:proofErr w:type="spellStart"/>
      <w:r w:rsidR="00F325D9" w:rsidRPr="008A5635">
        <w:rPr>
          <w:rFonts w:ascii="Times New Roman" w:hAnsi="Times New Roman" w:cs="Times New Roman"/>
          <w:i/>
          <w:color w:val="000000" w:themeColor="text1"/>
        </w:rPr>
        <w:t>alnus</w:t>
      </w:r>
      <w:proofErr w:type="spellEnd"/>
      <w:r w:rsidR="00F325D9" w:rsidRPr="008A5635">
        <w:rPr>
          <w:rFonts w:ascii="Times New Roman" w:hAnsi="Times New Roman" w:cs="Times New Roman"/>
          <w:color w:val="000000" w:themeColor="text1"/>
        </w:rPr>
        <w:t xml:space="preserve"> to those occupied by the associated species </w:t>
      </w:r>
      <w:r w:rsidR="00F325D9">
        <w:rPr>
          <w:rFonts w:ascii="Times New Roman" w:hAnsi="Times New Roman" w:cs="Times New Roman"/>
          <w:color w:val="000000" w:themeColor="text1"/>
        </w:rPr>
        <w:t xml:space="preserve">based on the null model results is similar to the actual ratio, in that there is a period of decline in </w:t>
      </w:r>
      <w:r w:rsidR="007A6D29">
        <w:rPr>
          <w:rFonts w:ascii="Times New Roman" w:hAnsi="Times New Roman" w:cs="Times New Roman"/>
          <w:color w:val="000000" w:themeColor="text1"/>
        </w:rPr>
        <w:t xml:space="preserve">the </w:t>
      </w:r>
      <w:r w:rsidR="00F325D9">
        <w:rPr>
          <w:rFonts w:ascii="Times New Roman" w:hAnsi="Times New Roman" w:cs="Times New Roman"/>
          <w:color w:val="000000" w:themeColor="text1"/>
        </w:rPr>
        <w:t xml:space="preserve">ratio early in its invasion history, followed </w:t>
      </w:r>
      <w:r w:rsidR="00F325D9">
        <w:rPr>
          <w:rFonts w:ascii="Times New Roman" w:hAnsi="Times New Roman" w:cs="Times New Roman"/>
          <w:color w:val="000000" w:themeColor="text1"/>
        </w:rPr>
        <w:lastRenderedPageBreak/>
        <w:t>by a transition to an increasing ratio (Figure 6B). However, this transition occurs far earlier in the invasion history in the null model analysis compared to the actual data.</w:t>
      </w:r>
      <w:r w:rsidR="005E6035">
        <w:rPr>
          <w:rFonts w:ascii="Times New Roman" w:hAnsi="Times New Roman" w:cs="Times New Roman"/>
          <w:color w:val="000000" w:themeColor="text1"/>
        </w:rPr>
        <w:t xml:space="preserve"> Furthermore, neither the decline in ratio prior to 1900 nor the increasing ratio after 1900 are as substantial as that observed in the real data.</w:t>
      </w:r>
      <w:r w:rsidR="00063E92">
        <w:rPr>
          <w:rFonts w:ascii="Times New Roman" w:hAnsi="Times New Roman" w:cs="Times New Roman"/>
          <w:color w:val="000000" w:themeColor="text1"/>
        </w:rPr>
        <w:t xml:space="preserve"> In fact, relative to the observed ratios, the null model ratios vary very little over the length of </w:t>
      </w:r>
      <w:r w:rsidR="00063E92">
        <w:rPr>
          <w:rFonts w:ascii="Times New Roman" w:hAnsi="Times New Roman" w:cs="Times New Roman"/>
          <w:i/>
          <w:iCs/>
        </w:rPr>
        <w:t xml:space="preserve">F. </w:t>
      </w:r>
      <w:proofErr w:type="spellStart"/>
      <w:r w:rsidR="00063E92">
        <w:rPr>
          <w:rFonts w:ascii="Times New Roman" w:hAnsi="Times New Roman" w:cs="Times New Roman"/>
          <w:i/>
          <w:iCs/>
        </w:rPr>
        <w:t>alnus</w:t>
      </w:r>
      <w:proofErr w:type="spellEnd"/>
      <w:r w:rsidR="00063E92">
        <w:rPr>
          <w:rFonts w:ascii="Times New Roman" w:hAnsi="Times New Roman" w:cs="Times New Roman"/>
          <w:i/>
          <w:iCs/>
        </w:rPr>
        <w:t xml:space="preserve"> </w:t>
      </w:r>
      <w:r w:rsidR="00063E92">
        <w:rPr>
          <w:rFonts w:ascii="Times New Roman" w:hAnsi="Times New Roman" w:cs="Times New Roman"/>
          <w:iCs/>
        </w:rPr>
        <w:t xml:space="preserve">invasion history. </w:t>
      </w: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bookmarkStart w:id="4" w:name="_GoBack"/>
      <w:bookmarkEnd w:id="4"/>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224F8E88"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3010FA">
        <w:rPr>
          <w:rFonts w:ascii="Times New Roman" w:hAnsi="Times New Roman" w:cs="Times New Roman"/>
          <w:color w:val="000000" w:themeColor="text1"/>
        </w:rPr>
        <w:t>This might not be the case in my study region given</w:t>
      </w:r>
      <w:r w:rsidRPr="0057656D">
        <w:rPr>
          <w:rFonts w:ascii="Times New Roman" w:hAnsi="Times New Roman" w:cs="Times New Roman"/>
          <w:color w:val="000000" w:themeColor="text1"/>
        </w:rPr>
        <w:t xml:space="preserve"> th</w:t>
      </w:r>
      <w:r w:rsidR="003010FA">
        <w:rPr>
          <w:rFonts w:ascii="Times New Roman" w:hAnsi="Times New Roman" w:cs="Times New Roman"/>
          <w:color w:val="000000" w:themeColor="text1"/>
        </w:rPr>
        <w:t>at</w:t>
      </w:r>
      <w:r w:rsidRPr="0057656D">
        <w:rPr>
          <w:rFonts w:ascii="Times New Roman" w:hAnsi="Times New Roman" w:cs="Times New Roman"/>
          <w:color w:val="000000" w:themeColor="text1"/>
        </w:rPr>
        <w:t xml:space="preserve"> ecological conditions in northeast North America have not been stable over the last 130 years. </w:t>
      </w:r>
      <w:r w:rsidR="003010FA">
        <w:rPr>
          <w:rFonts w:ascii="Times New Roman" w:hAnsi="Times New Roman" w:cs="Times New Roman"/>
          <w:color w:val="000000" w:themeColor="text1"/>
        </w:rPr>
        <w:t xml:space="preserve">Land use changes have caused </w:t>
      </w:r>
      <w:r w:rsidRPr="0057656D">
        <w:rPr>
          <w:rFonts w:ascii="Times New Roman" w:hAnsi="Times New Roman" w:cs="Times New Roman"/>
          <w:color w:val="000000" w:themeColor="text1"/>
        </w:rPr>
        <w:t xml:space="preserve">changes </w:t>
      </w:r>
      <w:r w:rsidR="003010FA">
        <w:rPr>
          <w:rFonts w:ascii="Times New Roman" w:hAnsi="Times New Roman" w:cs="Times New Roman"/>
          <w:color w:val="000000" w:themeColor="text1"/>
        </w:rPr>
        <w:t>in</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60AF76F9" w:rsidR="0059502B" w:rsidRPr="0057656D" w:rsidRDefault="00DB55D1" w:rsidP="002877A5">
      <w:pPr>
        <w:spacing w:line="480" w:lineRule="auto"/>
        <w:ind w:firstLine="720"/>
        <w:rPr>
          <w:rFonts w:ascii="Times New Roman" w:hAnsi="Times New Roman" w:cs="Times New Roman"/>
          <w:iCs/>
          <w:color w:val="000000" w:themeColor="text1"/>
        </w:rPr>
      </w:pPr>
      <w:r>
        <w:rPr>
          <w:rFonts w:ascii="Times New Roman" w:hAnsi="Times New Roman" w:cs="Times New Roman"/>
          <w:color w:val="000000" w:themeColor="text1"/>
        </w:rPr>
        <w:t xml:space="preserve">Assuming </w:t>
      </w:r>
      <w:r w:rsidR="00A14954" w:rsidRPr="0057656D">
        <w:rPr>
          <w:rFonts w:ascii="Times New Roman" w:hAnsi="Times New Roman" w:cs="Times New Roman"/>
          <w:color w:val="000000" w:themeColor="text1"/>
        </w:rPr>
        <w:t xml:space="preserve">the </w:t>
      </w:r>
      <w:r w:rsidR="0059502B" w:rsidRPr="0057656D">
        <w:rPr>
          <w:rFonts w:ascii="Times New Roman" w:hAnsi="Times New Roman" w:cs="Times New Roman"/>
          <w:color w:val="000000" w:themeColor="text1"/>
        </w:rPr>
        <w:t xml:space="preserve">associated species </w:t>
      </w:r>
      <w:r>
        <w:rPr>
          <w:rFonts w:ascii="Times New Roman" w:hAnsi="Times New Roman" w:cs="Times New Roman"/>
          <w:color w:val="000000" w:themeColor="text1"/>
        </w:rPr>
        <w:t>are in ecological equilibrium</w:t>
      </w:r>
      <w:r w:rsidR="0059502B" w:rsidRPr="0057656D">
        <w:rPr>
          <w:rFonts w:ascii="Times New Roman" w:hAnsi="Times New Roman" w:cs="Times New Roman"/>
          <w:color w:val="000000" w:themeColor="text1"/>
        </w:rPr>
        <w:t xml:space="preserve">, the rate of the cumulative number of records, grid cells, or counties occupied </w:t>
      </w:r>
      <w:r w:rsidR="00A14954"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00A14954"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00A14954"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w:t>
      </w:r>
      <w:r w:rsidR="003010FA">
        <w:rPr>
          <w:rFonts w:ascii="Times New Roman" w:hAnsi="Times New Roman" w:cs="Times New Roman"/>
          <w:iCs/>
          <w:color w:val="000000" w:themeColor="text1"/>
        </w:rPr>
        <w:t xml:space="preserve"> likely do to its</w:t>
      </w:r>
      <w:r>
        <w:rPr>
          <w:rFonts w:ascii="Times New Roman" w:hAnsi="Times New Roman" w:cs="Times New Roman"/>
          <w:iCs/>
          <w:color w:val="000000" w:themeColor="text1"/>
        </w:rPr>
        <w:t xml:space="preserve"> rapid growth</w:t>
      </w:r>
      <w:r w:rsidR="0059502B" w:rsidRPr="0057656D">
        <w:rPr>
          <w:rFonts w:ascii="Times New Roman" w:hAnsi="Times New Roman" w:cs="Times New Roman"/>
          <w:iCs/>
          <w:color w:val="000000" w:themeColor="text1"/>
        </w:rPr>
        <w:t xml:space="preserve">.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 xml:space="preserve">Thus, </w:t>
      </w:r>
      <w:r w:rsidR="003010FA">
        <w:rPr>
          <w:rFonts w:ascii="Times New Roman" w:hAnsi="Times New Roman" w:cs="Times New Roman"/>
          <w:iCs/>
          <w:color w:val="000000" w:themeColor="text1"/>
        </w:rPr>
        <w:t xml:space="preserve">a period of </w:t>
      </w:r>
      <w:r w:rsidR="0059502B" w:rsidRPr="0057656D">
        <w:rPr>
          <w:rFonts w:ascii="Times New Roman" w:hAnsi="Times New Roman" w:cs="Times New Roman"/>
          <w:iCs/>
          <w:color w:val="000000" w:themeColor="text1"/>
        </w:rPr>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w:t>
      </w:r>
      <w:r>
        <w:rPr>
          <w:rFonts w:ascii="Times New Roman" w:hAnsi="Times New Roman" w:cs="Times New Roman"/>
          <w:iCs/>
          <w:color w:val="000000" w:themeColor="text1"/>
        </w:rPr>
        <w:t>indicat</w:t>
      </w:r>
      <w:r w:rsidR="003010FA">
        <w:rPr>
          <w:rFonts w:ascii="Times New Roman" w:hAnsi="Times New Roman" w:cs="Times New Roman"/>
          <w:iCs/>
          <w:color w:val="000000" w:themeColor="text1"/>
        </w:rPr>
        <w:t>e</w:t>
      </w:r>
      <w:r w:rsidR="0059502B" w:rsidRPr="0057656D">
        <w:rPr>
          <w:rFonts w:ascii="Times New Roman" w:hAnsi="Times New Roman" w:cs="Times New Roman"/>
          <w:iCs/>
          <w:color w:val="000000" w:themeColor="text1"/>
        </w:rPr>
        <w:t xml:space="preserve"> lag</w:t>
      </w:r>
      <w:r>
        <w:rPr>
          <w:rFonts w:ascii="Times New Roman" w:hAnsi="Times New Roman" w:cs="Times New Roman"/>
          <w:iCs/>
          <w:color w:val="000000" w:themeColor="text1"/>
        </w:rPr>
        <w:t xml:space="preserve"> phases</w:t>
      </w:r>
      <w:r w:rsidR="0059502B" w:rsidRPr="0057656D">
        <w:rPr>
          <w:rFonts w:ascii="Times New Roman" w:hAnsi="Times New Roman" w:cs="Times New Roman"/>
          <w:iCs/>
          <w:color w:val="000000" w:themeColor="text1"/>
        </w:rPr>
        <w:t xml:space="preserve">.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167AECED"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3010FA">
        <w:rPr>
          <w:rFonts w:ascii="Times New Roman" w:hAnsi="Times New Roman" w:cs="Times New Roman"/>
          <w:iCs/>
          <w:color w:val="000000" w:themeColor="text1"/>
        </w:rPr>
        <w:t>and</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w:t>
      </w:r>
      <w:r w:rsidR="0059502B" w:rsidRPr="00326217">
        <w:rPr>
          <w:rFonts w:ascii="Times New Roman" w:hAnsi="Times New Roman" w:cs="Times New Roman"/>
          <w:iCs/>
          <w:color w:val="000000" w:themeColor="text1"/>
        </w:rPr>
        <w:lastRenderedPageBreak/>
        <w:t xml:space="preserve">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36AAFD78"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w:t>
      </w:r>
      <w:r w:rsidR="0059502B" w:rsidRPr="006579D3">
        <w:rPr>
          <w:rFonts w:ascii="Times New Roman" w:hAnsi="Times New Roman" w:cs="Times New Roman"/>
          <w:color w:val="000000" w:themeColor="text1"/>
        </w:rPr>
        <w:lastRenderedPageBreak/>
        <w:t xml:space="preserve">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high sampling effort, coinciding with </w:t>
      </w:r>
      <w:r w:rsidR="003010FA">
        <w:rPr>
          <w:rFonts w:ascii="Times New Roman" w:hAnsi="Times New Roman" w:cs="Times New Roman"/>
          <w:color w:val="000000" w:themeColor="text1"/>
        </w:rPr>
        <w:t xml:space="preserve">the </w:t>
      </w:r>
      <w:r w:rsidR="0059502B" w:rsidRPr="006579D3">
        <w:rPr>
          <w:rFonts w:ascii="Times New Roman" w:hAnsi="Times New Roman" w:cs="Times New Roman"/>
          <w:color w:val="000000" w:themeColor="text1"/>
        </w:rPr>
        <w:t>beginning of an intense effort to collect specimens for herbaria</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8CAAEE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72A5803A"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lastRenderedPageBreak/>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2C5EACD4"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59502B" w:rsidRPr="0034120F">
        <w:rPr>
          <w:rFonts w:ascii="Times New Roman" w:hAnsi="Times New Roman" w:cs="Times New Roman"/>
          <w:color w:val="000000" w:themeColor="text1"/>
        </w:rPr>
        <w:lastRenderedPageBreak/>
        <w:t xml:space="preserve">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47191D54"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w:t>
      </w:r>
      <w:r w:rsidRPr="00D51344">
        <w:rPr>
          <w:rFonts w:ascii="Times New Roman" w:hAnsi="Times New Roman" w:cs="Times New Roman"/>
          <w:color w:val="000000" w:themeColor="text1"/>
        </w:rPr>
        <w:lastRenderedPageBreak/>
        <w:t xml:space="preserve">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4384B6"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2683C964"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w:t>
      </w:r>
      <w:r w:rsidR="003010FA">
        <w:rPr>
          <w:rFonts w:ascii="Times New Roman" w:hAnsi="Times New Roman" w:cs="Times New Roman"/>
          <w:iCs/>
        </w:rPr>
        <w:t>d</w:t>
      </w:r>
      <w:r w:rsidR="00600F97">
        <w:rPr>
          <w:rFonts w:ascii="Times New Roman" w:hAnsi="Times New Roman" w:cs="Times New Roman"/>
          <w:iCs/>
        </w:rPr>
        <w:t xml:space="preserve">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r w:rsidR="003010FA">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7E536294" w14:textId="78D811DF" w:rsidR="003010FA" w:rsidRPr="00741A92" w:rsidRDefault="0059502B" w:rsidP="003010FA">
      <w:pPr>
        <w:spacing w:line="480" w:lineRule="auto"/>
        <w:ind w:firstLine="720"/>
        <w:rPr>
          <w:rFonts w:ascii="Times New Roman" w:hAnsi="Times New Roman" w:cs="Times New Roman"/>
          <w:color w:val="000000" w:themeColor="text1"/>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sidR="003010FA">
        <w:rPr>
          <w:rFonts w:ascii="Times New Roman" w:hAnsi="Times New Roman" w:cs="Times New Roman"/>
        </w:rPr>
        <w:t>As a</w:t>
      </w:r>
      <w:r w:rsidR="003010FA">
        <w:rPr>
          <w:rFonts w:ascii="Times New Roman" w:hAnsi="Times New Roman" w:cs="Times New Roman"/>
          <w:iCs/>
        </w:rPr>
        <w:t>ccess to herbaria records and other historical biodiversity increases, techniques to combine information from desperate sources, such as those I presented here, will help scientists use these data to investigate important standing questions regarding species range expansions.</w:t>
      </w:r>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5" w:name="OLE_LINK5"/>
      <w:bookmarkStart w:id="6"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5"/>
      <w:bookmarkEnd w:id="6"/>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12155EAA" w14:textId="77777777" w:rsidTr="00DB39DB">
        <w:trPr>
          <w:trHeight w:val="63"/>
        </w:trPr>
        <w:tc>
          <w:tcPr>
            <w:tcW w:w="4345" w:type="dxa"/>
            <w:noWrap/>
          </w:tcPr>
          <w:p w14:paraId="1F724F1F" w14:textId="262B569E"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Cleveland Museum of Natural History</w:t>
            </w:r>
          </w:p>
        </w:tc>
        <w:tc>
          <w:tcPr>
            <w:tcW w:w="1440" w:type="dxa"/>
            <w:noWrap/>
          </w:tcPr>
          <w:p w14:paraId="7F52297B" w14:textId="5F5F9264"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CLM</w:t>
            </w:r>
          </w:p>
        </w:tc>
        <w:tc>
          <w:tcPr>
            <w:tcW w:w="990" w:type="dxa"/>
            <w:noWrap/>
          </w:tcPr>
          <w:p w14:paraId="0E0E4FFE" w14:textId="7565BC2D"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69</w:t>
            </w:r>
          </w:p>
        </w:tc>
        <w:tc>
          <w:tcPr>
            <w:tcW w:w="2790" w:type="dxa"/>
          </w:tcPr>
          <w:p w14:paraId="561F83EF" w14:textId="09863AEC"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3CD10941" w14:textId="77777777" w:rsidTr="00DB39DB">
        <w:trPr>
          <w:trHeight w:val="63"/>
        </w:trPr>
        <w:tc>
          <w:tcPr>
            <w:tcW w:w="4345" w:type="dxa"/>
            <w:noWrap/>
            <w:hideMark/>
          </w:tcPr>
          <w:p w14:paraId="18806E1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2D006668" w14:textId="77777777" w:rsidTr="00DB39DB">
        <w:trPr>
          <w:trHeight w:val="63"/>
        </w:trPr>
        <w:tc>
          <w:tcPr>
            <w:tcW w:w="4345" w:type="dxa"/>
            <w:noWrap/>
            <w:hideMark/>
          </w:tcPr>
          <w:p w14:paraId="3A5CCC3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576CC922" w14:textId="77777777" w:rsidTr="00DB39DB">
        <w:trPr>
          <w:trHeight w:val="63"/>
        </w:trPr>
        <w:tc>
          <w:tcPr>
            <w:tcW w:w="4345" w:type="dxa"/>
            <w:noWrap/>
            <w:hideMark/>
          </w:tcPr>
          <w:p w14:paraId="0365659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915927" w:rsidRPr="00400B60" w14:paraId="6F22F19C" w14:textId="77777777" w:rsidTr="00DB39DB">
        <w:trPr>
          <w:trHeight w:val="143"/>
        </w:trPr>
        <w:tc>
          <w:tcPr>
            <w:tcW w:w="4345" w:type="dxa"/>
            <w:noWrap/>
            <w:hideMark/>
          </w:tcPr>
          <w:p w14:paraId="036D001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286B7C61" w14:textId="77777777" w:rsidTr="00DB39DB">
        <w:trPr>
          <w:trHeight w:val="107"/>
        </w:trPr>
        <w:tc>
          <w:tcPr>
            <w:tcW w:w="4345" w:type="dxa"/>
            <w:noWrap/>
            <w:hideMark/>
          </w:tcPr>
          <w:p w14:paraId="2A9BE33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915927" w:rsidRPr="00400B60" w14:paraId="468FF557" w14:textId="77777777" w:rsidTr="00DB39DB">
        <w:trPr>
          <w:trHeight w:val="71"/>
        </w:trPr>
        <w:tc>
          <w:tcPr>
            <w:tcW w:w="4345" w:type="dxa"/>
            <w:noWrap/>
            <w:hideMark/>
          </w:tcPr>
          <w:p w14:paraId="3E8F680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42425CD4" w14:textId="77777777" w:rsidTr="00DB39DB">
        <w:trPr>
          <w:trHeight w:val="116"/>
        </w:trPr>
        <w:tc>
          <w:tcPr>
            <w:tcW w:w="4345" w:type="dxa"/>
            <w:noWrap/>
            <w:hideMark/>
          </w:tcPr>
          <w:p w14:paraId="1BC3E95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803BE25" w14:textId="77777777" w:rsidTr="00DB39DB">
        <w:trPr>
          <w:trHeight w:val="63"/>
        </w:trPr>
        <w:tc>
          <w:tcPr>
            <w:tcW w:w="4345" w:type="dxa"/>
            <w:noWrap/>
            <w:hideMark/>
          </w:tcPr>
          <w:p w14:paraId="06F007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64662F35" w14:textId="77777777" w:rsidTr="00DB39DB">
        <w:trPr>
          <w:trHeight w:val="63"/>
        </w:trPr>
        <w:tc>
          <w:tcPr>
            <w:tcW w:w="4345" w:type="dxa"/>
            <w:noWrap/>
          </w:tcPr>
          <w:p w14:paraId="42A28D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FD2E3D4" w14:textId="77777777" w:rsidTr="00DB39DB">
        <w:trPr>
          <w:trHeight w:val="63"/>
        </w:trPr>
        <w:tc>
          <w:tcPr>
            <w:tcW w:w="4345" w:type="dxa"/>
            <w:noWrap/>
            <w:hideMark/>
          </w:tcPr>
          <w:p w14:paraId="3F2DF3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Missouri Botanical Garden</w:t>
            </w:r>
          </w:p>
        </w:tc>
        <w:tc>
          <w:tcPr>
            <w:tcW w:w="1440" w:type="dxa"/>
            <w:noWrap/>
            <w:hideMark/>
          </w:tcPr>
          <w:p w14:paraId="60E42B6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63EE067" w14:textId="77777777" w:rsidTr="00DB39DB">
        <w:trPr>
          <w:trHeight w:val="63"/>
        </w:trPr>
        <w:tc>
          <w:tcPr>
            <w:tcW w:w="4345" w:type="dxa"/>
            <w:noWrap/>
            <w:hideMark/>
          </w:tcPr>
          <w:p w14:paraId="787AF0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547AA1E" w14:textId="77777777" w:rsidTr="00DB39DB">
        <w:trPr>
          <w:trHeight w:val="63"/>
        </w:trPr>
        <w:tc>
          <w:tcPr>
            <w:tcW w:w="4345" w:type="dxa"/>
            <w:noWrap/>
            <w:hideMark/>
          </w:tcPr>
          <w:p w14:paraId="2533AA6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80E2530" w14:textId="77777777" w:rsidTr="00DB39DB">
        <w:trPr>
          <w:trHeight w:val="98"/>
        </w:trPr>
        <w:tc>
          <w:tcPr>
            <w:tcW w:w="4345" w:type="dxa"/>
            <w:noWrap/>
            <w:hideMark/>
          </w:tcPr>
          <w:p w14:paraId="49560AB4"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7CF83308" w14:textId="77777777" w:rsidTr="00DB39DB">
        <w:trPr>
          <w:trHeight w:val="63"/>
        </w:trPr>
        <w:tc>
          <w:tcPr>
            <w:tcW w:w="4345" w:type="dxa"/>
            <w:noWrap/>
            <w:hideMark/>
          </w:tcPr>
          <w:p w14:paraId="21B553B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7CA05E59" w14:textId="77777777" w:rsidTr="00DB39DB">
        <w:trPr>
          <w:trHeight w:val="63"/>
        </w:trPr>
        <w:tc>
          <w:tcPr>
            <w:tcW w:w="4345" w:type="dxa"/>
            <w:noWrap/>
            <w:hideMark/>
          </w:tcPr>
          <w:p w14:paraId="58CAC2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7F31B36E" w14:textId="77777777" w:rsidTr="00DB39DB">
        <w:trPr>
          <w:trHeight w:val="63"/>
        </w:trPr>
        <w:tc>
          <w:tcPr>
            <w:tcW w:w="4345" w:type="dxa"/>
            <w:noWrap/>
            <w:hideMark/>
          </w:tcPr>
          <w:p w14:paraId="2F50738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0B1CEB75" w14:textId="77777777" w:rsidTr="00DB39DB">
        <w:trPr>
          <w:trHeight w:val="63"/>
        </w:trPr>
        <w:tc>
          <w:tcPr>
            <w:tcW w:w="4345" w:type="dxa"/>
            <w:noWrap/>
            <w:hideMark/>
          </w:tcPr>
          <w:p w14:paraId="30BD830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D7B9D08" w14:textId="77777777" w:rsidTr="00DB39DB">
        <w:trPr>
          <w:trHeight w:val="80"/>
        </w:trPr>
        <w:tc>
          <w:tcPr>
            <w:tcW w:w="4345" w:type="dxa"/>
            <w:noWrap/>
          </w:tcPr>
          <w:p w14:paraId="6F818C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E2A7EE6" w14:textId="77777777" w:rsidTr="00DB39DB">
        <w:trPr>
          <w:trHeight w:val="80"/>
        </w:trPr>
        <w:tc>
          <w:tcPr>
            <w:tcW w:w="4345" w:type="dxa"/>
            <w:noWrap/>
            <w:hideMark/>
          </w:tcPr>
          <w:p w14:paraId="7A440F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E87BC67" w14:textId="77777777" w:rsidTr="00DB39DB">
        <w:trPr>
          <w:trHeight w:val="63"/>
        </w:trPr>
        <w:tc>
          <w:tcPr>
            <w:tcW w:w="4345" w:type="dxa"/>
            <w:noWrap/>
            <w:hideMark/>
          </w:tcPr>
          <w:p w14:paraId="5F52F9C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2140CFD" w14:textId="77777777" w:rsidTr="00DB39DB">
        <w:trPr>
          <w:trHeight w:val="63"/>
        </w:trPr>
        <w:tc>
          <w:tcPr>
            <w:tcW w:w="4345" w:type="dxa"/>
            <w:noWrap/>
            <w:hideMark/>
          </w:tcPr>
          <w:p w14:paraId="78538D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FFE1833" w14:textId="77777777" w:rsidTr="00DB39DB">
        <w:trPr>
          <w:trHeight w:val="63"/>
        </w:trPr>
        <w:tc>
          <w:tcPr>
            <w:tcW w:w="4345" w:type="dxa"/>
            <w:noWrap/>
            <w:hideMark/>
          </w:tcPr>
          <w:p w14:paraId="76430D3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FC38EC" w14:textId="77777777" w:rsidTr="00DB39DB">
        <w:trPr>
          <w:trHeight w:val="63"/>
        </w:trPr>
        <w:tc>
          <w:tcPr>
            <w:tcW w:w="4345" w:type="dxa"/>
            <w:noWrap/>
            <w:hideMark/>
          </w:tcPr>
          <w:p w14:paraId="21F31C1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E4095C" w14:textId="77777777" w:rsidTr="00DB39DB">
        <w:trPr>
          <w:trHeight w:val="152"/>
        </w:trPr>
        <w:tc>
          <w:tcPr>
            <w:tcW w:w="4345" w:type="dxa"/>
            <w:noWrap/>
            <w:hideMark/>
          </w:tcPr>
          <w:p w14:paraId="752095DD"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333AB8A3"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110A2FAC" w14:textId="77777777" w:rsidTr="00DB39DB">
        <w:trPr>
          <w:trHeight w:val="107"/>
        </w:trPr>
        <w:tc>
          <w:tcPr>
            <w:tcW w:w="4345" w:type="dxa"/>
            <w:noWrap/>
            <w:hideMark/>
          </w:tcPr>
          <w:p w14:paraId="5547E98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DDC1978" w14:textId="77777777" w:rsidTr="00DB39DB">
        <w:trPr>
          <w:trHeight w:val="63"/>
        </w:trPr>
        <w:tc>
          <w:tcPr>
            <w:tcW w:w="4345" w:type="dxa"/>
            <w:noWrap/>
            <w:hideMark/>
          </w:tcPr>
          <w:p w14:paraId="4ED3A0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3448EEB2" w14:textId="77777777" w:rsidTr="00DB39DB">
        <w:trPr>
          <w:trHeight w:val="63"/>
        </w:trPr>
        <w:tc>
          <w:tcPr>
            <w:tcW w:w="4345" w:type="dxa"/>
            <w:noWrap/>
            <w:hideMark/>
          </w:tcPr>
          <w:p w14:paraId="7FCA10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915927" w:rsidRPr="00400B60" w:rsidRDefault="00915927" w:rsidP="00915927">
            <w:pPr>
              <w:spacing w:line="480" w:lineRule="auto"/>
              <w:rPr>
                <w:rFonts w:ascii="Times New Roman" w:hAnsi="Times New Roman" w:cs="Times New Roman"/>
                <w:sz w:val="22"/>
                <w:szCs w:val="22"/>
              </w:rPr>
            </w:pPr>
          </w:p>
        </w:tc>
        <w:tc>
          <w:tcPr>
            <w:tcW w:w="990" w:type="dxa"/>
            <w:noWrap/>
            <w:hideMark/>
          </w:tcPr>
          <w:p w14:paraId="36BC076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w:t>
      </w:r>
      <w:r w:rsidR="002F1410" w:rsidRPr="000F20B7">
        <w:rPr>
          <w:rFonts w:ascii="Times New Roman" w:hAnsi="Times New Roman" w:cs="Times New Roman"/>
          <w:b w:val="0"/>
          <w:color w:val="auto"/>
          <w:sz w:val="24"/>
          <w:szCs w:val="24"/>
        </w:rPr>
        <w:lastRenderedPageBreak/>
        <w:t>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63E92"/>
    <w:rsid w:val="00070B59"/>
    <w:rsid w:val="00073134"/>
    <w:rsid w:val="000746E2"/>
    <w:rsid w:val="00077EFF"/>
    <w:rsid w:val="000805F2"/>
    <w:rsid w:val="00090F00"/>
    <w:rsid w:val="00091870"/>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031F"/>
    <w:rsid w:val="00103FE8"/>
    <w:rsid w:val="00110689"/>
    <w:rsid w:val="00112849"/>
    <w:rsid w:val="0012027B"/>
    <w:rsid w:val="001215FD"/>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65964"/>
    <w:rsid w:val="002713F1"/>
    <w:rsid w:val="00277A95"/>
    <w:rsid w:val="00284DBD"/>
    <w:rsid w:val="00286BDA"/>
    <w:rsid w:val="00287032"/>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05E15"/>
    <w:rsid w:val="00312367"/>
    <w:rsid w:val="00315200"/>
    <w:rsid w:val="003169A8"/>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7069"/>
    <w:rsid w:val="00450486"/>
    <w:rsid w:val="00462DB8"/>
    <w:rsid w:val="0046359F"/>
    <w:rsid w:val="004704B3"/>
    <w:rsid w:val="004741FC"/>
    <w:rsid w:val="004764A4"/>
    <w:rsid w:val="00480BBE"/>
    <w:rsid w:val="00481E43"/>
    <w:rsid w:val="004946CA"/>
    <w:rsid w:val="00497AE1"/>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1D01"/>
    <w:rsid w:val="005A51BE"/>
    <w:rsid w:val="005B0ADC"/>
    <w:rsid w:val="005B1C01"/>
    <w:rsid w:val="005B2F78"/>
    <w:rsid w:val="005B761C"/>
    <w:rsid w:val="005D12DB"/>
    <w:rsid w:val="005D3436"/>
    <w:rsid w:val="005D63BD"/>
    <w:rsid w:val="005E2BA7"/>
    <w:rsid w:val="005E3186"/>
    <w:rsid w:val="005E3BD2"/>
    <w:rsid w:val="005E6035"/>
    <w:rsid w:val="005F0DE1"/>
    <w:rsid w:val="005F18DB"/>
    <w:rsid w:val="005F7E37"/>
    <w:rsid w:val="00600F97"/>
    <w:rsid w:val="0060180E"/>
    <w:rsid w:val="006036D6"/>
    <w:rsid w:val="00606FD1"/>
    <w:rsid w:val="006224A2"/>
    <w:rsid w:val="00626EF2"/>
    <w:rsid w:val="0063088A"/>
    <w:rsid w:val="00632217"/>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55F6"/>
    <w:rsid w:val="006A6A8A"/>
    <w:rsid w:val="006C7FE2"/>
    <w:rsid w:val="006D07CA"/>
    <w:rsid w:val="006D2BAD"/>
    <w:rsid w:val="006D61E0"/>
    <w:rsid w:val="006D6F76"/>
    <w:rsid w:val="006E1A34"/>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81C69"/>
    <w:rsid w:val="00797AAA"/>
    <w:rsid w:val="007A6C8E"/>
    <w:rsid w:val="007A6D29"/>
    <w:rsid w:val="007B2873"/>
    <w:rsid w:val="007B4904"/>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3979"/>
    <w:rsid w:val="008842BB"/>
    <w:rsid w:val="00887657"/>
    <w:rsid w:val="008925AB"/>
    <w:rsid w:val="0089576A"/>
    <w:rsid w:val="008A5635"/>
    <w:rsid w:val="008A588D"/>
    <w:rsid w:val="008B542F"/>
    <w:rsid w:val="008D3E6F"/>
    <w:rsid w:val="008E1947"/>
    <w:rsid w:val="008F02BB"/>
    <w:rsid w:val="008F1D1E"/>
    <w:rsid w:val="008F2714"/>
    <w:rsid w:val="009039E1"/>
    <w:rsid w:val="0091245A"/>
    <w:rsid w:val="00915927"/>
    <w:rsid w:val="00932531"/>
    <w:rsid w:val="009446BE"/>
    <w:rsid w:val="00944E4C"/>
    <w:rsid w:val="009653FC"/>
    <w:rsid w:val="00974224"/>
    <w:rsid w:val="00987B94"/>
    <w:rsid w:val="009917F1"/>
    <w:rsid w:val="00992304"/>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322B6"/>
    <w:rsid w:val="00A330FF"/>
    <w:rsid w:val="00A37BA1"/>
    <w:rsid w:val="00A37E41"/>
    <w:rsid w:val="00A46CD0"/>
    <w:rsid w:val="00A53C1F"/>
    <w:rsid w:val="00A60B83"/>
    <w:rsid w:val="00A8550D"/>
    <w:rsid w:val="00A94B5B"/>
    <w:rsid w:val="00AA1692"/>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467E9"/>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348DE"/>
    <w:rsid w:val="00C34CA4"/>
    <w:rsid w:val="00C35343"/>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E9C"/>
    <w:rsid w:val="00DA150F"/>
    <w:rsid w:val="00DA5B88"/>
    <w:rsid w:val="00DB15FE"/>
    <w:rsid w:val="00DB39DB"/>
    <w:rsid w:val="00DB55D1"/>
    <w:rsid w:val="00DB5D93"/>
    <w:rsid w:val="00DC3B5A"/>
    <w:rsid w:val="00DD3C34"/>
    <w:rsid w:val="00DD4F8A"/>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5D55"/>
    <w:rsid w:val="00E83125"/>
    <w:rsid w:val="00E84FD5"/>
    <w:rsid w:val="00E85BF6"/>
    <w:rsid w:val="00E921F4"/>
    <w:rsid w:val="00E97222"/>
    <w:rsid w:val="00EA4B96"/>
    <w:rsid w:val="00EA659F"/>
    <w:rsid w:val="00EB098D"/>
    <w:rsid w:val="00EB4771"/>
    <w:rsid w:val="00EB739D"/>
    <w:rsid w:val="00EC2E8F"/>
    <w:rsid w:val="00EC74BE"/>
    <w:rsid w:val="00EE69D3"/>
    <w:rsid w:val="00EF72E9"/>
    <w:rsid w:val="00F0171C"/>
    <w:rsid w:val="00F02F80"/>
    <w:rsid w:val="00F20452"/>
    <w:rsid w:val="00F26A6B"/>
    <w:rsid w:val="00F26B35"/>
    <w:rsid w:val="00F3141A"/>
    <w:rsid w:val="00F325D9"/>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F9FD19-0434-1A42-AFD1-B8C92D12B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38</Pages>
  <Words>8361</Words>
  <Characters>47659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287</cp:revision>
  <cp:lastPrinted>2015-06-05T01:03:00Z</cp:lastPrinted>
  <dcterms:created xsi:type="dcterms:W3CDTF">2014-03-10T17:18:00Z</dcterms:created>
  <dcterms:modified xsi:type="dcterms:W3CDTF">2019-04-23T16:34:00Z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