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56" w:rsidRPr="00D10156" w:rsidRDefault="00EB5217" w:rsidP="00D10156">
      <w:pPr>
        <w:spacing w:after="0" w:line="840" w:lineRule="atLeast"/>
        <w:rPr>
          <w:rFonts w:ascii="Georgia" w:eastAsia="Times New Roman" w:hAnsi="Georgia" w:cs="Helvetica"/>
          <w:i/>
          <w:iCs/>
          <w:color w:val="333333"/>
          <w:sz w:val="60"/>
          <w:szCs w:val="60"/>
        </w:rPr>
      </w:pPr>
      <w:r>
        <w:rPr>
          <w:rFonts w:ascii="Georgia" w:eastAsia="Times New Roman" w:hAnsi="Georgia" w:cs="Helvetica"/>
          <w:i/>
          <w:iCs/>
          <w:color w:val="333333"/>
          <w:sz w:val="60"/>
          <w:szCs w:val="60"/>
        </w:rPr>
        <w:t>UPS Technology Facts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2"/>
        <w:gridCol w:w="3838"/>
      </w:tblGrid>
      <w:tr w:rsidR="00B75BA8" w:rsidRPr="00B75BA8" w:rsidTr="00B75BA8">
        <w:tc>
          <w:tcPr>
            <w:tcW w:w="29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1710" w:rsidRDefault="00D11710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</w:p>
          <w:p w:rsidR="00D11710" w:rsidRDefault="00D11710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</w:p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Chief Information Officer</w:t>
            </w:r>
          </w:p>
        </w:tc>
        <w:tc>
          <w:tcPr>
            <w:tcW w:w="20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1710" w:rsidRDefault="00D11710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</w:p>
          <w:p w:rsidR="00D11710" w:rsidRDefault="00D11710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</w:p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Dave Barnes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Number of technology employees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4,707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Data Centers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Mahwah, NJ / Atlanta, GA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Mainframes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7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Mainframe Capacity (Millions of instructions per second - MIPS)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108,053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Petabytes of storage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21.5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Laptops and Workstations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218,877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Servers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22,948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% of Data Center Servers Virtualized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56%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DIADs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127,557 in daily use</w:t>
            </w:r>
          </w:p>
        </w:tc>
      </w:tr>
      <w:tr w:rsidR="00B75BA8" w:rsidRPr="00B75BA8" w:rsidTr="00B75BA8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1710" w:rsidRDefault="00D11710" w:rsidP="00B75BA8">
            <w:pPr>
              <w:spacing w:after="0" w:line="240" w:lineRule="auto"/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</w:pPr>
          </w:p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UPS Global Telecommunications Network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Network sites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3,219</w:t>
            </w:r>
          </w:p>
        </w:tc>
      </w:tr>
      <w:tr w:rsidR="00B75BA8" w:rsidRPr="00B75BA8" w:rsidTr="00B75BA8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1710" w:rsidRDefault="00D11710" w:rsidP="00B75BA8">
            <w:pPr>
              <w:spacing w:after="0" w:line="240" w:lineRule="auto"/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</w:pPr>
          </w:p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www.ups.com Average Daily Usage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Page Views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36.2  million</w:t>
            </w:r>
          </w:p>
        </w:tc>
      </w:tr>
      <w:tr w:rsidR="00B75BA8" w:rsidRPr="00B75BA8" w:rsidTr="00B75BA8">
        <w:trPr>
          <w:trHeight w:val="3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2015 Peak Day Page Views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51.6 million</w:t>
            </w:r>
          </w:p>
        </w:tc>
      </w:tr>
      <w:tr w:rsidR="00B75BA8" w:rsidRPr="00B75BA8" w:rsidTr="00B75BA8">
        <w:trPr>
          <w:trHeight w:val="33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11710" w:rsidRDefault="00D11710" w:rsidP="00B75BA8">
            <w:pPr>
              <w:spacing w:after="0" w:line="240" w:lineRule="auto"/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</w:pPr>
          </w:p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Online Tracking Average Daily Usage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Tracking requests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69.4 million per business day</w:t>
            </w:r>
          </w:p>
        </w:tc>
      </w:tr>
      <w:tr w:rsidR="00B75BA8" w:rsidRPr="00B75BA8" w:rsidTr="00B75BA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2015 Peak Day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  <w:t>142.3 million</w:t>
            </w:r>
          </w:p>
        </w:tc>
      </w:tr>
      <w:tr w:rsidR="00B75BA8" w:rsidRPr="00B75BA8" w:rsidTr="00B75BA8"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1710" w:rsidRDefault="00D11710" w:rsidP="00B75BA8">
            <w:pPr>
              <w:spacing w:after="0" w:line="240" w:lineRule="auto"/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</w:pPr>
          </w:p>
          <w:p w:rsidR="00B75BA8" w:rsidRPr="00B75BA8" w:rsidRDefault="00B75BA8" w:rsidP="00B75BA8">
            <w:pPr>
              <w:spacing w:after="0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b/>
                <w:bCs/>
                <w:color w:val="333333"/>
                <w:sz w:val="21"/>
                <w:szCs w:val="21"/>
              </w:rPr>
              <w:t>Technology Awards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>Digital Edge 25 for UPS My Choice® and Access Point™ network integration, 2016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>CIO Magazine: CIO 100, #1 for Near Real-Time Service Performance Reporting (NRT), 2015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>InformationWeek Elite 100: #1 Overall Most Innovative Users of Business Technology, 2015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Computerworld: Premier 100 IT Leaders – Ken </w:t>
            </w:r>
            <w:proofErr w:type="spellStart"/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>Finnerty</w:t>
            </w:r>
            <w:proofErr w:type="spellEnd"/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 (2015), Nick </w:t>
            </w:r>
            <w:proofErr w:type="spellStart"/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>Costides</w:t>
            </w:r>
            <w:proofErr w:type="spellEnd"/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 (2014), Juan Perez (2013)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>InformationWeek Elite 100: #22 Overall Most Innovative Users of Business Technology, 2014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CIO Magazine: CIO 100, Business Intelligence for ORION, 2014 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>Supply &amp; Demand Chain Executive 100 Award for ORION, 2014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>Postal Technology International Awards for ORION (last mile delivery), 2014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CITE Awards – Auto Arrive and Depart (AAD), 2013 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Association of Telecommunication Professionals (ATP), 2013 – Nick </w:t>
            </w:r>
            <w:proofErr w:type="spellStart"/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>Costides</w:t>
            </w:r>
            <w:proofErr w:type="spellEnd"/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 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Mobile Enterprise Magazine's 2013 Mobilizer Award 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InformationWeek 500: Most Innovative Users of Business Technology, 2013 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Technology Association of Georgia Excalibur Awards Finalist, 2013 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E3 Award, 2013 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InformationWeek 500: #8 Overall Most Innovative, 2012 </w:t>
            </w:r>
          </w:p>
          <w:p w:rsidR="00B75BA8" w:rsidRPr="00B75BA8" w:rsidRDefault="00B75BA8" w:rsidP="00B75B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16px" w:eastAsia="Times New Roman" w:hAnsi="16px" w:cs="Times New Roman"/>
                <w:color w:val="333333"/>
                <w:sz w:val="21"/>
                <w:szCs w:val="21"/>
              </w:rPr>
            </w:pPr>
            <w:r w:rsidRPr="00B75BA8">
              <w:rPr>
                <w:rFonts w:ascii="16px" w:eastAsia="Times New Roman" w:hAnsi="16px" w:cs="Times New Roman"/>
                <w:i/>
                <w:iCs/>
                <w:color w:val="333333"/>
                <w:sz w:val="21"/>
                <w:szCs w:val="21"/>
              </w:rPr>
              <w:t xml:space="preserve">InformationWeek 500: Business Innovation award for UPS My Choice, 2012 </w:t>
            </w:r>
          </w:p>
        </w:tc>
        <w:bookmarkStart w:id="0" w:name="_GoBack"/>
        <w:bookmarkEnd w:id="0"/>
      </w:tr>
    </w:tbl>
    <w:p w:rsidR="00D10156" w:rsidRDefault="00D10156"/>
    <w:sectPr w:rsidR="00D1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16p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41A9C"/>
    <w:multiLevelType w:val="multilevel"/>
    <w:tmpl w:val="FA0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17CEB"/>
    <w:multiLevelType w:val="multilevel"/>
    <w:tmpl w:val="1F5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56"/>
    <w:rsid w:val="009F0031"/>
    <w:rsid w:val="00B75BA8"/>
    <w:rsid w:val="00D10156"/>
    <w:rsid w:val="00D11710"/>
    <w:rsid w:val="00EB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BDA5C-ABEE-441C-BA4C-A10FBA13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5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6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85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8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0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8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56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0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32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6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13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91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36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2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73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26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01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2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25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54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8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64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2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2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5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5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11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98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69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79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9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14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97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2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58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04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O'Donnell Ilene (HKN1YJR)</dc:creator>
  <cp:keywords/>
  <dc:description/>
  <cp:lastModifiedBy>O'Donnell Ilene (HKN1YJR)</cp:lastModifiedBy>
  <cp:revision>3</cp:revision>
  <dcterms:created xsi:type="dcterms:W3CDTF">2016-03-09T21:16:00Z</dcterms:created>
  <dcterms:modified xsi:type="dcterms:W3CDTF">2016-03-09T21:17:00Z</dcterms:modified>
</cp:coreProperties>
</file>