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10,000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0</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 the starting Player, who holds the Host Card. The role passes clockwise each Rest Phase (there is no Host in Spring). The Host runs the between-turn business the rest of the table doesn't: collecting and distributing Trade Income, resolving Bandit Mechanics, and breaking ties (Council vote, bandit targeting, and anything not otherwise resolved).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0, Rising 1, Established 2, Sovereign 3</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0</w:t>
      </w:r>
      <w:r>
        <w:rPr>
          <w:rFonts w:ascii="EB Garamond" w:hAnsi="EB Garamond"/>
          <w:b w:val="0"/>
          <w:i w:val="0"/>
        </w:rPr>
        <w:t xml:space="preserve">, and you can't support it yourself — so it can only pass if </w:t>
      </w:r>
      <w:r>
        <w:rPr>
          <w:rFonts w:ascii="EB Garamond" w:hAnsi="EB Garamond"/>
          <w:b/>
          <w:i w:val="0"/>
        </w:rPr>
        <w:t>another player chooses to support you</w:t>
      </w:r>
      <w:r>
        <w:rPr>
          <w:rFonts w:ascii="EB Garamond" w:hAnsi="EB Garamond"/>
          <w:b w:val="0"/>
          <w:i w:val="0"/>
        </w:rPr>
        <w:t>. Influence is the currency of those favors. Unless players back each other, envoys fail;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Skirmish (end adjacent to a non-allied Army not in a settlement → Battle, Seize the Initiative +1I Skirmish 1), Lay Siege (end adjacent to an at-war settlement → Siege), or Muster (within range 3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Skirmished/Sieged/Mustered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Skirmished gains +1I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(Wooden Walls, Stone Walls, Citadel, Garrison, Standing Army)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Repair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32"/>
        <w:gridCol w:w="1144"/>
        <w:gridCol w:w="2386"/>
        <w:gridCol w:w="2386"/>
        <w:gridCol w:w="2518"/>
      </w:tblGrid>
      <w:tr>
        <w:trPr>
          <w:tblHeader/>
        </w:trPr>
        <w:tc>
          <w:tcPr>
            <w:tcW w:w="2032"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4"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386"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86"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18"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32" w:type="dxa"/>
          </w:tcPr>
          <w:p>
            <w:pPr>
              <w:spacing w:before="0" w:after="0"/>
              <w:rPr>
                <w:rFonts w:ascii="EB Garamond" w:hAnsi="EB Garamond"/>
                <w:sz w:val="17"/>
              </w:rPr>
            </w:pPr>
            <w:r>
              <w:rPr>
                <w:rFonts w:ascii="EB Garamond" w:hAnsi="EB Garamond" w:cs="EB Garamond"/>
                <w:sz w:val="17"/>
                <w:szCs w:val="17"/>
              </w:rPr>
              <w:t xml:space="preserve">Industry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86"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18"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32" w:type="dxa"/>
          </w:tcPr>
          <w:p>
            <w:pPr>
              <w:spacing w:before="0" w:after="0"/>
              <w:rPr>
                <w:rFonts w:ascii="EB Garamond" w:hAnsi="EB Garamond"/>
                <w:sz w:val="17"/>
              </w:rPr>
            </w:pPr>
            <w:r>
              <w:rPr>
                <w:rFonts w:ascii="EB Garamond" w:hAnsi="EB Garamond" w:cs="EB Garamond"/>
                <w:sz w:val="17"/>
                <w:szCs w:val="17"/>
              </w:rPr>
              <w:t xml:space="preserve">Prowess</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Indominable: Once per turn, if you have not sent an Envoy, you may perform a Prowess action; send 1 fewer Envoy this turn (min 0). May use Declare War action.</w:t>
            </w:r>
          </w:p>
        </w:tc>
        <w:tc>
          <w:tcPr>
            <w:tcW w:w="2386" w:type="dxa"/>
          </w:tcPr>
          <w:p>
            <w:pPr>
              <w:spacing w:before="0" w:after="0"/>
              <w:rPr>
                <w:rFonts w:ascii="EB Garamond" w:hAnsi="EB Garamond"/>
                <w:sz w:val="17"/>
              </w:rPr>
            </w:pPr>
            <w:r>
              <w:rPr>
                <w:rFonts w:ascii="EB Garamond" w:hAnsi="EB Garamond" w:cs="EB Garamond"/>
                <w:sz w:val="17"/>
                <w:szCs w:val="17"/>
              </w:rPr>
              <w:t xml:space="preserve">Edict of War: All armies gain Parry. Gain Immune State of Alarm (No longer gain Doubt while at War).</w:t>
            </w:r>
          </w:p>
        </w:tc>
        <w:tc>
          <w:tcPr>
            <w:tcW w:w="2518" w:type="dxa"/>
          </w:tcPr>
          <w:p>
            <w:pPr>
              <w:spacing w:before="0" w:after="0"/>
              <w:rPr>
                <w:rFonts w:ascii="EB Garamond" w:hAnsi="EB Garamond"/>
                <w:sz w:val="17"/>
              </w:rPr>
            </w:pPr>
            <w:r>
              <w:rPr>
                <w:rFonts w:ascii="EB Garamond" w:hAnsi="EB Garamond" w:cs="EB Garamond"/>
                <w:sz w:val="17"/>
                <w:szCs w:val="17"/>
              </w:rPr>
              <w:t xml:space="preserve">High Quartermaster: Upkeep -2000. No longer lose Influence while at War. May change equipment on your armies during any upkeep phase where that army is within Province.</w:t>
            </w:r>
          </w:p>
        </w:tc>
      </w:tr>
      <w:tr>
        <w:tc>
          <w:tcPr>
            <w:tcW w:w="2032" w:type="dxa"/>
          </w:tcPr>
          <w:p>
            <w:pPr>
              <w:spacing w:before="0" w:after="0"/>
              <w:rPr>
                <w:rFonts w:ascii="EB Garamond" w:hAnsi="EB Garamond"/>
                <w:sz w:val="17"/>
              </w:rPr>
            </w:pPr>
            <w:r>
              <w:rPr>
                <w:rFonts w:ascii="EB Garamond" w:hAnsi="EB Garamond" w:cs="EB Garamond"/>
                <w:sz w:val="17"/>
                <w:szCs w:val="17"/>
              </w:rPr>
              <w:t xml:space="preserve">Cunning</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Clandestine Councilor: Once per turn, when another player's Envoy is Sent, target a player - that player Abstains.</w:t>
            </w:r>
          </w:p>
        </w:tc>
        <w:tc>
          <w:tcPr>
            <w:tcW w:w="2386"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w:t>
            </w:r>
          </w:p>
        </w:tc>
        <w:tc>
          <w:tcPr>
            <w:tcW w:w="2518"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w:t>
            </w:r>
          </w:p>
        </w:tc>
      </w:tr>
      <w:tr>
        <w:tc>
          <w:tcPr>
            <w:tcW w:w="2032" w:type="dxa"/>
          </w:tcPr>
          <w:p>
            <w:pPr>
              <w:spacing w:before="0" w:after="0"/>
              <w:rPr>
                <w:rFonts w:ascii="EB Garamond" w:hAnsi="EB Garamond"/>
                <w:sz w:val="17"/>
              </w:rPr>
            </w:pPr>
            <w:r>
              <w:rPr>
                <w:rFonts w:ascii="EB Garamond" w:hAnsi="EB Garamond" w:cs="EB Garamond"/>
                <w:sz w:val="17"/>
                <w:szCs w:val="17"/>
              </w:rPr>
              <w:t xml:space="preserve">Piety</w:t>
            </w:r>
          </w:p>
        </w:tc>
        <w:tc>
          <w:tcPr>
            <w:tcW w:w="1144" w:type="dxa"/>
          </w:tcPr>
          <w:p>
            <w:pPr>
              <w:spacing w:before="0" w:after="0"/>
              <w:rPr>
                <w:rFonts w:ascii="EB Garamond" w:hAnsi="EB Garamond"/>
                <w:sz w:val="17"/>
              </w:rPr>
            </w:pPr>
            <w:r>
              <w:rPr>
                <w:rFonts w:ascii="EB Garamond" w:hAnsi="EB Garamond" w:cs="EB Garamond"/>
                <w:sz w:val="17"/>
                <w:szCs w:val="17"/>
              </w:rPr>
              <w:t xml:space="preserve">—</w:t>
            </w:r>
          </w:p>
        </w:tc>
        <w:tc>
          <w:tcPr>
            <w:tcW w:w="2386" w:type="dxa"/>
          </w:tcPr>
          <w:p>
            <w:pPr>
              <w:spacing w:before="0" w:after="0"/>
              <w:rPr>
                <w:rFonts w:ascii="EB Garamond" w:hAnsi="EB Garamond"/>
                <w:sz w:val="17"/>
              </w:rPr>
            </w:pPr>
            <w:r>
              <w:rPr>
                <w:rFonts w:ascii="EB Garamond" w:hAnsi="EB Garamond" w:cs="EB Garamond"/>
                <w:sz w:val="17"/>
                <w:szCs w:val="17"/>
              </w:rPr>
              <w:t xml:space="preserve">Divine Mandate: Faith +2.</w:t>
            </w:r>
          </w:p>
        </w:tc>
        <w:tc>
          <w:tcPr>
            <w:tcW w:w="2386" w:type="dxa"/>
          </w:tcPr>
          <w:p>
            <w:pPr>
              <w:spacing w:before="0" w:after="0"/>
              <w:rPr>
                <w:rFonts w:ascii="EB Garamond" w:hAnsi="EB Garamond"/>
                <w:sz w:val="17"/>
              </w:rPr>
            </w:pPr>
            <w:r>
              <w:rPr>
                <w:rFonts w:ascii="EB Garamond" w:hAnsi="EB Garamond" w:cs="EB Garamond"/>
                <w:sz w:val="17"/>
                <w:szCs w:val="17"/>
              </w:rPr>
              <w:t xml:space="preserve">Prophet of Retribution: All other players gain Doubt +2 while your Public Order is positive.</w:t>
            </w:r>
          </w:p>
        </w:tc>
        <w:tc>
          <w:tcPr>
            <w:tcW w:w="2518"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32"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4"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386" w:type="dxa"/>
          </w:tcPr>
          <w:p>
            <w:pPr>
              <w:spacing w:before="0" w:after="0"/>
              <w:rPr>
                <w:rFonts w:ascii="EB Garamond" w:hAnsi="EB Garamond"/>
                <w:sz w:val="17"/>
              </w:rPr>
            </w:pPr>
            <w:r>
              <w:rPr>
                <w:rFonts w:ascii="EB Garamond" w:hAnsi="EB Garamond" w:cs="EB Garamond"/>
                <w:sz w:val="17"/>
                <w:szCs w:val="17"/>
              </w:rPr>
              <w:t xml:space="preserve">3</w:t>
            </w:r>
          </w:p>
        </w:tc>
        <w:tc>
          <w:tcPr>
            <w:tcW w:w="2518" w:type="dxa"/>
          </w:tcPr>
          <w:p>
            <w:pPr>
              <w:spacing w:before="0" w:after="0"/>
              <w:rPr>
                <w:rFonts w:ascii="EB Garamond" w:hAnsi="EB Garamond"/>
                <w:sz w:val="17"/>
              </w:rPr>
            </w:pPr>
            <w:r>
              <w:rPr>
                <w:rFonts w:ascii="EB Garamond" w:hAnsi="EB Garamond" w:cs="EB Garamond"/>
                <w:sz w:val="17"/>
                <w:szCs w:val="17"/>
              </w:rPr>
              <w:t xml:space="preserve">4</w:t>
            </w:r>
          </w:p>
        </w:tc>
      </w:tr>
      <w:tr>
        <w:tc>
          <w:tcPr>
            <w:tcW w:w="2032"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4" w:type="dxa"/>
          </w:tcPr>
          <w:p>
            <w:pPr>
              <w:spacing w:before="0" w:after="0"/>
              <w:rPr>
                <w:rFonts w:ascii="EB Garamond" w:hAnsi="EB Garamond"/>
                <w:sz w:val="17"/>
              </w:rPr>
            </w:pPr>
            <w:r>
              <w:rPr>
                <w:rFonts w:ascii="EB Garamond" w:hAnsi="EB Garamond" w:cs="EB Garamond"/>
                <w:sz w:val="17"/>
                <w:szCs w:val="17"/>
              </w:rPr>
              <w:t xml:space="preserve">0</w:t>
            </w:r>
          </w:p>
        </w:tc>
        <w:tc>
          <w:tcPr>
            <w:tcW w:w="2386" w:type="dxa"/>
          </w:tcPr>
          <w:p>
            <w:pPr>
              <w:spacing w:before="0" w:after="0"/>
              <w:rPr>
                <w:rFonts w:ascii="EB Garamond" w:hAnsi="EB Garamond"/>
                <w:sz w:val="17"/>
              </w:rPr>
            </w:pPr>
            <w:r>
              <w:rPr>
                <w:rFonts w:ascii="EB Garamond" w:hAnsi="EB Garamond" w:cs="EB Garamond"/>
                <w:sz w:val="17"/>
                <w:szCs w:val="17"/>
              </w:rPr>
              <w:t xml:space="preserve">1</w:t>
            </w:r>
          </w:p>
        </w:tc>
        <w:tc>
          <w:tcPr>
            <w:tcW w:w="2386" w:type="dxa"/>
          </w:tcPr>
          <w:p>
            <w:pPr>
              <w:spacing w:before="0" w:after="0"/>
              <w:rPr>
                <w:rFonts w:ascii="EB Garamond" w:hAnsi="EB Garamond"/>
                <w:sz w:val="17"/>
              </w:rPr>
            </w:pPr>
            <w:r>
              <w:rPr>
                <w:rFonts w:ascii="EB Garamond" w:hAnsi="EB Garamond" w:cs="EB Garamond"/>
                <w:sz w:val="17"/>
                <w:szCs w:val="17"/>
              </w:rPr>
              <w:t xml:space="preserve">2</w:t>
            </w:r>
          </w:p>
        </w:tc>
        <w:tc>
          <w:tcPr>
            <w:tcW w:w="2518" w:type="dxa"/>
          </w:tcPr>
          <w:p>
            <w:pPr>
              <w:spacing w:before="0" w:after="0"/>
              <w:rPr>
                <w:rFonts w:ascii="EB Garamond" w:hAnsi="EB Garamond"/>
                <w:sz w:val="17"/>
              </w:rPr>
            </w:pPr>
            <w:r>
              <w:rPr>
                <w:rFonts w:ascii="EB Garamond" w:hAnsi="EB Garamond" w:cs="EB Garamond"/>
                <w:sz w:val="17"/>
                <w:szCs w:val="17"/>
              </w:rPr>
              <w:t xml:space="preserve">3</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5"/>
        <w:gridCol w:w="1385"/>
        <w:gridCol w:w="965"/>
        <w:gridCol w:w="860"/>
        <w:gridCol w:w="965"/>
        <w:gridCol w:w="860"/>
        <w:gridCol w:w="860"/>
        <w:gridCol w:w="860"/>
        <w:gridCol w:w="2956"/>
      </w:tblGrid>
      <w:tr>
        <w:trPr>
          <w:tblHeader/>
        </w:trPr>
        <w:tc>
          <w:tcPr>
            <w:tcW w:w="755"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5"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65" w:type="dxa"/>
          </w:tcPr>
          <w:p>
            <w:pPr>
              <w:spacing w:before="0" w:after="0"/>
              <w:rPr>
                <w:rFonts w:ascii="EB Garamond" w:hAnsi="EB Garamond"/>
                <w:sz w:val="17"/>
              </w:rPr>
            </w:pPr>
            <w:r>
              <w:rPr>
                <w:rFonts w:ascii="EB Garamond" w:hAnsi="EB Garamond" w:cs="EB Garamond"/>
                <w:b/>
                <w:bCs/>
                <w:sz w:val="17"/>
                <w:szCs w:val="17"/>
              </w:rPr>
              <w:t xml:space="preserve">Sea</w:t>
            </w:r>
          </w:p>
        </w:tc>
        <w:tc>
          <w:tcPr>
            <w:tcW w:w="860" w:type="dxa"/>
          </w:tcPr>
          <w:p>
            <w:pPr>
              <w:spacing w:before="0" w:after="0"/>
              <w:rPr>
                <w:rFonts w:ascii="EB Garamond" w:hAnsi="EB Garamond"/>
                <w:sz w:val="17"/>
              </w:rPr>
            </w:pPr>
            <w:r>
              <w:rPr>
                <w:rFonts w:ascii="EB Garamond" w:hAnsi="EB Garamond" w:cs="EB Garamond"/>
                <w:b/>
                <w:bCs/>
                <w:sz w:val="17"/>
                <w:szCs w:val="17"/>
              </w:rPr>
              <w:t xml:space="preserve">Tax</w:t>
            </w:r>
          </w:p>
        </w:tc>
        <w:tc>
          <w:tcPr>
            <w:tcW w:w="965"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0"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0"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0" w:type="dxa"/>
          </w:tcPr>
          <w:p>
            <w:pPr>
              <w:spacing w:before="0" w:after="0"/>
              <w:rPr>
                <w:rFonts w:ascii="EB Garamond" w:hAnsi="EB Garamond"/>
                <w:sz w:val="17"/>
              </w:rPr>
            </w:pPr>
            <w:r>
              <w:rPr>
                <w:rFonts w:ascii="EB Garamond" w:hAnsi="EB Garamond" w:cs="EB Garamond"/>
                <w:b/>
                <w:bCs/>
                <w:sz w:val="17"/>
                <w:szCs w:val="17"/>
              </w:rPr>
              <w:t xml:space="preserve">Reach</w:t>
            </w:r>
          </w:p>
        </w:tc>
        <w:tc>
          <w:tcPr>
            <w:tcW w:w="2956"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5" w:type="dxa"/>
          </w:tcPr>
          <w:p>
            <w:pPr>
              <w:spacing w:before="0" w:after="0"/>
              <w:rPr>
                <w:rFonts w:ascii="EB Garamond" w:hAnsi="EB Garamond"/>
                <w:sz w:val="17"/>
              </w:rPr>
            </w:pPr>
            <w:r>
              <w:rPr>
                <w:rFonts w:ascii="EB Garamond" w:hAnsi="EB Garamond" w:cs="EB Garamond"/>
                <w:sz w:val="17"/>
                <w:szCs w:val="17"/>
              </w:rPr>
              <w:t xml:space="preserve">0</w:t>
            </w:r>
          </w:p>
        </w:tc>
        <w:tc>
          <w:tcPr>
            <w:tcW w:w="1385" w:type="dxa"/>
          </w:tcPr>
          <w:p>
            <w:pPr>
              <w:spacing w:before="0" w:after="0"/>
              <w:rPr>
                <w:rFonts w:ascii="EB Garamond" w:hAnsi="EB Garamond"/>
                <w:sz w:val="17"/>
              </w:rPr>
            </w:pPr>
            <w:r>
              <w:rPr>
                <w:rFonts w:ascii="EB Garamond" w:hAnsi="EB Garamond" w:cs="EB Garamond"/>
                <w:sz w:val="17"/>
                <w:szCs w:val="17"/>
              </w:rPr>
              <w:t xml:space="preserve">Hamlet</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0</w:t>
            </w:r>
          </w:p>
        </w:tc>
        <w:tc>
          <w:tcPr>
            <w:tcW w:w="965" w:type="dxa"/>
          </w:tcPr>
          <w:p>
            <w:pPr>
              <w:spacing w:before="0" w:after="0"/>
              <w:rPr>
                <w:rFonts w:ascii="EB Garamond" w:hAnsi="EB Garamond"/>
                <w:sz w:val="17"/>
              </w:rPr>
            </w:pPr>
            <w:r>
              <w:rPr>
                <w:rFonts w:ascii="EB Garamond" w:hAnsi="EB Garamond" w:cs="EB Garamond"/>
                <w:sz w:val="17"/>
                <w:szCs w:val="17"/>
              </w:rPr>
              <w:t xml:space="preserve">0</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5" w:type="dxa"/>
          </w:tcPr>
          <w:p>
            <w:pPr>
              <w:spacing w:before="0" w:after="0"/>
              <w:rPr>
                <w:rFonts w:ascii="EB Garamond" w:hAnsi="EB Garamond"/>
                <w:sz w:val="17"/>
              </w:rPr>
            </w:pPr>
            <w:r>
              <w:rPr>
                <w:rFonts w:ascii="EB Garamond" w:hAnsi="EB Garamond" w:cs="EB Garamond"/>
                <w:sz w:val="17"/>
                <w:szCs w:val="17"/>
              </w:rPr>
              <w:t xml:space="preserve">1</w:t>
            </w:r>
          </w:p>
        </w:tc>
        <w:tc>
          <w:tcPr>
            <w:tcW w:w="1385" w:type="dxa"/>
          </w:tcPr>
          <w:p>
            <w:pPr>
              <w:spacing w:before="0" w:after="0"/>
              <w:rPr>
                <w:rFonts w:ascii="EB Garamond" w:hAnsi="EB Garamond"/>
                <w:sz w:val="17"/>
              </w:rPr>
            </w:pPr>
            <w:r>
              <w:rPr>
                <w:rFonts w:ascii="EB Garamond" w:hAnsi="EB Garamond" w:cs="EB Garamond"/>
                <w:sz w:val="17"/>
                <w:szCs w:val="17"/>
              </w:rPr>
              <w:t xml:space="preserve">Village</w:t>
            </w:r>
          </w:p>
        </w:tc>
        <w:tc>
          <w:tcPr>
            <w:tcW w:w="965" w:type="dxa"/>
          </w:tcPr>
          <w:p>
            <w:pPr>
              <w:spacing w:before="0" w:after="0"/>
              <w:rPr>
                <w:rFonts w:ascii="EB Garamond" w:hAnsi="EB Garamond"/>
                <w:sz w:val="17"/>
              </w:rPr>
            </w:pPr>
            <w:r>
              <w:rPr>
                <w:rFonts w:ascii="EB Garamond" w:hAnsi="EB Garamond" w:cs="EB Garamond"/>
                <w:sz w:val="17"/>
                <w:szCs w:val="17"/>
              </w:rPr>
              <w:t xml:space="preserve">None</w:t>
            </w:r>
          </w:p>
        </w:tc>
        <w:tc>
          <w:tcPr>
            <w:tcW w:w="860" w:type="dxa"/>
          </w:tcPr>
          <w:p>
            <w:pPr>
              <w:spacing w:before="0" w:after="0"/>
              <w:rPr>
                <w:rFonts w:ascii="EB Garamond" w:hAnsi="EB Garamond"/>
                <w:sz w:val="17"/>
              </w:rPr>
            </w:pPr>
            <w:r>
              <w:rPr>
                <w:rFonts w:ascii="EB Garamond" w:hAnsi="EB Garamond" w:cs="EB Garamond"/>
                <w:sz w:val="17"/>
                <w:szCs w:val="17"/>
              </w:rPr>
              <w:t xml:space="preserve">2000</w:t>
            </w:r>
          </w:p>
        </w:tc>
        <w:tc>
          <w:tcPr>
            <w:tcW w:w="965"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860" w:type="dxa"/>
          </w:tcPr>
          <w:p>
            <w:pPr>
              <w:spacing w:before="0" w:after="0"/>
              <w:rPr>
                <w:rFonts w:ascii="EB Garamond" w:hAnsi="EB Garamond"/>
                <w:sz w:val="17"/>
              </w:rPr>
            </w:pPr>
            <w:r>
              <w:rPr>
                <w:rFonts w:ascii="EB Garamond" w:hAnsi="EB Garamond" w:cs="EB Garamond"/>
                <w:sz w:val="17"/>
                <w:szCs w:val="17"/>
              </w:rPr>
              <w:t xml:space="preserve">1</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2</w:t>
            </w:r>
          </w:p>
        </w:tc>
        <w:tc>
          <w:tcPr>
            <w:tcW w:w="1385" w:type="dxa"/>
          </w:tcPr>
          <w:p>
            <w:pPr>
              <w:spacing w:before="0" w:after="0"/>
              <w:rPr>
                <w:rFonts w:ascii="EB Garamond" w:hAnsi="EB Garamond"/>
                <w:sz w:val="17"/>
              </w:rPr>
            </w:pPr>
            <w:r>
              <w:rPr>
                <w:rFonts w:ascii="EB Garamond" w:hAnsi="EB Garamond" w:cs="EB Garamond"/>
                <w:sz w:val="17"/>
                <w:szCs w:val="17"/>
              </w:rPr>
              <w:t xml:space="preserve">Town</w:t>
            </w:r>
          </w:p>
        </w:tc>
        <w:tc>
          <w:tcPr>
            <w:tcW w:w="965" w:type="dxa"/>
          </w:tcPr>
          <w:p>
            <w:pPr>
              <w:spacing w:before="0" w:after="0"/>
              <w:rPr>
                <w:rFonts w:ascii="EB Garamond" w:hAnsi="EB Garamond"/>
                <w:sz w:val="17"/>
              </w:rPr>
            </w:pPr>
            <w:r>
              <w:rPr>
                <w:rFonts w:ascii="EB Garamond" w:hAnsi="EB Garamond" w:cs="EB Garamond"/>
                <w:sz w:val="17"/>
                <w:szCs w:val="17"/>
              </w:rPr>
              <w:t xml:space="preserve">Sea Town</w:t>
            </w:r>
          </w:p>
        </w:tc>
        <w:tc>
          <w:tcPr>
            <w:tcW w:w="860" w:type="dxa"/>
          </w:tcPr>
          <w:p>
            <w:pPr>
              <w:spacing w:before="0" w:after="0"/>
              <w:rPr>
                <w:rFonts w:ascii="EB Garamond" w:hAnsi="EB Garamond"/>
                <w:sz w:val="17"/>
              </w:rPr>
            </w:pPr>
            <w:r>
              <w:rPr>
                <w:rFonts w:ascii="EB Garamond" w:hAnsi="EB Garamond" w:cs="EB Garamond"/>
                <w:sz w:val="17"/>
                <w:szCs w:val="17"/>
              </w:rPr>
              <w:t xml:space="preserve">4000</w:t>
            </w:r>
          </w:p>
        </w:tc>
        <w:tc>
          <w:tcPr>
            <w:tcW w:w="965" w:type="dxa"/>
          </w:tcPr>
          <w:p>
            <w:pPr>
              <w:spacing w:before="0" w:after="0"/>
              <w:rPr>
                <w:rFonts w:ascii="EB Garamond" w:hAnsi="EB Garamond"/>
                <w:sz w:val="17"/>
              </w:rPr>
            </w:pPr>
            <w:r>
              <w:rPr>
                <w:rFonts w:ascii="EB Garamond" w:hAnsi="EB Garamond" w:cs="EB Garamond"/>
                <w:sz w:val="17"/>
                <w:szCs w:val="17"/>
              </w:rPr>
              <w:t xml:space="preserve">10</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860" w:type="dxa"/>
          </w:tcPr>
          <w:p>
            <w:pPr>
              <w:spacing w:before="0" w:after="0"/>
              <w:rPr>
                <w:rFonts w:ascii="EB Garamond" w:hAnsi="EB Garamond"/>
                <w:sz w:val="17"/>
              </w:rPr>
            </w:pPr>
            <w:r>
              <w:rPr>
                <w:rFonts w:ascii="EB Garamond" w:hAnsi="EB Garamond" w:cs="EB Garamond"/>
                <w:sz w:val="17"/>
                <w:szCs w:val="17"/>
              </w:rPr>
              <w:t xml:space="preserve">2</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3</w:t>
            </w:r>
          </w:p>
        </w:tc>
        <w:tc>
          <w:tcPr>
            <w:tcW w:w="1385" w:type="dxa"/>
          </w:tcPr>
          <w:p>
            <w:pPr>
              <w:spacing w:before="0" w:after="0"/>
              <w:rPr>
                <w:rFonts w:ascii="EB Garamond" w:hAnsi="EB Garamond"/>
                <w:sz w:val="17"/>
              </w:rPr>
            </w:pPr>
            <w:r>
              <w:rPr>
                <w:rFonts w:ascii="EB Garamond" w:hAnsi="EB Garamond" w:cs="EB Garamond"/>
                <w:sz w:val="17"/>
                <w:szCs w:val="17"/>
              </w:rPr>
              <w:t xml:space="preserve">City</w:t>
            </w:r>
          </w:p>
        </w:tc>
        <w:tc>
          <w:tcPr>
            <w:tcW w:w="965" w:type="dxa"/>
          </w:tcPr>
          <w:p>
            <w:pPr>
              <w:spacing w:before="0" w:after="0"/>
              <w:rPr>
                <w:rFonts w:ascii="EB Garamond" w:hAnsi="EB Garamond"/>
                <w:sz w:val="17"/>
              </w:rPr>
            </w:pPr>
            <w:r>
              <w:rPr>
                <w:rFonts w:ascii="EB Garamond" w:hAnsi="EB Garamond" w:cs="EB Garamond"/>
                <w:sz w:val="17"/>
                <w:szCs w:val="17"/>
              </w:rPr>
              <w:t xml:space="preserve">Port</w:t>
            </w:r>
          </w:p>
        </w:tc>
        <w:tc>
          <w:tcPr>
            <w:tcW w:w="860" w:type="dxa"/>
          </w:tcPr>
          <w:p>
            <w:pPr>
              <w:spacing w:before="0" w:after="0"/>
              <w:rPr>
                <w:rFonts w:ascii="EB Garamond" w:hAnsi="EB Garamond"/>
                <w:sz w:val="17"/>
              </w:rPr>
            </w:pPr>
            <w:r>
              <w:rPr>
                <w:rFonts w:ascii="EB Garamond" w:hAnsi="EB Garamond" w:cs="EB Garamond"/>
                <w:sz w:val="17"/>
                <w:szCs w:val="17"/>
              </w:rPr>
              <w:t xml:space="preserve">6000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860" w:type="dxa"/>
          </w:tcPr>
          <w:p>
            <w:pPr>
              <w:spacing w:before="0" w:after="0"/>
              <w:rPr>
                <w:rFonts w:ascii="EB Garamond" w:hAnsi="EB Garamond"/>
                <w:sz w:val="17"/>
              </w:rPr>
            </w:pPr>
            <w:r>
              <w:rPr>
                <w:rFonts w:ascii="EB Garamond" w:hAnsi="EB Garamond" w:cs="EB Garamond"/>
                <w:sz w:val="17"/>
                <w:szCs w:val="17"/>
              </w:rPr>
              <w:t xml:space="preserve">3</w:t>
            </w:r>
          </w:p>
        </w:tc>
        <w:tc>
          <w:tcPr>
            <w:tcW w:w="2956" w:type="dxa"/>
          </w:tcPr>
          <w:p>
            <w:pPr>
              <w:spacing w:before="0" w:after="0"/>
              <w:rPr>
                <w:rFonts w:ascii="EB Garamond" w:hAnsi="EB Garamond"/>
                <w:sz w:val="17"/>
              </w:rPr>
            </w:pPr>
            <w:r>
              <w:rPr>
                <w:rFonts w:ascii="EB Garamond" w:hAnsi="EB Garamond" w:cs="EB Garamond"/>
                <w:sz w:val="17"/>
                <w:szCs w:val="17"/>
              </w:rPr>
              <w:t xml:space="preserve">—</w:t>
            </w:r>
          </w:p>
        </w:tc>
      </w:tr>
      <w:tr>
        <w:tc>
          <w:tcPr>
            <w:tcW w:w="755" w:type="dxa"/>
          </w:tcPr>
          <w:p>
            <w:pPr>
              <w:spacing w:before="0" w:after="0"/>
              <w:rPr>
                <w:rFonts w:ascii="EB Garamond" w:hAnsi="EB Garamond"/>
                <w:sz w:val="17"/>
              </w:rPr>
            </w:pPr>
            <w:r>
              <w:rPr>
                <w:rFonts w:ascii="EB Garamond" w:hAnsi="EB Garamond" w:cs="EB Garamond"/>
                <w:sz w:val="17"/>
                <w:szCs w:val="17"/>
              </w:rPr>
              <w:t xml:space="preserve">4</w:t>
            </w:r>
          </w:p>
        </w:tc>
        <w:tc>
          <w:tcPr>
            <w:tcW w:w="1385" w:type="dxa"/>
          </w:tcPr>
          <w:p>
            <w:pPr>
              <w:spacing w:before="0" w:after="0"/>
              <w:rPr>
                <w:rFonts w:ascii="EB Garamond" w:hAnsi="EB Garamond"/>
                <w:sz w:val="17"/>
              </w:rPr>
            </w:pPr>
            <w:r>
              <w:rPr>
                <w:rFonts w:ascii="EB Garamond" w:hAnsi="EB Garamond" w:cs="EB Garamond"/>
                <w:sz w:val="17"/>
                <w:szCs w:val="17"/>
              </w:rPr>
              <w:t xml:space="preserve">Metropolis</w:t>
            </w:r>
          </w:p>
        </w:tc>
        <w:tc>
          <w:tcPr>
            <w:tcW w:w="965" w:type="dxa"/>
          </w:tcPr>
          <w:p>
            <w:pPr>
              <w:spacing w:before="0" w:after="0"/>
              <w:rPr>
                <w:rFonts w:ascii="EB Garamond" w:hAnsi="EB Garamond"/>
                <w:sz w:val="17"/>
              </w:rPr>
            </w:pPr>
            <w:r>
              <w:rPr>
                <w:rFonts w:ascii="EB Garamond" w:hAnsi="EB Garamond" w:cs="EB Garamond"/>
                <w:sz w:val="17"/>
                <w:szCs w:val="17"/>
              </w:rPr>
              <w:t xml:space="preserve">—</w:t>
            </w:r>
          </w:p>
        </w:tc>
        <w:tc>
          <w:tcPr>
            <w:tcW w:w="860" w:type="dxa"/>
          </w:tcPr>
          <w:p>
            <w:pPr>
              <w:spacing w:before="0" w:after="0"/>
              <w:rPr>
                <w:rFonts w:ascii="EB Garamond" w:hAnsi="EB Garamond"/>
                <w:sz w:val="17"/>
              </w:rPr>
            </w:pPr>
            <w:r>
              <w:rPr>
                <w:rFonts w:ascii="EB Garamond" w:hAnsi="EB Garamond" w:cs="EB Garamond"/>
                <w:sz w:val="17"/>
                <w:szCs w:val="17"/>
              </w:rPr>
              <w:t xml:space="preserve">10000</w:t>
            </w:r>
          </w:p>
        </w:tc>
        <w:tc>
          <w:tcPr>
            <w:tcW w:w="965" w:type="dxa"/>
          </w:tcPr>
          <w:p>
            <w:pPr>
              <w:spacing w:before="0" w:after="0"/>
              <w:rPr>
                <w:rFonts w:ascii="EB Garamond" w:hAnsi="EB Garamond"/>
                <w:sz w:val="17"/>
              </w:rPr>
            </w:pPr>
            <w:r>
              <w:rPr>
                <w:rFonts w:ascii="EB Garamond" w:hAnsi="EB Garamond" w:cs="EB Garamond"/>
                <w:sz w:val="17"/>
                <w:szCs w:val="17"/>
              </w:rPr>
              <w:t xml:space="preserve">25</w:t>
            </w:r>
          </w:p>
        </w:tc>
        <w:tc>
          <w:tcPr>
            <w:tcW w:w="860" w:type="dxa"/>
          </w:tcPr>
          <w:p>
            <w:pPr>
              <w:spacing w:before="0" w:after="0"/>
              <w:rPr>
                <w:rFonts w:ascii="EB Garamond" w:hAnsi="EB Garamond"/>
                <w:sz w:val="17"/>
              </w:rPr>
            </w:pPr>
            <w:r>
              <w:rPr>
                <w:rFonts w:ascii="EB Garamond" w:hAnsi="EB Garamond" w:cs="EB Garamond"/>
                <w:sz w:val="17"/>
                <w:szCs w:val="17"/>
              </w:rPr>
              <w:t xml:space="preserve">5</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860" w:type="dxa"/>
          </w:tcPr>
          <w:p>
            <w:pPr>
              <w:spacing w:before="0" w:after="0"/>
              <w:rPr>
                <w:rFonts w:ascii="EB Garamond" w:hAnsi="EB Garamond"/>
                <w:sz w:val="17"/>
              </w:rPr>
            </w:pPr>
            <w:r>
              <w:rPr>
                <w:rFonts w:ascii="EB Garamond" w:hAnsi="EB Garamond" w:cs="EB Garamond"/>
                <w:sz w:val="17"/>
                <w:szCs w:val="17"/>
              </w:rPr>
              <w:t xml:space="preserve">4</w:t>
            </w:r>
          </w:p>
        </w:tc>
        <w:tc>
          <w:tcPr>
            <w:tcW w:w="2956"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4"/>
        <w:gridCol w:w="1679"/>
        <w:gridCol w:w="944"/>
        <w:gridCol w:w="1033"/>
        <w:gridCol w:w="2489"/>
        <w:gridCol w:w="2537"/>
      </w:tblGrid>
      <w:tr>
        <w:trPr>
          <w:tblHeader/>
        </w:trPr>
        <w:tc>
          <w:tcPr>
            <w:tcW w:w="1784"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9" w:type="dxa"/>
          </w:tcPr>
          <w:p>
            <w:pPr>
              <w:spacing w:before="0" w:after="0"/>
              <w:rPr>
                <w:rFonts w:ascii="EB Garamond" w:hAnsi="EB Garamond"/>
                <w:sz w:val="17"/>
              </w:rPr>
            </w:pPr>
            <w:r>
              <w:rPr>
                <w:rFonts w:ascii="EB Garamond" w:hAnsi="EB Garamond" w:cs="EB Garamond"/>
                <w:b/>
                <w:bCs/>
                <w:sz w:val="17"/>
                <w:szCs w:val="17"/>
              </w:rPr>
              <w:t xml:space="preserve">Tier</w:t>
            </w:r>
          </w:p>
        </w:tc>
        <w:tc>
          <w:tcPr>
            <w:tcW w:w="944"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33"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89"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37"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4" w:type="dxa"/>
          </w:tcPr>
          <w:p>
            <w:pPr>
              <w:spacing w:before="0" w:after="0"/>
              <w:rPr>
                <w:rFonts w:ascii="EB Garamond" w:hAnsi="EB Garamond"/>
                <w:sz w:val="17"/>
              </w:rPr>
            </w:pPr>
            <w:r>
              <w:rPr>
                <w:rFonts w:ascii="EB Garamond" w:hAnsi="EB Garamond" w:cs="EB Garamond"/>
                <w:sz w:val="17"/>
                <w:szCs w:val="17"/>
              </w:rPr>
              <w:t xml:space="preserve">Dirt Roads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Trade; place Dirt Road Territories in Province; ignore Terrain Speed Modifiers</w:t>
            </w:r>
          </w:p>
        </w:tc>
      </w:tr>
      <w:tr>
        <w:tc>
          <w:tcPr>
            <w:tcW w:w="1784"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4"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9" w:type="dxa"/>
          </w:tcPr>
          <w:p>
            <w:pPr>
              <w:spacing w:before="0" w:after="0"/>
              <w:rPr>
                <w:rFonts w:ascii="EB Garamond" w:hAnsi="EB Garamond"/>
                <w:sz w:val="17"/>
              </w:rPr>
            </w:pPr>
            <w:r>
              <w:rPr>
                <w:rFonts w:ascii="EB Garamond" w:hAnsi="EB Garamond" w:cs="EB Garamond"/>
                <w:sz w:val="17"/>
                <w:szCs w:val="17"/>
              </w:rPr>
              <w:t xml:space="preserve">Primitive</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2</w:t>
            </w:r>
          </w:p>
        </w:tc>
        <w:tc>
          <w:tcPr>
            <w:tcW w:w="2489" w:type="dxa"/>
          </w:tcPr>
          <w:p>
            <w:pPr>
              <w:spacing w:before="0" w:after="0"/>
              <w:rPr>
                <w:rFonts w:ascii="EB Garamond" w:hAnsi="EB Garamond"/>
                <w:sz w:val="17"/>
              </w:rPr>
            </w:pPr>
            <w:r>
              <w:rPr>
                <w:rFonts w:ascii="EB Garamond" w:hAnsi="EB Garamond" w:cs="EB Garamond"/>
                <w:sz w:val="17"/>
                <w:szCs w:val="17"/>
              </w:rPr>
              <w:t xml:space="preserve">None</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Roads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Dirt Roads</w:t>
            </w:r>
          </w:p>
        </w:tc>
        <w:tc>
          <w:tcPr>
            <w:tcW w:w="2537" w:type="dxa"/>
          </w:tcPr>
          <w:p>
            <w:pPr>
              <w:spacing w:before="0" w:after="0"/>
              <w:rPr>
                <w:rFonts w:ascii="EB Garamond" w:hAnsi="EB Garamond"/>
                <w:sz w:val="17"/>
              </w:rPr>
            </w:pPr>
            <w:r>
              <w:rPr>
                <w:rFonts w:ascii="EB Garamond" w:hAnsi="EB Garamond" w:cs="EB Garamond"/>
                <w:sz w:val="17"/>
                <w:szCs w:val="17"/>
              </w:rPr>
              <w:t xml:space="preserve">Ignore Terrain Speed Modifiers; if you start turn on Stone Road gain Speed +2; replaces Dirt Roads</w:t>
            </w:r>
          </w:p>
        </w:tc>
      </w:tr>
      <w:tr>
        <w:tc>
          <w:tcPr>
            <w:tcW w:w="1784" w:type="dxa"/>
          </w:tcPr>
          <w:p>
            <w:pPr>
              <w:spacing w:before="0" w:after="0"/>
              <w:rPr>
                <w:rFonts w:ascii="EB Garamond" w:hAnsi="EB Garamond"/>
                <w:sz w:val="17"/>
              </w:rPr>
            </w:pPr>
            <w:r>
              <w:rPr>
                <w:rFonts w:ascii="EB Garamond" w:hAnsi="EB Garamond" w:cs="EB Garamond"/>
                <w:sz w:val="17"/>
                <w:szCs w:val="17"/>
              </w:rPr>
              <w:t xml:space="preserve">Town Hall</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37"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4" w:type="dxa"/>
          </w:tcPr>
          <w:p>
            <w:pPr>
              <w:spacing w:before="0" w:after="0"/>
              <w:rPr>
                <w:rFonts w:ascii="EB Garamond" w:hAnsi="EB Garamond"/>
                <w:sz w:val="17"/>
              </w:rPr>
            </w:pPr>
            <w:r>
              <w:rPr>
                <w:rFonts w:ascii="EB Garamond" w:hAnsi="EB Garamond" w:cs="EB Garamond"/>
                <w:sz w:val="17"/>
                <w:szCs w:val="17"/>
              </w:rPr>
              <w:t xml:space="preserve">Bridges</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37"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4" w:type="dxa"/>
          </w:tcPr>
          <w:p>
            <w:pPr>
              <w:spacing w:before="0" w:after="0"/>
              <w:rPr>
                <w:rFonts w:ascii="EB Garamond" w:hAnsi="EB Garamond"/>
                <w:sz w:val="17"/>
              </w:rPr>
            </w:pPr>
            <w:r>
              <w:rPr>
                <w:rFonts w:ascii="EB Garamond" w:hAnsi="EB Garamond" w:cs="EB Garamond"/>
                <w:sz w:val="17"/>
                <w:szCs w:val="17"/>
              </w:rPr>
              <w:t xml:space="preserve">Garrison</w:t>
            </w:r>
          </w:p>
        </w:tc>
        <w:tc>
          <w:tcPr>
            <w:tcW w:w="1679" w:type="dxa"/>
          </w:tcPr>
          <w:p>
            <w:pPr>
              <w:spacing w:before="0" w:after="0"/>
              <w:rPr>
                <w:rFonts w:ascii="EB Garamond" w:hAnsi="EB Garamond"/>
                <w:sz w:val="17"/>
              </w:rPr>
            </w:pPr>
            <w:r>
              <w:rPr>
                <w:rFonts w:ascii="EB Garamond" w:hAnsi="EB Garamond" w:cs="EB Garamond"/>
                <w:sz w:val="17"/>
                <w:szCs w:val="17"/>
              </w:rPr>
              <w:t xml:space="preserve">Developed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3</w:t>
            </w:r>
          </w:p>
        </w:tc>
        <w:tc>
          <w:tcPr>
            <w:tcW w:w="2489" w:type="dxa"/>
          </w:tcPr>
          <w:p>
            <w:pPr>
              <w:spacing w:before="0" w:after="0"/>
              <w:rPr>
                <w:rFonts w:ascii="EB Garamond" w:hAnsi="EB Garamond"/>
                <w:sz w:val="17"/>
              </w:rPr>
            </w:pPr>
            <w:r>
              <w:rPr>
                <w:rFonts w:ascii="EB Garamond" w:hAnsi="EB Garamond" w:cs="EB Garamond"/>
                <w:sz w:val="17"/>
                <w:szCs w:val="17"/>
              </w:rPr>
              <w:t xml:space="preserve">Muster Field</w:t>
            </w:r>
          </w:p>
        </w:tc>
        <w:tc>
          <w:tcPr>
            <w:tcW w:w="2537" w:type="dxa"/>
          </w:tcPr>
          <w:p>
            <w:pPr>
              <w:spacing w:before="0" w:after="0"/>
              <w:rPr>
                <w:rFonts w:ascii="EB Garamond" w:hAnsi="EB Garamond"/>
                <w:sz w:val="17"/>
              </w:rPr>
            </w:pPr>
            <w:r>
              <w:rPr>
                <w:rFonts w:ascii="EB Garamond" w:hAnsi="EB Garamond" w:cs="EB Garamond"/>
                <w:sz w:val="17"/>
                <w:szCs w:val="17"/>
              </w:rPr>
              <w:t xml:space="preserve">Local Armies form (10/15/25 by Settlement size). All Garrisons share Equipment. Cannot be targeted; may Sally Forth.</w:t>
            </w:r>
          </w:p>
        </w:tc>
      </w:tr>
      <w:tr>
        <w:tc>
          <w:tcPr>
            <w:tcW w:w="1784" w:type="dxa"/>
          </w:tcPr>
          <w:p>
            <w:pPr>
              <w:spacing w:before="0" w:after="0"/>
              <w:rPr>
                <w:rFonts w:ascii="EB Garamond" w:hAnsi="EB Garamond"/>
                <w:sz w:val="17"/>
              </w:rPr>
            </w:pPr>
            <w:r>
              <w:rPr>
                <w:rFonts w:ascii="EB Garamond" w:hAnsi="EB Garamond" w:cs="EB Garamond"/>
                <w:sz w:val="17"/>
                <w:szCs w:val="17"/>
              </w:rPr>
              <w:t xml:space="preserve">Stone Walls</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37"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p>
        </w:tc>
      </w:tr>
      <w:tr>
        <w:tc>
          <w:tcPr>
            <w:tcW w:w="1784" w:type="dxa"/>
          </w:tcPr>
          <w:p>
            <w:pPr>
              <w:spacing w:before="0" w:after="0"/>
              <w:rPr>
                <w:rFonts w:ascii="EB Garamond" w:hAnsi="EB Garamond"/>
                <w:sz w:val="17"/>
              </w:rPr>
            </w:pPr>
            <w:r>
              <w:rPr>
                <w:rFonts w:ascii="EB Garamond" w:hAnsi="EB Garamond" w:cs="EB Garamond"/>
                <w:sz w:val="17"/>
                <w:szCs w:val="17"/>
              </w:rPr>
              <w:t xml:space="preserve">Keep</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Garrison</w:t>
            </w:r>
          </w:p>
        </w:tc>
        <w:tc>
          <w:tcPr>
            <w:tcW w:w="2537"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4" w:type="dxa"/>
          </w:tcPr>
          <w:p>
            <w:pPr>
              <w:spacing w:before="0" w:after="0"/>
              <w:rPr>
                <w:rFonts w:ascii="EB Garamond" w:hAnsi="EB Garamond"/>
                <w:sz w:val="17"/>
              </w:rPr>
            </w:pPr>
            <w:r>
              <w:rPr>
                <w:rFonts w:ascii="EB Garamond" w:hAnsi="EB Garamond" w:cs="EB Garamond"/>
                <w:sz w:val="17"/>
                <w:szCs w:val="17"/>
              </w:rPr>
              <w:t xml:space="preserve">Cathedral</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100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784" w:type="dxa"/>
          </w:tcPr>
          <w:p>
            <w:pPr>
              <w:spacing w:before="0" w:after="0"/>
              <w:rPr>
                <w:rFonts w:ascii="EB Garamond" w:hAnsi="EB Garamond"/>
                <w:sz w:val="17"/>
              </w:rPr>
            </w:pPr>
            <w:r>
              <w:rPr>
                <w:rFonts w:ascii="EB Garamond" w:hAnsi="EB Garamond" w:cs="EB Garamond"/>
                <w:sz w:val="17"/>
                <w:szCs w:val="17"/>
              </w:rPr>
              <w:t xml:space="preserve">Library</w:t>
            </w:r>
          </w:p>
        </w:tc>
        <w:tc>
          <w:tcPr>
            <w:tcW w:w="1679"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4" w:type="dxa"/>
          </w:tcPr>
          <w:p>
            <w:pPr>
              <w:spacing w:before="0" w:after="0"/>
              <w:rPr>
                <w:rFonts w:ascii="EB Garamond" w:hAnsi="EB Garamond"/>
                <w:sz w:val="17"/>
              </w:rPr>
            </w:pPr>
            <w:r>
              <w:rPr>
                <w:rFonts w:ascii="EB Garamond" w:hAnsi="EB Garamond" w:cs="EB Garamond"/>
                <w:sz w:val="17"/>
                <w:szCs w:val="17"/>
              </w:rPr>
              <w:t xml:space="preserve">200</w:t>
            </w:r>
          </w:p>
        </w:tc>
        <w:tc>
          <w:tcPr>
            <w:tcW w:w="1033" w:type="dxa"/>
          </w:tcPr>
          <w:p>
            <w:pPr>
              <w:spacing w:before="0" w:after="0"/>
              <w:rPr>
                <w:rFonts w:ascii="EB Garamond" w:hAnsi="EB Garamond"/>
                <w:sz w:val="17"/>
              </w:rPr>
            </w:pPr>
            <w:r>
              <w:rPr>
                <w:rFonts w:ascii="EB Garamond" w:hAnsi="EB Garamond" w:cs="EB Garamond"/>
                <w:sz w:val="17"/>
                <w:szCs w:val="17"/>
              </w:rPr>
              <w:t xml:space="preserve">4</w:t>
            </w:r>
          </w:p>
        </w:tc>
        <w:tc>
          <w:tcPr>
            <w:tcW w:w="2489" w:type="dxa"/>
          </w:tcPr>
          <w:p>
            <w:pPr>
              <w:spacing w:before="0" w:after="0"/>
              <w:rPr>
                <w:rFonts w:ascii="EB Garamond" w:hAnsi="EB Garamond"/>
                <w:sz w:val="17"/>
              </w:rPr>
            </w:pPr>
            <w:r>
              <w:rPr>
                <w:rFonts w:ascii="EB Garamond" w:hAnsi="EB Garamond" w:cs="EB Garamond"/>
                <w:sz w:val="17"/>
                <w:szCs w:val="17"/>
              </w:rPr>
              <w:t xml:space="preserve">Town Hall</w:t>
            </w:r>
          </w:p>
        </w:tc>
        <w:tc>
          <w:tcPr>
            <w:tcW w:w="2537"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w:t>
      </w:r>
      <w:r>
        <w:rPr>
          <w:rFonts w:ascii="EB Garamond" w:hAnsi="EB Garamond"/>
          <w:b w:val="0"/>
          <w:i w:val="0"/>
        </w:rPr>
        <w:t xml:space="preserve">s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1000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5</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10</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