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(build)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10,000 gold per turn for five consecutive turns.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Eras, represented by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0</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(0/1/2/3);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 (See the Turn Outline above for the at-a-glance version.)</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May place roads within province.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now.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Starting with the starting player, all players place their envoys in the Domain tray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has the first opportunity to send a Prowess envoy, and so on. Once every player has had an opportunity to send an envoy of a domain, no further envoys of that domain may be sent this turn. All remaining envoys must be sent on Industry envoys when given the opportunity.</w:t>
      </w:r>
    </w:p>
    <w:p>
      <w:r>
        <w:rPr>
          <w:rFonts w:ascii="EB Garamond" w:hAnsi="EB Garamond"/>
          <w:b w:val="0"/>
          <w:i w:val="0"/>
        </w:rPr>
        <w:t xml:space="preserve">To resolve an envoy — voting, influence spending, and outcomes — see </w:t>
      </w:r>
      <w:r>
        <w:rPr>
          <w:rFonts w:ascii="EB Garamond" w:hAnsi="EB Garamond"/>
          <w:b/>
          <w:i w:val="0"/>
        </w:rPr>
        <w:t>Actions &amp; Voting</w:t>
      </w:r>
      <w:r>
        <w:rPr>
          <w:rFonts w:ascii="EB Garamond" w:hAnsi="EB Garamond"/>
          <w:b w:val="0"/>
          <w:i w:val="0"/>
        </w:rPr>
        <w:t>.</w:t>
      </w:r>
    </w:p>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and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0, Rising 1, Established 2, Sovereign 3</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w:t>
      </w:r>
    </w:p>
    <w:p>
      <w:r>
        <w:rPr>
          <w:rFonts w:ascii="EB Garamond" w:hAnsi="EB Garamond"/>
          <w:b w:val="0"/>
          <w:i w:val="0"/>
        </w:rPr>
        <w:t xml:space="preserve">In practice this is not a round-the-table poll. The table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0</w:t>
      </w:r>
      <w:r>
        <w:rPr>
          <w:rFonts w:ascii="EB Garamond" w:hAnsi="EB Garamond"/>
          <w:b w:val="0"/>
          <w:i w:val="0"/>
        </w:rPr>
        <w:t xml:space="preserve">, and you can't support it yourself — so it can only pass if </w:t>
      </w:r>
      <w:r>
        <w:rPr>
          <w:rFonts w:ascii="EB Garamond" w:hAnsi="EB Garamond"/>
          <w:b/>
          <w:i w:val="0"/>
        </w:rPr>
        <w:t>another player chooses to support you</w:t>
      </w:r>
      <w:r>
        <w:rPr>
          <w:rFonts w:ascii="EB Garamond" w:hAnsi="EB Garamond"/>
          <w:b w:val="0"/>
          <w:i w:val="0"/>
        </w:rPr>
        <w:t>. Influence is the currency of those favors. Unless players back each other, envoys fail;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Flat bonus if you have the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Skirmish (end adjacent to a non-allied Army not in a settlement → Battle, Seize the Initiative +1I Skirmish 1), Lay Siege (end adjacent to an at-war settlement → Siege), or Muster (within range 3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+1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Skirmished/Sieged/Mustered cannot act again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Skirmished gains +1I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their Outlaw Country has no room, increase it by one territory and spawn there.</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there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at the beginning of next turn.</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Next/>
        <w:keepLines/>
        <w:spacing w:before="0" w:after="20"/>
        <w:ind w:left="360" w:hanging="180"/>
        <w:rPr>
          <w:rFonts w:ascii="EB Garamond" w:hAnsi="EB Garamond"/>
          <w:sz w:val="17"/>
        </w:rPr>
      </w:pPr>
      <w:r>
        <w:rPr>
          <w:rFonts w:ascii="EB Garamond" w:hAnsi="EB Garamond"/>
          <w:sz w:val="20"/>
        </w:rPr>
        <w:t xml:space="preserve">Affects only the next single turn's tax income.</w:t>
      </w:r>
    </w:p>
    <w:p>
      <w:pPr>
        <w:pStyle w:val="ListBullet"/>
        <w:keepLines/>
        <w:spacing w:before="0" w:after="20"/>
        <w:ind w:left="360" w:hanging="180"/>
        <w:rPr>
          <w:rFonts w:ascii="EB Garamond" w:hAnsi="EB Garamond"/>
          <w:sz w:val="17"/>
        </w:rPr>
      </w:pPr>
      <w:r>
        <w:rPr>
          <w:rFonts w:ascii="EB Garamond" w:hAnsi="EB Garamond"/>
          <w:sz w:val="20"/>
        </w:rPr>
        <w:t xml:space="preserve">Act of War: if a Cunning envoy is Condemned while targeting a NAP partner, they may immediately Declare War on the condemned player.</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(Wooden Walls, Stone Walls, Citadel, Garrison, Standing Army)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against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be on one active Crusade at a time. It ends only when one involved player is Vassalized.</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Next/>
        <w:keepLines/>
        <w:spacing w:before="0" w:after="20"/>
        <w:ind w:left="360" w:hanging="180"/>
        <w:rPr>
          <w:rFonts w:ascii="EB Garamond" w:hAnsi="EB Garamond"/>
          <w:sz w:val="17"/>
        </w:rPr>
      </w:pPr>
      <w:r>
        <w:rPr>
          <w:rFonts w:ascii="EB Garamond" w:hAnsi="EB Garamond"/>
          <w:sz w:val="20"/>
        </w:rPr>
        <w:t xml:space="preserve">Only one active Build Timer at a time.</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Repair Timer 2. At 0, choose: Restore (reactivate with all effects) or Demolish (remove it, freeing the ward).</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not within range 2 of Outlaw Country); Charter a Hamlet (if none, range 2 from capital, non-water/mountain — a Hamlet always allows pursuing Arable Land even if that raw material is not in its region);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pStyle w:val="ListBullet"/>
        <w:keepLines/>
        <w:spacing w:before="0" w:after="20"/>
        <w:ind w:left="360" w:hanging="180"/>
        <w:rPr>
          <w:rFonts w:ascii="EB Garamond" w:hAnsi="EB Garamond"/>
          <w:sz w:val="17"/>
        </w:rPr>
      </w:pPr>
      <w:r>
        <w:rPr>
          <w:rFonts w:ascii="EB Garamond" w:hAnsi="EB Garamond"/>
          <w:sz w:val="20"/>
        </w:rPr>
        <w:t xml:space="preserve">Hamlets always allow pursuing Arable Land.</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 (exception: Masters of Duplicity).</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(automatically, no envoy)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that treaty is removed. Does not require the target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32"/>
        <w:gridCol w:w="1144"/>
        <w:gridCol w:w="2386"/>
        <w:gridCol w:w="2386"/>
        <w:gridCol w:w="2518"/>
      </w:tblGrid>
      <w:tr>
        <w:trPr>
          <w:tblHeader/>
        </w:trPr>
        <w:tc>
          <w:tcPr>
            <w:tcW w:w="2032"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4"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386"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86"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18"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32" w:type="dxa"/>
          </w:tcPr>
          <w:p>
            <w:pPr>
              <w:spacing w:before="0" w:after="0"/>
              <w:rPr>
                <w:rFonts w:ascii="EB Garamond" w:hAnsi="EB Garamond"/>
                <w:sz w:val="17"/>
              </w:rPr>
            </w:pPr>
            <w:r>
              <w:rPr>
                <w:rFonts w:ascii="EB Garamond" w:hAnsi="EB Garamond" w:cs="EB Garamond"/>
                <w:sz w:val="17"/>
                <w:szCs w:val="17"/>
              </w:rPr>
              <w:t xml:space="preserve">Industry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86"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18"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32" w:type="dxa"/>
          </w:tcPr>
          <w:p>
            <w:pPr>
              <w:spacing w:before="0" w:after="0"/>
              <w:rPr>
                <w:rFonts w:ascii="EB Garamond" w:hAnsi="EB Garamond"/>
                <w:sz w:val="17"/>
              </w:rPr>
            </w:pPr>
            <w:r>
              <w:rPr>
                <w:rFonts w:ascii="EB Garamond" w:hAnsi="EB Garamond" w:cs="EB Garamond"/>
                <w:sz w:val="17"/>
                <w:szCs w:val="17"/>
              </w:rPr>
              <w:t xml:space="preserve">Prowess</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Indominable: Once per turn, if you have not sent an Envoy, you may perform a Prowess action; send 1 fewer Envoy this turn (min 0). May use Declare War action.</w:t>
            </w:r>
          </w:p>
        </w:tc>
        <w:tc>
          <w:tcPr>
            <w:tcW w:w="2386" w:type="dxa"/>
          </w:tcPr>
          <w:p>
            <w:pPr>
              <w:spacing w:before="0" w:after="0"/>
              <w:rPr>
                <w:rFonts w:ascii="EB Garamond" w:hAnsi="EB Garamond"/>
                <w:sz w:val="17"/>
              </w:rPr>
            </w:pPr>
            <w:r>
              <w:rPr>
                <w:rFonts w:ascii="EB Garamond" w:hAnsi="EB Garamond" w:cs="EB Garamond"/>
                <w:sz w:val="17"/>
                <w:szCs w:val="17"/>
              </w:rPr>
              <w:t xml:space="preserve">Edict of War: All armies gain Parry. Gain Immune State of Alarm (No longer gain Doubt while at War).</w:t>
            </w:r>
          </w:p>
        </w:tc>
        <w:tc>
          <w:tcPr>
            <w:tcW w:w="2518" w:type="dxa"/>
          </w:tcPr>
          <w:p>
            <w:pPr>
              <w:spacing w:before="0" w:after="0"/>
              <w:rPr>
                <w:rFonts w:ascii="EB Garamond" w:hAnsi="EB Garamond"/>
                <w:sz w:val="17"/>
              </w:rPr>
            </w:pPr>
            <w:r>
              <w:rPr>
                <w:rFonts w:ascii="EB Garamond" w:hAnsi="EB Garamond" w:cs="EB Garamond"/>
                <w:sz w:val="17"/>
                <w:szCs w:val="17"/>
              </w:rPr>
              <w:t xml:space="preserve">High Quartermaster: Upkeep -2000. No longer lose Influence while at War. May change equipment on your armies during any upkeep phase where that army is within Province.</w:t>
            </w:r>
          </w:p>
        </w:tc>
      </w:tr>
      <w:tr>
        <w:tc>
          <w:tcPr>
            <w:tcW w:w="2032" w:type="dxa"/>
          </w:tcPr>
          <w:p>
            <w:pPr>
              <w:spacing w:before="0" w:after="0"/>
              <w:rPr>
                <w:rFonts w:ascii="EB Garamond" w:hAnsi="EB Garamond"/>
                <w:sz w:val="17"/>
              </w:rPr>
            </w:pPr>
            <w:r>
              <w:rPr>
                <w:rFonts w:ascii="EB Garamond" w:hAnsi="EB Garamond" w:cs="EB Garamond"/>
                <w:sz w:val="17"/>
                <w:szCs w:val="17"/>
              </w:rPr>
              <w:t xml:space="preserve">Cunning</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Clandestine Councilor: Once per turn, when another player's Envoy is Sent, target a player - that player Abstains.</w:t>
            </w:r>
          </w:p>
        </w:tc>
        <w:tc>
          <w:tcPr>
            <w:tcW w:w="2386"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w:t>
            </w:r>
          </w:p>
        </w:tc>
        <w:tc>
          <w:tcPr>
            <w:tcW w:w="2518"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w:t>
            </w:r>
          </w:p>
        </w:tc>
      </w:tr>
      <w:tr>
        <w:tc>
          <w:tcPr>
            <w:tcW w:w="2032" w:type="dxa"/>
          </w:tcPr>
          <w:p>
            <w:pPr>
              <w:spacing w:before="0" w:after="0"/>
              <w:rPr>
                <w:rFonts w:ascii="EB Garamond" w:hAnsi="EB Garamond"/>
                <w:sz w:val="17"/>
              </w:rPr>
            </w:pPr>
            <w:r>
              <w:rPr>
                <w:rFonts w:ascii="EB Garamond" w:hAnsi="EB Garamond" w:cs="EB Garamond"/>
                <w:sz w:val="17"/>
                <w:szCs w:val="17"/>
              </w:rPr>
              <w:t xml:space="preserve">Piety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Divine Mandate: Faith +2.</w:t>
            </w:r>
          </w:p>
        </w:tc>
        <w:tc>
          <w:tcPr>
            <w:tcW w:w="2386" w:type="dxa"/>
          </w:tcPr>
          <w:p>
            <w:pPr>
              <w:spacing w:before="0" w:after="0"/>
              <w:rPr>
                <w:rFonts w:ascii="EB Garamond" w:hAnsi="EB Garamond"/>
                <w:sz w:val="17"/>
              </w:rPr>
            </w:pPr>
            <w:r>
              <w:rPr>
                <w:rFonts w:ascii="EB Garamond" w:hAnsi="EB Garamond" w:cs="EB Garamond"/>
                <w:sz w:val="17"/>
                <w:szCs w:val="17"/>
              </w:rPr>
              <w:t xml:space="preserve">Prophet of Retribution: All other players gain Doubt +2 while your Public Order is positive.</w:t>
            </w:r>
          </w:p>
        </w:tc>
        <w:tc>
          <w:tcPr>
            <w:tcW w:w="2518" w:type="dxa"/>
          </w:tcPr>
          <w:p>
            <w:pPr>
              <w:spacing w:before="0" w:after="0"/>
              <w:rPr>
                <w:rFonts w:ascii="EB Garamond" w:hAnsi="EB Garamond"/>
                <w:sz w:val="17"/>
              </w:rPr>
            </w:pPr>
            <w:r>
              <w:rPr>
                <w:rFonts w:ascii="EB Garamond" w:hAnsi="EB Garamond" w:cs="EB Garamond"/>
                <w:sz w:val="17"/>
                <w:szCs w:val="17"/>
              </w:rPr>
              <w:t xml:space="preserve">Pillar of Faith: If your Public Order would go below 3, set it to 3. May use the Crusade action.</w:t>
            </w:r>
          </w:p>
        </w:tc>
      </w:tr>
      <w:tr>
        <w:tc>
          <w:tcPr>
            <w:tcW w:w="2032"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4"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386" w:type="dxa"/>
          </w:tcPr>
          <w:p>
            <w:pPr>
              <w:spacing w:before="0" w:after="0"/>
              <w:rPr>
                <w:rFonts w:ascii="EB Garamond" w:hAnsi="EB Garamond"/>
                <w:sz w:val="17"/>
              </w:rPr>
            </w:pPr>
            <w:r>
              <w:rPr>
                <w:rFonts w:ascii="EB Garamond" w:hAnsi="EB Garamond" w:cs="EB Garamond"/>
                <w:sz w:val="17"/>
                <w:szCs w:val="17"/>
              </w:rPr>
              <w:t xml:space="preserve">3</w:t>
            </w:r>
          </w:p>
        </w:tc>
        <w:tc>
          <w:tcPr>
            <w:tcW w:w="2518" w:type="dxa"/>
          </w:tcPr>
          <w:p>
            <w:pPr>
              <w:spacing w:before="0" w:after="0"/>
              <w:rPr>
                <w:rFonts w:ascii="EB Garamond" w:hAnsi="EB Garamond"/>
                <w:sz w:val="17"/>
              </w:rPr>
            </w:pPr>
            <w:r>
              <w:rPr>
                <w:rFonts w:ascii="EB Garamond" w:hAnsi="EB Garamond" w:cs="EB Garamond"/>
                <w:sz w:val="17"/>
                <w:szCs w:val="17"/>
              </w:rPr>
              <w:t xml:space="preserve">4</w:t>
            </w:r>
          </w:p>
        </w:tc>
      </w:tr>
      <w:tr>
        <w:tc>
          <w:tcPr>
            <w:tcW w:w="2032"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4" w:type="dxa"/>
          </w:tcPr>
          <w:p>
            <w:pPr>
              <w:spacing w:before="0" w:after="0"/>
              <w:rPr>
                <w:rFonts w:ascii="EB Garamond" w:hAnsi="EB Garamond"/>
                <w:sz w:val="17"/>
              </w:rPr>
            </w:pPr>
            <w:r>
              <w:rPr>
                <w:rFonts w:ascii="EB Garamond" w:hAnsi="EB Garamond" w:cs="EB Garamond"/>
                <w:sz w:val="17"/>
                <w:szCs w:val="17"/>
              </w:rPr>
              <w:t xml:space="preserve">0</w:t>
            </w:r>
          </w:p>
        </w:tc>
        <w:tc>
          <w:tcPr>
            <w:tcW w:w="2386"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518" w:type="dxa"/>
          </w:tcPr>
          <w:p>
            <w:pPr>
              <w:spacing w:before="0" w:after="0"/>
              <w:rPr>
                <w:rFonts w:ascii="EB Garamond" w:hAnsi="EB Garamond"/>
                <w:sz w:val="17"/>
              </w:rPr>
            </w:pPr>
            <w:r>
              <w:rPr>
                <w:rFonts w:ascii="EB Garamond" w:hAnsi="EB Garamond" w:cs="EB Garamond"/>
                <w:sz w:val="17"/>
                <w:szCs w:val="17"/>
              </w:rPr>
              <w:t xml:space="preserve">3</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0</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 (exception: Masters of Duplicity).</w:t>
      </w:r>
    </w:p>
    <w:p>
      <w:pPr>
        <w:pStyle w:val="ListBullet"/>
        <w:rPr>
          <w:rFonts w:ascii="EB Garamond" w:hAnsi="EB Garamond"/>
          <w:sz w:val="17"/>
        </w:rPr>
      </w:pPr>
      <w:r>
        <w:rPr>
          <w:rFonts w:ascii="EB Garamond" w:hAnsi="EB Garamond"/>
          <w:sz w:val="20"/>
        </w:rPr>
        <w:t xml:space="preserve">An alliance may cast out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42"/>
        <w:gridCol w:w="1372"/>
        <w:gridCol w:w="1372"/>
        <w:gridCol w:w="847"/>
        <w:gridCol w:w="952"/>
        <w:gridCol w:w="847"/>
        <w:gridCol w:w="847"/>
        <w:gridCol w:w="847"/>
        <w:gridCol w:w="2640"/>
      </w:tblGrid>
      <w:tr>
        <w:trPr>
          <w:tblHeader/>
        </w:trPr>
        <w:tc>
          <w:tcPr>
            <w:tcW w:w="742" w:type="dxa"/>
          </w:tcPr>
          <w:p>
            <w:pPr>
              <w:spacing w:before="0" w:after="0"/>
              <w:rPr>
                <w:rFonts w:ascii="EB Garamond" w:hAnsi="EB Garamond"/>
                <w:sz w:val="17"/>
              </w:rPr>
            </w:pPr>
            <w:r>
              <w:rPr>
                <w:rFonts w:ascii="EB Garamond" w:hAnsi="EB Garamond" w:cs="EB Garamond"/>
                <w:b/>
                <w:bCs/>
                <w:sz w:val="17"/>
                <w:szCs w:val="17"/>
              </w:rPr>
              <w:t xml:space="preserve">Tier</w:t>
            </w:r>
          </w:p>
        </w:tc>
        <w:tc>
          <w:tcPr>
            <w:tcW w:w="1372"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1372" w:type="dxa"/>
          </w:tcPr>
          <w:p>
            <w:pPr>
              <w:spacing w:before="0" w:after="0"/>
              <w:rPr>
                <w:rFonts w:ascii="EB Garamond" w:hAnsi="EB Garamond"/>
                <w:sz w:val="17"/>
              </w:rPr>
            </w:pPr>
            <w:r>
              <w:rPr>
                <w:rFonts w:ascii="EB Garamond" w:hAnsi="EB Garamond" w:cs="EB Garamond"/>
                <w:b/>
                <w:bCs/>
                <w:sz w:val="17"/>
                <w:szCs w:val="17"/>
              </w:rPr>
              <w:t xml:space="preserve">Sea</w:t>
            </w:r>
          </w:p>
        </w:tc>
        <w:tc>
          <w:tcPr>
            <w:tcW w:w="847" w:type="dxa"/>
          </w:tcPr>
          <w:p>
            <w:pPr>
              <w:spacing w:before="0" w:after="0"/>
              <w:rPr>
                <w:rFonts w:ascii="EB Garamond" w:hAnsi="EB Garamond"/>
                <w:sz w:val="17"/>
              </w:rPr>
            </w:pPr>
            <w:r>
              <w:rPr>
                <w:rFonts w:ascii="EB Garamond" w:hAnsi="EB Garamond" w:cs="EB Garamond"/>
                <w:b/>
                <w:bCs/>
                <w:sz w:val="17"/>
                <w:szCs w:val="17"/>
              </w:rPr>
              <w:t xml:space="preserve">Tax</w:t>
            </w:r>
          </w:p>
        </w:tc>
        <w:tc>
          <w:tcPr>
            <w:tcW w:w="952"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47" w:type="dxa"/>
          </w:tcPr>
          <w:p>
            <w:pPr>
              <w:spacing w:before="0" w:after="0"/>
              <w:rPr>
                <w:rFonts w:ascii="EB Garamond" w:hAnsi="EB Garamond"/>
                <w:sz w:val="17"/>
              </w:rPr>
            </w:pPr>
            <w:r>
              <w:rPr>
                <w:rFonts w:ascii="EB Garamond" w:hAnsi="EB Garamond" w:cs="EB Garamond"/>
                <w:b/>
                <w:bCs/>
                <w:sz w:val="17"/>
                <w:szCs w:val="17"/>
              </w:rPr>
              <w:t xml:space="preserve">Build</w:t>
            </w:r>
          </w:p>
        </w:tc>
        <w:tc>
          <w:tcPr>
            <w:tcW w:w="847" w:type="dxa"/>
          </w:tcPr>
          <w:p>
            <w:pPr>
              <w:spacing w:before="0" w:after="0"/>
              <w:rPr>
                <w:rFonts w:ascii="EB Garamond" w:hAnsi="EB Garamond"/>
                <w:sz w:val="17"/>
              </w:rPr>
            </w:pPr>
            <w:r>
              <w:rPr>
                <w:rFonts w:ascii="EB Garamond" w:hAnsi="EB Garamond" w:cs="EB Garamond"/>
                <w:b/>
                <w:bCs/>
                <w:sz w:val="17"/>
                <w:szCs w:val="17"/>
              </w:rPr>
              <w:t xml:space="preserve">Wards</w:t>
            </w:r>
          </w:p>
        </w:tc>
        <w:tc>
          <w:tcPr>
            <w:tcW w:w="847" w:type="dxa"/>
          </w:tcPr>
          <w:p>
            <w:pPr>
              <w:spacing w:before="0" w:after="0"/>
              <w:rPr>
                <w:rFonts w:ascii="EB Garamond" w:hAnsi="EB Garamond"/>
                <w:sz w:val="17"/>
              </w:rPr>
            </w:pPr>
            <w:r>
              <w:rPr>
                <w:rFonts w:ascii="EB Garamond" w:hAnsi="EB Garamond" w:cs="EB Garamond"/>
                <w:b/>
                <w:bCs/>
                <w:sz w:val="17"/>
                <w:szCs w:val="17"/>
              </w:rPr>
              <w:t xml:space="preserve">Reach</w:t>
            </w:r>
          </w:p>
        </w:tc>
        <w:tc>
          <w:tcPr>
            <w:tcW w:w="2640"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42" w:type="dxa"/>
          </w:tcPr>
          <w:p>
            <w:pPr>
              <w:spacing w:before="0" w:after="0"/>
              <w:rPr>
                <w:rFonts w:ascii="EB Garamond" w:hAnsi="EB Garamond"/>
                <w:sz w:val="17"/>
              </w:rPr>
            </w:pPr>
            <w:r>
              <w:rPr>
                <w:rFonts w:ascii="EB Garamond" w:hAnsi="EB Garamond" w:cs="EB Garamond"/>
                <w:sz w:val="17"/>
                <w:szCs w:val="17"/>
              </w:rPr>
              <w:t xml:space="preserve">0</w:t>
            </w:r>
          </w:p>
        </w:tc>
        <w:tc>
          <w:tcPr>
            <w:tcW w:w="1372" w:type="dxa"/>
          </w:tcPr>
          <w:p>
            <w:pPr>
              <w:spacing w:before="0" w:after="0"/>
              <w:rPr>
                <w:rFonts w:ascii="EB Garamond" w:hAnsi="EB Garamond"/>
                <w:sz w:val="17"/>
              </w:rPr>
            </w:pPr>
            <w:r>
              <w:rPr>
                <w:rFonts w:ascii="EB Garamond" w:hAnsi="EB Garamond" w:cs="EB Garamond"/>
                <w:sz w:val="17"/>
                <w:szCs w:val="17"/>
              </w:rPr>
              <w:t xml:space="preserve">Hamlet</w:t>
            </w:r>
          </w:p>
        </w:tc>
        <w:tc>
          <w:tcPr>
            <w:tcW w:w="1372" w:type="dxa"/>
          </w:tcPr>
          <w:p>
            <w:pPr>
              <w:spacing w:before="0" w:after="0"/>
              <w:rPr>
                <w:rFonts w:ascii="EB Garamond" w:hAnsi="EB Garamond"/>
                <w:sz w:val="17"/>
              </w:rPr>
            </w:pPr>
            <w:r>
              <w:rPr>
                <w:rFonts w:ascii="EB Garamond" w:hAnsi="EB Garamond" w:cs="EB Garamond"/>
                <w:sz w:val="17"/>
                <w:szCs w:val="17"/>
              </w:rPr>
              <w:t xml:space="preserve">None</w:t>
            </w:r>
          </w:p>
        </w:tc>
        <w:tc>
          <w:tcPr>
            <w:tcW w:w="847" w:type="dxa"/>
          </w:tcPr>
          <w:p>
            <w:pPr>
              <w:spacing w:before="0" w:after="0"/>
              <w:rPr>
                <w:rFonts w:ascii="EB Garamond" w:hAnsi="EB Garamond"/>
                <w:sz w:val="17"/>
              </w:rPr>
            </w:pPr>
            <w:r>
              <w:rPr>
                <w:rFonts w:ascii="EB Garamond" w:hAnsi="EB Garamond" w:cs="EB Garamond"/>
                <w:sz w:val="17"/>
                <w:szCs w:val="17"/>
              </w:rPr>
              <w:t xml:space="preserve">0</w:t>
            </w:r>
          </w:p>
        </w:tc>
        <w:tc>
          <w:tcPr>
            <w:tcW w:w="952" w:type="dxa"/>
          </w:tcPr>
          <w:p>
            <w:pPr>
              <w:spacing w:before="0" w:after="0"/>
              <w:rPr>
                <w:rFonts w:ascii="EB Garamond" w:hAnsi="EB Garamond"/>
                <w:sz w:val="17"/>
              </w:rPr>
            </w:pPr>
            <w:r>
              <w:rPr>
                <w:rFonts w:ascii="EB Garamond" w:hAnsi="EB Garamond" w:cs="EB Garamond"/>
                <w:sz w:val="17"/>
                <w:szCs w:val="17"/>
              </w:rPr>
              <w:t xml:space="preserve">0</w:t>
            </w:r>
          </w:p>
        </w:tc>
        <w:tc>
          <w:tcPr>
            <w:tcW w:w="847" w:type="dxa"/>
          </w:tcPr>
          <w:p>
            <w:pPr>
              <w:spacing w:before="0" w:after="0"/>
              <w:rPr>
                <w:rFonts w:ascii="EB Garamond" w:hAnsi="EB Garamond"/>
                <w:sz w:val="17"/>
              </w:rPr>
            </w:pPr>
            <w:r>
              <w:rPr>
                <w:rFonts w:ascii="EB Garamond" w:hAnsi="EB Garamond" w:cs="EB Garamond"/>
                <w:sz w:val="17"/>
                <w:szCs w:val="17"/>
              </w:rPr>
              <w:t xml:space="preserve">1</w:t>
            </w:r>
          </w:p>
        </w:tc>
        <w:tc>
          <w:tcPr>
            <w:tcW w:w="847" w:type="dxa"/>
          </w:tcPr>
          <w:p>
            <w:pPr>
              <w:spacing w:before="0" w:after="0"/>
              <w:rPr>
                <w:rFonts w:ascii="EB Garamond" w:hAnsi="EB Garamond"/>
                <w:sz w:val="17"/>
              </w:rPr>
            </w:pPr>
            <w:r>
              <w:rPr>
                <w:rFonts w:ascii="EB Garamond" w:hAnsi="EB Garamond" w:cs="EB Garamond"/>
                <w:sz w:val="17"/>
                <w:szCs w:val="17"/>
              </w:rPr>
              <w:t xml:space="preserve">3</w:t>
            </w:r>
          </w:p>
        </w:tc>
        <w:tc>
          <w:tcPr>
            <w:tcW w:w="847" w:type="dxa"/>
          </w:tcPr>
          <w:p>
            <w:pPr>
              <w:spacing w:before="0" w:after="0"/>
              <w:rPr>
                <w:rFonts w:ascii="EB Garamond" w:hAnsi="EB Garamond"/>
                <w:sz w:val="17"/>
              </w:rPr>
            </w:pPr>
            <w:r>
              <w:rPr>
                <w:rFonts w:ascii="EB Garamond" w:hAnsi="EB Garamond" w:cs="EB Garamond"/>
                <w:sz w:val="17"/>
                <w:szCs w:val="17"/>
              </w:rPr>
              <w:t xml:space="preserve">1</w:t>
            </w:r>
          </w:p>
        </w:tc>
        <w:tc>
          <w:tcPr>
            <w:tcW w:w="2640"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42" w:type="dxa"/>
          </w:tcPr>
          <w:p>
            <w:pPr>
              <w:spacing w:before="0" w:after="0"/>
              <w:rPr>
                <w:rFonts w:ascii="EB Garamond" w:hAnsi="EB Garamond"/>
                <w:sz w:val="17"/>
              </w:rPr>
            </w:pPr>
            <w:r>
              <w:rPr>
                <w:rFonts w:ascii="EB Garamond" w:hAnsi="EB Garamond" w:cs="EB Garamond"/>
                <w:sz w:val="17"/>
                <w:szCs w:val="17"/>
              </w:rPr>
              <w:t xml:space="preserve">1</w:t>
            </w:r>
          </w:p>
        </w:tc>
        <w:tc>
          <w:tcPr>
            <w:tcW w:w="1372" w:type="dxa"/>
          </w:tcPr>
          <w:p>
            <w:pPr>
              <w:spacing w:before="0" w:after="0"/>
              <w:rPr>
                <w:rFonts w:ascii="EB Garamond" w:hAnsi="EB Garamond"/>
                <w:sz w:val="17"/>
              </w:rPr>
            </w:pPr>
            <w:r>
              <w:rPr>
                <w:rFonts w:ascii="EB Garamond" w:hAnsi="EB Garamond" w:cs="EB Garamond"/>
                <w:sz w:val="17"/>
                <w:szCs w:val="17"/>
              </w:rPr>
              <w:t xml:space="preserve">Village</w:t>
            </w:r>
          </w:p>
        </w:tc>
        <w:tc>
          <w:tcPr>
            <w:tcW w:w="1372" w:type="dxa"/>
          </w:tcPr>
          <w:p>
            <w:pPr>
              <w:spacing w:before="0" w:after="0"/>
              <w:rPr>
                <w:rFonts w:ascii="EB Garamond" w:hAnsi="EB Garamond"/>
                <w:sz w:val="17"/>
              </w:rPr>
            </w:pPr>
            <w:r>
              <w:rPr>
                <w:rFonts w:ascii="EB Garamond" w:hAnsi="EB Garamond" w:cs="EB Garamond"/>
                <w:sz w:val="17"/>
                <w:szCs w:val="17"/>
              </w:rPr>
              <w:t xml:space="preserve">None</w:t>
            </w:r>
          </w:p>
        </w:tc>
        <w:tc>
          <w:tcPr>
            <w:tcW w:w="847" w:type="dxa"/>
          </w:tcPr>
          <w:p>
            <w:pPr>
              <w:spacing w:before="0" w:after="0"/>
              <w:rPr>
                <w:rFonts w:ascii="EB Garamond" w:hAnsi="EB Garamond"/>
                <w:sz w:val="17"/>
              </w:rPr>
            </w:pPr>
            <w:r>
              <w:rPr>
                <w:rFonts w:ascii="EB Garamond" w:hAnsi="EB Garamond" w:cs="EB Garamond"/>
                <w:sz w:val="17"/>
                <w:szCs w:val="17"/>
              </w:rPr>
              <w:t xml:space="preserve">2000</w:t>
            </w:r>
          </w:p>
        </w:tc>
        <w:tc>
          <w:tcPr>
            <w:tcW w:w="952" w:type="dxa"/>
          </w:tcPr>
          <w:p>
            <w:pPr>
              <w:spacing w:before="0" w:after="0"/>
              <w:rPr>
                <w:rFonts w:ascii="EB Garamond" w:hAnsi="EB Garamond"/>
                <w:sz w:val="17"/>
              </w:rPr>
            </w:pPr>
            <w:r>
              <w:rPr>
                <w:rFonts w:ascii="EB Garamond" w:hAnsi="EB Garamond" w:cs="EB Garamond"/>
                <w:sz w:val="17"/>
                <w:szCs w:val="17"/>
              </w:rPr>
              <w:t xml:space="preserve">5</w:t>
            </w:r>
          </w:p>
        </w:tc>
        <w:tc>
          <w:tcPr>
            <w:tcW w:w="847" w:type="dxa"/>
          </w:tcPr>
          <w:p>
            <w:pPr>
              <w:spacing w:before="0" w:after="0"/>
              <w:rPr>
                <w:rFonts w:ascii="EB Garamond" w:hAnsi="EB Garamond"/>
                <w:sz w:val="17"/>
              </w:rPr>
            </w:pPr>
            <w:r>
              <w:rPr>
                <w:rFonts w:ascii="EB Garamond" w:hAnsi="EB Garamond" w:cs="EB Garamond"/>
                <w:sz w:val="17"/>
                <w:szCs w:val="17"/>
              </w:rPr>
              <w:t xml:space="preserve">1</w:t>
            </w:r>
          </w:p>
        </w:tc>
        <w:tc>
          <w:tcPr>
            <w:tcW w:w="847" w:type="dxa"/>
          </w:tcPr>
          <w:p>
            <w:pPr>
              <w:spacing w:before="0" w:after="0"/>
              <w:rPr>
                <w:rFonts w:ascii="EB Garamond" w:hAnsi="EB Garamond"/>
                <w:sz w:val="17"/>
              </w:rPr>
            </w:pPr>
            <w:r>
              <w:rPr>
                <w:rFonts w:ascii="EB Garamond" w:hAnsi="EB Garamond" w:cs="EB Garamond"/>
                <w:sz w:val="17"/>
                <w:szCs w:val="17"/>
              </w:rPr>
              <w:t xml:space="preserve">1</w:t>
            </w:r>
          </w:p>
        </w:tc>
        <w:tc>
          <w:tcPr>
            <w:tcW w:w="847" w:type="dxa"/>
          </w:tcPr>
          <w:p>
            <w:pPr>
              <w:spacing w:before="0" w:after="0"/>
              <w:rPr>
                <w:rFonts w:ascii="EB Garamond" w:hAnsi="EB Garamond"/>
                <w:sz w:val="17"/>
              </w:rPr>
            </w:pPr>
            <w:r>
              <w:rPr>
                <w:rFonts w:ascii="EB Garamond" w:hAnsi="EB Garamond" w:cs="EB Garamond"/>
                <w:sz w:val="17"/>
                <w:szCs w:val="17"/>
              </w:rPr>
              <w:t xml:space="preserve">1</w:t>
            </w:r>
          </w:p>
        </w:tc>
        <w:tc>
          <w:tcPr>
            <w:tcW w:w="2640" w:type="dxa"/>
          </w:tcPr>
          <w:p>
            <w:pPr>
              <w:spacing w:before="0" w:after="0"/>
              <w:rPr>
                <w:rFonts w:ascii="EB Garamond" w:hAnsi="EB Garamond"/>
                <w:sz w:val="17"/>
              </w:rPr>
            </w:pPr>
            <w:r>
              <w:rPr>
                <w:rFonts w:ascii="EB Garamond" w:hAnsi="EB Garamond" w:cs="EB Garamond"/>
                <w:sz w:val="17"/>
                <w:szCs w:val="17"/>
              </w:rPr>
              <w:t xml:space="preserve">—</w:t>
            </w:r>
          </w:p>
        </w:tc>
      </w:tr>
      <w:tr>
        <w:tc>
          <w:tcPr>
            <w:tcW w:w="742" w:type="dxa"/>
          </w:tcPr>
          <w:p>
            <w:pPr>
              <w:spacing w:before="0" w:after="0"/>
              <w:rPr>
                <w:rFonts w:ascii="EB Garamond" w:hAnsi="EB Garamond"/>
                <w:sz w:val="17"/>
              </w:rPr>
            </w:pPr>
            <w:r>
              <w:rPr>
                <w:rFonts w:ascii="EB Garamond" w:hAnsi="EB Garamond" w:cs="EB Garamond"/>
                <w:sz w:val="17"/>
                <w:szCs w:val="17"/>
              </w:rPr>
              <w:t xml:space="preserve">2</w:t>
            </w:r>
          </w:p>
        </w:tc>
        <w:tc>
          <w:tcPr>
            <w:tcW w:w="1372" w:type="dxa"/>
          </w:tcPr>
          <w:p>
            <w:pPr>
              <w:spacing w:before="0" w:after="0"/>
              <w:rPr>
                <w:rFonts w:ascii="EB Garamond" w:hAnsi="EB Garamond"/>
                <w:sz w:val="17"/>
              </w:rPr>
            </w:pPr>
            <w:r>
              <w:rPr>
                <w:rFonts w:ascii="EB Garamond" w:hAnsi="EB Garamond" w:cs="EB Garamond"/>
                <w:sz w:val="17"/>
                <w:szCs w:val="17"/>
              </w:rPr>
              <w:t xml:space="preserve">Town</w:t>
            </w:r>
          </w:p>
        </w:tc>
        <w:tc>
          <w:tcPr>
            <w:tcW w:w="1372" w:type="dxa"/>
          </w:tcPr>
          <w:p>
            <w:pPr>
              <w:spacing w:before="0" w:after="0"/>
              <w:rPr>
                <w:rFonts w:ascii="EB Garamond" w:hAnsi="EB Garamond"/>
                <w:sz w:val="17"/>
              </w:rPr>
            </w:pPr>
            <w:r>
              <w:rPr>
                <w:rFonts w:ascii="EB Garamond" w:hAnsi="EB Garamond" w:cs="EB Garamond"/>
                <w:sz w:val="17"/>
                <w:szCs w:val="17"/>
              </w:rPr>
              <w:t xml:space="preserve">Sea Town</w:t>
            </w:r>
          </w:p>
        </w:tc>
        <w:tc>
          <w:tcPr>
            <w:tcW w:w="847" w:type="dxa"/>
          </w:tcPr>
          <w:p>
            <w:pPr>
              <w:spacing w:before="0" w:after="0"/>
              <w:rPr>
                <w:rFonts w:ascii="EB Garamond" w:hAnsi="EB Garamond"/>
                <w:sz w:val="17"/>
              </w:rPr>
            </w:pPr>
            <w:r>
              <w:rPr>
                <w:rFonts w:ascii="EB Garamond" w:hAnsi="EB Garamond" w:cs="EB Garamond"/>
                <w:sz w:val="17"/>
                <w:szCs w:val="17"/>
              </w:rPr>
              <w:t xml:space="preserve">4000</w:t>
            </w:r>
          </w:p>
        </w:tc>
        <w:tc>
          <w:tcPr>
            <w:tcW w:w="952" w:type="dxa"/>
          </w:tcPr>
          <w:p>
            <w:pPr>
              <w:spacing w:before="0" w:after="0"/>
              <w:rPr>
                <w:rFonts w:ascii="EB Garamond" w:hAnsi="EB Garamond"/>
                <w:sz w:val="17"/>
              </w:rPr>
            </w:pPr>
            <w:r>
              <w:rPr>
                <w:rFonts w:ascii="EB Garamond" w:hAnsi="EB Garamond" w:cs="EB Garamond"/>
                <w:sz w:val="17"/>
                <w:szCs w:val="17"/>
              </w:rPr>
              <w:t xml:space="preserve">10</w:t>
            </w:r>
          </w:p>
        </w:tc>
        <w:tc>
          <w:tcPr>
            <w:tcW w:w="847" w:type="dxa"/>
          </w:tcPr>
          <w:p>
            <w:pPr>
              <w:spacing w:before="0" w:after="0"/>
              <w:rPr>
                <w:rFonts w:ascii="EB Garamond" w:hAnsi="EB Garamond"/>
                <w:sz w:val="17"/>
              </w:rPr>
            </w:pPr>
            <w:r>
              <w:rPr>
                <w:rFonts w:ascii="EB Garamond" w:hAnsi="EB Garamond" w:cs="EB Garamond"/>
                <w:sz w:val="17"/>
                <w:szCs w:val="17"/>
              </w:rPr>
              <w:t xml:space="preserve">2</w:t>
            </w:r>
          </w:p>
        </w:tc>
        <w:tc>
          <w:tcPr>
            <w:tcW w:w="847" w:type="dxa"/>
          </w:tcPr>
          <w:p>
            <w:pPr>
              <w:spacing w:before="0" w:after="0"/>
              <w:rPr>
                <w:rFonts w:ascii="EB Garamond" w:hAnsi="EB Garamond"/>
                <w:sz w:val="17"/>
              </w:rPr>
            </w:pPr>
            <w:r>
              <w:rPr>
                <w:rFonts w:ascii="EB Garamond" w:hAnsi="EB Garamond" w:cs="EB Garamond"/>
                <w:sz w:val="17"/>
                <w:szCs w:val="17"/>
              </w:rPr>
              <w:t xml:space="preserve">2</w:t>
            </w:r>
          </w:p>
        </w:tc>
        <w:tc>
          <w:tcPr>
            <w:tcW w:w="847" w:type="dxa"/>
          </w:tcPr>
          <w:p>
            <w:pPr>
              <w:spacing w:before="0" w:after="0"/>
              <w:rPr>
                <w:rFonts w:ascii="EB Garamond" w:hAnsi="EB Garamond"/>
                <w:sz w:val="17"/>
              </w:rPr>
            </w:pPr>
            <w:r>
              <w:rPr>
                <w:rFonts w:ascii="EB Garamond" w:hAnsi="EB Garamond" w:cs="EB Garamond"/>
                <w:sz w:val="17"/>
                <w:szCs w:val="17"/>
              </w:rPr>
              <w:t xml:space="preserve">2</w:t>
            </w:r>
          </w:p>
        </w:tc>
        <w:tc>
          <w:tcPr>
            <w:tcW w:w="2640" w:type="dxa"/>
          </w:tcPr>
          <w:p>
            <w:pPr>
              <w:spacing w:before="0" w:after="0"/>
              <w:rPr>
                <w:rFonts w:ascii="EB Garamond" w:hAnsi="EB Garamond"/>
                <w:sz w:val="17"/>
              </w:rPr>
            </w:pPr>
            <w:r>
              <w:rPr>
                <w:rFonts w:ascii="EB Garamond" w:hAnsi="EB Garamond" w:cs="EB Garamond"/>
                <w:sz w:val="17"/>
                <w:szCs w:val="17"/>
              </w:rPr>
              <w:t xml:space="preserve">—</w:t>
            </w:r>
          </w:p>
        </w:tc>
      </w:tr>
      <w:tr>
        <w:tc>
          <w:tcPr>
            <w:tcW w:w="742" w:type="dxa"/>
          </w:tcPr>
          <w:p>
            <w:pPr>
              <w:spacing w:before="0" w:after="0"/>
              <w:rPr>
                <w:rFonts w:ascii="EB Garamond" w:hAnsi="EB Garamond"/>
                <w:sz w:val="17"/>
              </w:rPr>
            </w:pPr>
            <w:r>
              <w:rPr>
                <w:rFonts w:ascii="EB Garamond" w:hAnsi="EB Garamond" w:cs="EB Garamond"/>
                <w:sz w:val="17"/>
                <w:szCs w:val="17"/>
              </w:rPr>
              <w:t xml:space="preserve">3</w:t>
            </w:r>
          </w:p>
        </w:tc>
        <w:tc>
          <w:tcPr>
            <w:tcW w:w="1372" w:type="dxa"/>
          </w:tcPr>
          <w:p>
            <w:pPr>
              <w:spacing w:before="0" w:after="0"/>
              <w:rPr>
                <w:rFonts w:ascii="EB Garamond" w:hAnsi="EB Garamond"/>
                <w:sz w:val="17"/>
              </w:rPr>
            </w:pPr>
            <w:r>
              <w:rPr>
                <w:rFonts w:ascii="EB Garamond" w:hAnsi="EB Garamond" w:cs="EB Garamond"/>
                <w:sz w:val="17"/>
                <w:szCs w:val="17"/>
              </w:rPr>
              <w:t xml:space="preserve">City</w:t>
            </w:r>
          </w:p>
        </w:tc>
        <w:tc>
          <w:tcPr>
            <w:tcW w:w="1372" w:type="dxa"/>
          </w:tcPr>
          <w:p>
            <w:pPr>
              <w:spacing w:before="0" w:after="0"/>
              <w:rPr>
                <w:rFonts w:ascii="EB Garamond" w:hAnsi="EB Garamond"/>
                <w:sz w:val="17"/>
              </w:rPr>
            </w:pPr>
            <w:r>
              <w:rPr>
                <w:rFonts w:ascii="EB Garamond" w:hAnsi="EB Garamond" w:cs="EB Garamond"/>
                <w:sz w:val="17"/>
                <w:szCs w:val="17"/>
              </w:rPr>
              <w:t xml:space="preserve">Port</w:t>
            </w:r>
          </w:p>
        </w:tc>
        <w:tc>
          <w:tcPr>
            <w:tcW w:w="847" w:type="dxa"/>
          </w:tcPr>
          <w:p>
            <w:pPr>
              <w:spacing w:before="0" w:after="0"/>
              <w:rPr>
                <w:rFonts w:ascii="EB Garamond" w:hAnsi="EB Garamond"/>
                <w:sz w:val="17"/>
              </w:rPr>
            </w:pPr>
            <w:r>
              <w:rPr>
                <w:rFonts w:ascii="EB Garamond" w:hAnsi="EB Garamond" w:cs="EB Garamond"/>
                <w:sz w:val="17"/>
                <w:szCs w:val="17"/>
              </w:rPr>
              <w:t xml:space="preserve">6000</w:t>
            </w:r>
          </w:p>
        </w:tc>
        <w:tc>
          <w:tcPr>
            <w:tcW w:w="952" w:type="dxa"/>
          </w:tcPr>
          <w:p>
            <w:pPr>
              <w:spacing w:before="0" w:after="0"/>
              <w:rPr>
                <w:rFonts w:ascii="EB Garamond" w:hAnsi="EB Garamond"/>
                <w:sz w:val="17"/>
              </w:rPr>
            </w:pPr>
            <w:r>
              <w:rPr>
                <w:rFonts w:ascii="EB Garamond" w:hAnsi="EB Garamond" w:cs="EB Garamond"/>
                <w:sz w:val="17"/>
                <w:szCs w:val="17"/>
              </w:rPr>
              <w:t xml:space="preserve">25</w:t>
            </w:r>
          </w:p>
        </w:tc>
        <w:tc>
          <w:tcPr>
            <w:tcW w:w="847" w:type="dxa"/>
          </w:tcPr>
          <w:p>
            <w:pPr>
              <w:spacing w:before="0" w:after="0"/>
              <w:rPr>
                <w:rFonts w:ascii="EB Garamond" w:hAnsi="EB Garamond"/>
                <w:sz w:val="17"/>
              </w:rPr>
            </w:pPr>
            <w:r>
              <w:rPr>
                <w:rFonts w:ascii="EB Garamond" w:hAnsi="EB Garamond" w:cs="EB Garamond"/>
                <w:sz w:val="17"/>
                <w:szCs w:val="17"/>
              </w:rPr>
              <w:t xml:space="preserve">3</w:t>
            </w:r>
          </w:p>
        </w:tc>
        <w:tc>
          <w:tcPr>
            <w:tcW w:w="847" w:type="dxa"/>
          </w:tcPr>
          <w:p>
            <w:pPr>
              <w:spacing w:before="0" w:after="0"/>
              <w:rPr>
                <w:rFonts w:ascii="EB Garamond" w:hAnsi="EB Garamond"/>
                <w:sz w:val="17"/>
              </w:rPr>
            </w:pPr>
            <w:r>
              <w:rPr>
                <w:rFonts w:ascii="EB Garamond" w:hAnsi="EB Garamond" w:cs="EB Garamond"/>
                <w:sz w:val="17"/>
                <w:szCs w:val="17"/>
              </w:rPr>
              <w:t xml:space="preserve">3</w:t>
            </w:r>
          </w:p>
        </w:tc>
        <w:tc>
          <w:tcPr>
            <w:tcW w:w="847" w:type="dxa"/>
          </w:tcPr>
          <w:p>
            <w:pPr>
              <w:spacing w:before="0" w:after="0"/>
              <w:rPr>
                <w:rFonts w:ascii="EB Garamond" w:hAnsi="EB Garamond"/>
                <w:sz w:val="17"/>
              </w:rPr>
            </w:pPr>
            <w:r>
              <w:rPr>
                <w:rFonts w:ascii="EB Garamond" w:hAnsi="EB Garamond" w:cs="EB Garamond"/>
                <w:sz w:val="17"/>
                <w:szCs w:val="17"/>
              </w:rPr>
              <w:t xml:space="preserve">3</w:t>
            </w:r>
          </w:p>
        </w:tc>
        <w:tc>
          <w:tcPr>
            <w:tcW w:w="2640" w:type="dxa"/>
          </w:tcPr>
          <w:p>
            <w:pPr>
              <w:spacing w:before="0" w:after="0"/>
              <w:rPr>
                <w:rFonts w:ascii="EB Garamond" w:hAnsi="EB Garamond"/>
                <w:sz w:val="17"/>
              </w:rPr>
            </w:pPr>
            <w:r>
              <w:rPr>
                <w:rFonts w:ascii="EB Garamond" w:hAnsi="EB Garamond" w:cs="EB Garamond"/>
                <w:sz w:val="17"/>
                <w:szCs w:val="17"/>
              </w:rPr>
              <w:t xml:space="preserve">—</w:t>
            </w:r>
          </w:p>
        </w:tc>
      </w:tr>
      <w:tr>
        <w:tc>
          <w:tcPr>
            <w:tcW w:w="742" w:type="dxa"/>
          </w:tcPr>
          <w:p>
            <w:pPr>
              <w:spacing w:before="0" w:after="0"/>
              <w:rPr>
                <w:rFonts w:ascii="EB Garamond" w:hAnsi="EB Garamond"/>
                <w:sz w:val="17"/>
              </w:rPr>
            </w:pPr>
            <w:r>
              <w:rPr>
                <w:rFonts w:ascii="EB Garamond" w:hAnsi="EB Garamond" w:cs="EB Garamond"/>
                <w:sz w:val="17"/>
                <w:szCs w:val="17"/>
              </w:rPr>
              <w:t xml:space="preserve">4</w:t>
            </w:r>
          </w:p>
        </w:tc>
        <w:tc>
          <w:tcPr>
            <w:tcW w:w="1372" w:type="dxa"/>
          </w:tcPr>
          <w:p>
            <w:pPr>
              <w:spacing w:before="0" w:after="0"/>
              <w:rPr>
                <w:rFonts w:ascii="EB Garamond" w:hAnsi="EB Garamond"/>
                <w:sz w:val="17"/>
              </w:rPr>
            </w:pPr>
            <w:r>
              <w:rPr>
                <w:rFonts w:ascii="EB Garamond" w:hAnsi="EB Garamond" w:cs="EB Garamond"/>
                <w:sz w:val="17"/>
                <w:szCs w:val="17"/>
              </w:rPr>
              <w:t xml:space="preserve">Metropolis</w:t>
            </w:r>
          </w:p>
        </w:tc>
        <w:tc>
          <w:tcPr>
            <w:tcW w:w="1372" w:type="dxa"/>
          </w:tcPr>
          <w:p>
            <w:pPr>
              <w:spacing w:before="0" w:after="0"/>
              <w:rPr>
                <w:rFonts w:ascii="EB Garamond" w:hAnsi="EB Garamond"/>
                <w:sz w:val="17"/>
              </w:rPr>
            </w:pPr>
            <w:r>
              <w:rPr>
                <w:rFonts w:ascii="EB Garamond" w:hAnsi="EB Garamond" w:cs="EB Garamond"/>
                <w:sz w:val="17"/>
                <w:szCs w:val="17"/>
              </w:rPr>
              <w:t xml:space="preserve">Metropolis</w:t>
            </w:r>
          </w:p>
        </w:tc>
        <w:tc>
          <w:tcPr>
            <w:tcW w:w="847" w:type="dxa"/>
          </w:tcPr>
          <w:p>
            <w:pPr>
              <w:spacing w:before="0" w:after="0"/>
              <w:rPr>
                <w:rFonts w:ascii="EB Garamond" w:hAnsi="EB Garamond"/>
                <w:sz w:val="17"/>
              </w:rPr>
            </w:pPr>
            <w:r>
              <w:rPr>
                <w:rFonts w:ascii="EB Garamond" w:hAnsi="EB Garamond" w:cs="EB Garamond"/>
                <w:sz w:val="17"/>
                <w:szCs w:val="17"/>
              </w:rPr>
              <w:t xml:space="preserve">10000</w:t>
            </w:r>
          </w:p>
        </w:tc>
        <w:tc>
          <w:tcPr>
            <w:tcW w:w="952" w:type="dxa"/>
          </w:tcPr>
          <w:p>
            <w:pPr>
              <w:spacing w:before="0" w:after="0"/>
              <w:rPr>
                <w:rFonts w:ascii="EB Garamond" w:hAnsi="EB Garamond"/>
                <w:sz w:val="17"/>
              </w:rPr>
            </w:pPr>
            <w:r>
              <w:rPr>
                <w:rFonts w:ascii="EB Garamond" w:hAnsi="EB Garamond" w:cs="EB Garamond"/>
                <w:sz w:val="17"/>
                <w:szCs w:val="17"/>
              </w:rPr>
              <w:t xml:space="preserve">25</w:t>
            </w:r>
          </w:p>
        </w:tc>
        <w:tc>
          <w:tcPr>
            <w:tcW w:w="847" w:type="dxa"/>
          </w:tcPr>
          <w:p>
            <w:pPr>
              <w:spacing w:before="0" w:after="0"/>
              <w:rPr>
                <w:rFonts w:ascii="EB Garamond" w:hAnsi="EB Garamond"/>
                <w:sz w:val="17"/>
              </w:rPr>
            </w:pPr>
            <w:r>
              <w:rPr>
                <w:rFonts w:ascii="EB Garamond" w:hAnsi="EB Garamond" w:cs="EB Garamond"/>
                <w:sz w:val="17"/>
                <w:szCs w:val="17"/>
              </w:rPr>
              <w:t xml:space="preserve">5</w:t>
            </w:r>
          </w:p>
        </w:tc>
        <w:tc>
          <w:tcPr>
            <w:tcW w:w="847" w:type="dxa"/>
          </w:tcPr>
          <w:p>
            <w:pPr>
              <w:spacing w:before="0" w:after="0"/>
              <w:rPr>
                <w:rFonts w:ascii="EB Garamond" w:hAnsi="EB Garamond"/>
                <w:sz w:val="17"/>
              </w:rPr>
            </w:pPr>
            <w:r>
              <w:rPr>
                <w:rFonts w:ascii="EB Garamond" w:hAnsi="EB Garamond" w:cs="EB Garamond"/>
                <w:sz w:val="17"/>
                <w:szCs w:val="17"/>
              </w:rPr>
              <w:t xml:space="preserve">4</w:t>
            </w:r>
          </w:p>
        </w:tc>
        <w:tc>
          <w:tcPr>
            <w:tcW w:w="847" w:type="dxa"/>
          </w:tcPr>
          <w:p>
            <w:pPr>
              <w:spacing w:before="0" w:after="0"/>
              <w:rPr>
                <w:rFonts w:ascii="EB Garamond" w:hAnsi="EB Garamond"/>
                <w:sz w:val="17"/>
              </w:rPr>
            </w:pPr>
            <w:r>
              <w:rPr>
                <w:rFonts w:ascii="EB Garamond" w:hAnsi="EB Garamond" w:cs="EB Garamond"/>
                <w:sz w:val="17"/>
                <w:szCs w:val="17"/>
              </w:rPr>
              <w:t xml:space="preserve">4</w:t>
            </w:r>
          </w:p>
        </w:tc>
        <w:tc>
          <w:tcPr>
            <w:tcW w:w="2640"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4"/>
        <w:gridCol w:w="1679"/>
        <w:gridCol w:w="944"/>
        <w:gridCol w:w="1033"/>
        <w:gridCol w:w="2489"/>
        <w:gridCol w:w="2537"/>
      </w:tblGrid>
      <w:tr>
        <w:trPr>
          <w:tblHeader/>
        </w:trPr>
        <w:tc>
          <w:tcPr>
            <w:tcW w:w="1784"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9" w:type="dxa"/>
          </w:tcPr>
          <w:p>
            <w:pPr>
              <w:spacing w:before="0" w:after="0"/>
              <w:rPr>
                <w:rFonts w:ascii="EB Garamond" w:hAnsi="EB Garamond"/>
                <w:sz w:val="17"/>
              </w:rPr>
            </w:pPr>
            <w:r>
              <w:rPr>
                <w:rFonts w:ascii="EB Garamond" w:hAnsi="EB Garamond" w:cs="EB Garamond"/>
                <w:b/>
                <w:bCs/>
                <w:sz w:val="17"/>
                <w:szCs w:val="17"/>
              </w:rPr>
              <w:t xml:space="preserve">Tier</w:t>
            </w:r>
          </w:p>
        </w:tc>
        <w:tc>
          <w:tcPr>
            <w:tcW w:w="944"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33"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89"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37"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4" w:type="dxa"/>
          </w:tcPr>
          <w:p>
            <w:pPr>
              <w:spacing w:before="0" w:after="0"/>
              <w:rPr>
                <w:rFonts w:ascii="EB Garamond" w:hAnsi="EB Garamond"/>
                <w:sz w:val="17"/>
              </w:rPr>
            </w:pPr>
            <w:r>
              <w:rPr>
                <w:rFonts w:ascii="EB Garamond" w:hAnsi="EB Garamond" w:cs="EB Garamond"/>
                <w:sz w:val="17"/>
                <w:szCs w:val="17"/>
              </w:rPr>
              <w:t xml:space="preserve">Dirt Roads</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Can Trade; place Dirt Road Territories in Province; ignore Terrain Speed Modifiers</w:t>
            </w:r>
          </w:p>
        </w:tc>
      </w:tr>
      <w:tr>
        <w:tc>
          <w:tcPr>
            <w:tcW w:w="1784"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4"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4"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4" w:type="dxa"/>
          </w:tcPr>
          <w:p>
            <w:pPr>
              <w:spacing w:before="0" w:after="0"/>
              <w:rPr>
                <w:rFonts w:ascii="EB Garamond" w:hAnsi="EB Garamond"/>
                <w:sz w:val="17"/>
              </w:rPr>
            </w:pPr>
            <w:r>
              <w:rPr>
                <w:rFonts w:ascii="EB Garamond" w:hAnsi="EB Garamond" w:cs="EB Garamond"/>
                <w:sz w:val="17"/>
                <w:szCs w:val="17"/>
              </w:rPr>
              <w:t xml:space="preserve">Stone Roads</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Dirt Roads</w:t>
            </w:r>
          </w:p>
        </w:tc>
        <w:tc>
          <w:tcPr>
            <w:tcW w:w="2537" w:type="dxa"/>
          </w:tcPr>
          <w:p>
            <w:pPr>
              <w:spacing w:before="0" w:after="0"/>
              <w:rPr>
                <w:rFonts w:ascii="EB Garamond" w:hAnsi="EB Garamond"/>
                <w:sz w:val="17"/>
              </w:rPr>
            </w:pPr>
            <w:r>
              <w:rPr>
                <w:rFonts w:ascii="EB Garamond" w:hAnsi="EB Garamond" w:cs="EB Garamond"/>
                <w:sz w:val="17"/>
                <w:szCs w:val="17"/>
              </w:rPr>
              <w:t xml:space="preserve">Ignore Terrain Speed Modifiers; if you start turn on Stone Road gain Speed +2; replaces Dirt Roads</w:t>
            </w:r>
          </w:p>
        </w:tc>
      </w:tr>
      <w:tr>
        <w:tc>
          <w:tcPr>
            <w:tcW w:w="1784" w:type="dxa"/>
          </w:tcPr>
          <w:p>
            <w:pPr>
              <w:spacing w:before="0" w:after="0"/>
              <w:rPr>
                <w:rFonts w:ascii="EB Garamond" w:hAnsi="EB Garamond"/>
                <w:sz w:val="17"/>
              </w:rPr>
            </w:pPr>
            <w:r>
              <w:rPr>
                <w:rFonts w:ascii="EB Garamond" w:hAnsi="EB Garamond" w:cs="EB Garamond"/>
                <w:sz w:val="17"/>
                <w:szCs w:val="17"/>
              </w:rPr>
              <w:t xml:space="preserve">Town Hall</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37"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4" w:type="dxa"/>
          </w:tcPr>
          <w:p>
            <w:pPr>
              <w:spacing w:before="0" w:after="0"/>
              <w:rPr>
                <w:rFonts w:ascii="EB Garamond" w:hAnsi="EB Garamond"/>
                <w:sz w:val="17"/>
              </w:rPr>
            </w:pPr>
            <w:r>
              <w:rPr>
                <w:rFonts w:ascii="EB Garamond" w:hAnsi="EB Garamond" w:cs="EB Garamond"/>
                <w:sz w:val="17"/>
                <w:szCs w:val="17"/>
              </w:rPr>
              <w:t xml:space="preserve">Bridges</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37"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Stone Roads may be built over Water</w:t>
            </w:r>
          </w:p>
        </w:tc>
      </w:tr>
      <w:tr>
        <w:tc>
          <w:tcPr>
            <w:tcW w:w="1784" w:type="dxa"/>
          </w:tcPr>
          <w:p>
            <w:pPr>
              <w:spacing w:before="0" w:after="0"/>
              <w:rPr>
                <w:rFonts w:ascii="EB Garamond" w:hAnsi="EB Garamond"/>
                <w:sz w:val="17"/>
              </w:rPr>
            </w:pPr>
            <w:r>
              <w:rPr>
                <w:rFonts w:ascii="EB Garamond" w:hAnsi="EB Garamond" w:cs="EB Garamond"/>
                <w:sz w:val="17"/>
                <w:szCs w:val="17"/>
              </w:rPr>
              <w:t xml:space="preserve">Garrison</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200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Muster Field</w:t>
            </w:r>
          </w:p>
        </w:tc>
        <w:tc>
          <w:tcPr>
            <w:tcW w:w="2537" w:type="dxa"/>
          </w:tcPr>
          <w:p>
            <w:pPr>
              <w:spacing w:before="0" w:after="0"/>
              <w:rPr>
                <w:rFonts w:ascii="EB Garamond" w:hAnsi="EB Garamond"/>
                <w:sz w:val="17"/>
              </w:rPr>
            </w:pPr>
            <w:r>
              <w:rPr>
                <w:rFonts w:ascii="EB Garamond" w:hAnsi="EB Garamond" w:cs="EB Garamond"/>
                <w:sz w:val="17"/>
                <w:szCs w:val="17"/>
              </w:rPr>
              <w:t xml:space="preserve">Local Armies form (10/15/25 by Settlement size). All Garrisons share Equipment. Cannot be targeted; may Sally Forth.</w:t>
            </w:r>
          </w:p>
        </w:tc>
      </w:tr>
      <w:tr>
        <w:tc>
          <w:tcPr>
            <w:tcW w:w="1784" w:type="dxa"/>
          </w:tcPr>
          <w:p>
            <w:pPr>
              <w:spacing w:before="0" w:after="0"/>
              <w:rPr>
                <w:rFonts w:ascii="EB Garamond" w:hAnsi="EB Garamond"/>
                <w:sz w:val="17"/>
              </w:rPr>
            </w:pPr>
            <w:r>
              <w:rPr>
                <w:rFonts w:ascii="EB Garamond" w:hAnsi="EB Garamond" w:cs="EB Garamond"/>
                <w:sz w:val="17"/>
                <w:szCs w:val="17"/>
              </w:rPr>
              <w:t xml:space="preserve">Stone Walls</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37"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4" w:type="dxa"/>
          </w:tcPr>
          <w:p>
            <w:pPr>
              <w:spacing w:before="0" w:after="0"/>
              <w:rPr>
                <w:rFonts w:ascii="EB Garamond" w:hAnsi="EB Garamond"/>
                <w:sz w:val="17"/>
              </w:rPr>
            </w:pPr>
            <w:r>
              <w:rPr>
                <w:rFonts w:ascii="EB Garamond" w:hAnsi="EB Garamond" w:cs="EB Garamond"/>
                <w:sz w:val="17"/>
                <w:szCs w:val="17"/>
              </w:rPr>
              <w:t xml:space="preserve">Keep</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Garrison</w:t>
            </w:r>
          </w:p>
        </w:tc>
        <w:tc>
          <w:tcPr>
            <w:tcW w:w="2537"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4" w:type="dxa"/>
          </w:tcPr>
          <w:p>
            <w:pPr>
              <w:spacing w:before="0" w:after="0"/>
              <w:rPr>
                <w:rFonts w:ascii="EB Garamond" w:hAnsi="EB Garamond"/>
                <w:sz w:val="17"/>
              </w:rPr>
            </w:pPr>
            <w:r>
              <w:rPr>
                <w:rFonts w:ascii="EB Garamond" w:hAnsi="EB Garamond" w:cs="EB Garamond"/>
                <w:sz w:val="17"/>
                <w:szCs w:val="17"/>
              </w:rPr>
              <w:t xml:space="preserve">Cathedral</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Requires 1+ City</w:t>
            </w:r>
          </w:p>
        </w:tc>
        <w:tc>
          <w:tcPr>
            <w:tcW w:w="25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784" w:type="dxa"/>
          </w:tcPr>
          <w:p>
            <w:pPr>
              <w:spacing w:before="0" w:after="0"/>
              <w:rPr>
                <w:rFonts w:ascii="EB Garamond" w:hAnsi="EB Garamond"/>
                <w:sz w:val="17"/>
              </w:rPr>
            </w:pPr>
            <w:r>
              <w:rPr>
                <w:rFonts w:ascii="EB Garamond" w:hAnsi="EB Garamond" w:cs="EB Garamond"/>
                <w:sz w:val="17"/>
                <w:szCs w:val="17"/>
              </w:rPr>
              <w:t xml:space="preserve">Library</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200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Town Hall</w:t>
            </w:r>
          </w:p>
        </w:tc>
        <w:tc>
          <w:tcPr>
            <w:tcW w:w="2537"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08"/>
        <w:gridCol w:w="6058"/>
        <w:gridCol w:w="3000"/>
      </w:tblGrid>
      <w:tr>
        <w:trPr>
          <w:tblHeader/>
        </w:trPr>
        <w:tc>
          <w:tcPr>
            <w:tcW w:w="1408"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58"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00"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08" w:type="dxa"/>
          </w:tcPr>
          <w:p>
            <w:pPr>
              <w:spacing w:before="0" w:after="0"/>
              <w:rPr>
                <w:rFonts w:ascii="EB Garamond" w:hAnsi="EB Garamond"/>
                <w:sz w:val="17"/>
              </w:rPr>
            </w:pPr>
            <w:r>
              <w:rPr>
                <w:rFonts w:ascii="EB Garamond" w:hAnsi="EB Garamond" w:cs="EB Garamond"/>
                <w:sz w:val="17"/>
                <w:szCs w:val="17"/>
              </w:rPr>
              <w:t xml:space="preserve">Grassland</w:t>
            </w:r>
          </w:p>
        </w:tc>
        <w:tc>
          <w:tcPr>
            <w:tcW w:w="6058" w:type="dxa"/>
          </w:tcPr>
          <w:p>
            <w:pPr>
              <w:spacing w:before="0" w:after="0"/>
              <w:rPr>
                <w:rFonts w:ascii="EB Garamond" w:hAnsi="EB Garamond"/>
                <w:sz w:val="17"/>
              </w:rPr>
            </w:pPr>
            <w:r>
              <w:rPr>
                <w:rFonts w:ascii="EB Garamond" w:hAnsi="EB Garamond" w:cs="EB Garamond"/>
                <w:sz w:val="17"/>
                <w:szCs w:val="17"/>
              </w:rPr>
              <w:t xml:space="preserve">—</w:t>
            </w:r>
          </w:p>
        </w:tc>
        <w:tc>
          <w:tcPr>
            <w:tcW w:w="3000"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08" w:type="dxa"/>
          </w:tcPr>
          <w:p>
            <w:pPr>
              <w:spacing w:before="0" w:after="0"/>
              <w:rPr>
                <w:rFonts w:ascii="EB Garamond" w:hAnsi="EB Garamond"/>
                <w:sz w:val="17"/>
              </w:rPr>
            </w:pPr>
            <w:r>
              <w:rPr>
                <w:rFonts w:ascii="EB Garamond" w:hAnsi="EB Garamond" w:cs="EB Garamond"/>
                <w:sz w:val="17"/>
                <w:szCs w:val="17"/>
              </w:rPr>
              <w:t xml:space="preserve">Wetlands</w:t>
            </w:r>
          </w:p>
        </w:tc>
        <w:tc>
          <w:tcPr>
            <w:tcW w:w="6058" w:type="dxa"/>
          </w:tcPr>
          <w:p>
            <w:pPr>
              <w:spacing w:before="0" w:after="0"/>
              <w:rPr>
                <w:rFonts w:ascii="EB Garamond" w:hAnsi="EB Garamond"/>
                <w:sz w:val="17"/>
              </w:rPr>
            </w:pPr>
            <w:r>
              <w:rPr>
                <w:rFonts w:ascii="EB Garamond" w:hAnsi="EB Garamond" w:cs="EB Garamond"/>
                <w:sz w:val="17"/>
                <w:szCs w:val="17"/>
              </w:rPr>
              <w:t xml:space="preserve">Speed -1</w:t>
            </w:r>
          </w:p>
        </w:tc>
        <w:tc>
          <w:tcPr>
            <w:tcW w:w="3000"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08" w:type="dxa"/>
          </w:tcPr>
          <w:p>
            <w:pPr>
              <w:spacing w:before="0" w:after="0"/>
              <w:rPr>
                <w:rFonts w:ascii="EB Garamond" w:hAnsi="EB Garamond"/>
                <w:sz w:val="17"/>
              </w:rPr>
            </w:pPr>
            <w:r>
              <w:rPr>
                <w:rFonts w:ascii="EB Garamond" w:hAnsi="EB Garamond" w:cs="EB Garamond"/>
                <w:sz w:val="17"/>
                <w:szCs w:val="17"/>
              </w:rPr>
              <w:t xml:space="preserve">Tundra</w:t>
            </w:r>
          </w:p>
        </w:tc>
        <w:tc>
          <w:tcPr>
            <w:tcW w:w="6058"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00"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08" w:type="dxa"/>
          </w:tcPr>
          <w:p>
            <w:pPr>
              <w:spacing w:before="0" w:after="0"/>
              <w:rPr>
                <w:rFonts w:ascii="EB Garamond" w:hAnsi="EB Garamond"/>
                <w:sz w:val="17"/>
              </w:rPr>
            </w:pPr>
            <w:r>
              <w:rPr>
                <w:rFonts w:ascii="EB Garamond" w:hAnsi="EB Garamond" w:cs="EB Garamond"/>
                <w:sz w:val="17"/>
                <w:szCs w:val="17"/>
              </w:rPr>
              <w:t xml:space="preserve">Mountains</w:t>
            </w:r>
          </w:p>
        </w:tc>
        <w:tc>
          <w:tcPr>
            <w:tcW w:w="6058" w:type="dxa"/>
          </w:tcPr>
          <w:p>
            <w:pPr>
              <w:spacing w:before="0" w:after="0"/>
              <w:rPr>
                <w:rFonts w:ascii="EB Garamond" w:hAnsi="EB Garamond"/>
                <w:sz w:val="17"/>
              </w:rPr>
            </w:pPr>
            <w:r>
              <w:rPr>
                <w:rFonts w:ascii="EB Garamond" w:hAnsi="EB Garamond" w:cs="EB Garamond"/>
                <w:sz w:val="17"/>
                <w:szCs w:val="17"/>
              </w:rPr>
              <w:t xml:space="preserve">Impassable</w:t>
            </w:r>
          </w:p>
        </w:tc>
        <w:tc>
          <w:tcPr>
            <w:tcW w:w="3000" w:type="dxa"/>
          </w:tcPr>
          <w:p>
            <w:pPr>
              <w:spacing w:before="0" w:after="0"/>
              <w:rPr>
                <w:rFonts w:ascii="EB Garamond" w:hAnsi="EB Garamond"/>
                <w:sz w:val="17"/>
              </w:rPr>
            </w:pPr>
            <w:r>
              <w:rPr>
                <w:rFonts w:ascii="EB Garamond" w:hAnsi="EB Garamond" w:cs="EB Garamond"/>
                <w:sz w:val="17"/>
                <w:szCs w:val="17"/>
              </w:rPr>
              <w:t xml:space="preserve">Mine</w:t>
            </w:r>
          </w:p>
        </w:tc>
      </w:tr>
      <w:tr>
        <w:tc>
          <w:tcPr>
            <w:tcW w:w="1408" w:type="dxa"/>
          </w:tcPr>
          <w:p>
            <w:pPr>
              <w:spacing w:before="0" w:after="0"/>
              <w:rPr>
                <w:rFonts w:ascii="EB Garamond" w:hAnsi="EB Garamond"/>
                <w:sz w:val="17"/>
              </w:rPr>
            </w:pPr>
            <w:r>
              <w:rPr>
                <w:rFonts w:ascii="EB Garamond" w:hAnsi="EB Garamond" w:cs="EB Garamond"/>
                <w:sz w:val="17"/>
                <w:szCs w:val="17"/>
              </w:rPr>
              <w:t xml:space="preserve">Water</w:t>
            </w:r>
          </w:p>
        </w:tc>
        <w:tc>
          <w:tcPr>
            <w:tcW w:w="6058" w:type="dxa"/>
          </w:tcPr>
          <w:p>
            <w:pPr>
              <w:spacing w:before="0" w:after="0"/>
              <w:rPr>
                <w:rFonts w:ascii="EB Garamond" w:hAnsi="EB Garamond"/>
                <w:sz w:val="17"/>
              </w:rPr>
            </w:pPr>
            <w:r>
              <w:rPr>
                <w:rFonts w:ascii="EB Garamond" w:hAnsi="EB Garamond" w:cs="EB Garamond"/>
                <w:sz w:val="17"/>
                <w:szCs w:val="17"/>
              </w:rPr>
              <w:t xml:space="preserve">Must end Move after passing over 1 Water Territory (must end on land)</w:t>
            </w:r>
          </w:p>
        </w:tc>
        <w:tc>
          <w:tcPr>
            <w:tcW w:w="3000"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08" w:type="dxa"/>
          </w:tcPr>
          <w:p>
            <w:pPr>
              <w:spacing w:before="0" w:after="0"/>
              <w:rPr>
                <w:rFonts w:ascii="EB Garamond" w:hAnsi="EB Garamond"/>
                <w:sz w:val="17"/>
              </w:rPr>
            </w:pPr>
            <w:r>
              <w:rPr>
                <w:rFonts w:ascii="EB Garamond" w:hAnsi="EB Garamond" w:cs="EB Garamond"/>
                <w:sz w:val="17"/>
                <w:szCs w:val="17"/>
              </w:rPr>
              <w:t xml:space="preserve">Forest</w:t>
            </w:r>
          </w:p>
        </w:tc>
        <w:tc>
          <w:tcPr>
            <w:tcW w:w="6058" w:type="dxa"/>
          </w:tcPr>
          <w:p>
            <w:pPr>
              <w:spacing w:before="0" w:after="0"/>
              <w:rPr>
                <w:rFonts w:ascii="EB Garamond" w:hAnsi="EB Garamond"/>
                <w:sz w:val="17"/>
              </w:rPr>
            </w:pPr>
            <w:r>
              <w:rPr>
                <w:rFonts w:ascii="EB Garamond" w:hAnsi="EB Garamond" w:cs="EB Garamond"/>
                <w:sz w:val="17"/>
                <w:szCs w:val="17"/>
              </w:rPr>
              <w:t xml:space="preserve">Speed -1</w:t>
            </w:r>
          </w:p>
        </w:tc>
        <w:tc>
          <w:tcPr>
            <w:tcW w:w="3000" w:type="dxa"/>
          </w:tcPr>
          <w:p>
            <w:pPr>
              <w:spacing w:before="0" w:after="0"/>
              <w:rPr>
                <w:rFonts w:ascii="EB Garamond" w:hAnsi="EB Garamond"/>
                <w:sz w:val="17"/>
              </w:rPr>
            </w:pPr>
            <w:r>
              <w:rPr>
                <w:rFonts w:ascii="EB Garamond" w:hAnsi="EB Garamond" w:cs="EB Garamond"/>
                <w:sz w:val="17"/>
                <w:szCs w:val="17"/>
              </w:rPr>
              <w:t xml:space="preserve">Forestry, Apiary</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Mastery</w:t>
            </w:r>
          </w:p>
        </w:tc>
      </w:tr>
      <w:tr>
        <w:tc>
          <w:tcPr>
            <w:tcW w:w="738" w:type="dxa"/>
          </w:tcPr>
          <w:p>
            <w:pPr>
              <w:spacing w:before="0" w:after="0"/>
              <w:rPr>
                <w:rFonts w:ascii="EB Garamond" w:hAnsi="EB Garamond"/>
                <w:sz w:val="17"/>
              </w:rPr>
            </w:pPr>
            <w:r>
              <w:rPr>
                <w:rFonts w:ascii="EB Garamond" w:hAnsi="EB Garamond" w:cs="EB Garamond"/>
                <w:sz w:val="17"/>
                <w:szCs w:val="17"/>
              </w:rPr>
              <w:t xml:space="preserve">6</w:t>
            </w:r>
          </w:p>
        </w:tc>
        <w:tc>
          <w:tcPr>
            <w:tcW w:w="2104" w:type="dxa"/>
          </w:tcPr>
          <w:p>
            <w:pPr>
              <w:spacing w:before="0" w:after="0"/>
              <w:rPr>
                <w:rFonts w:ascii="EB Garamond" w:hAnsi="EB Garamond"/>
                <w:sz w:val="17"/>
              </w:rPr>
            </w:pPr>
            <w:r>
              <w:rPr>
                <w:rFonts w:ascii="EB Garamond" w:hAnsi="EB Garamond" w:cs="EB Garamond"/>
                <w:sz w:val="17"/>
                <w:szCs w:val="17"/>
              </w:rPr>
              <w:t xml:space="preserve">Devout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7</w:t>
            </w:r>
          </w:p>
        </w:tc>
        <w:tc>
          <w:tcPr>
            <w:tcW w:w="2104" w:type="dxa"/>
          </w:tcPr>
          <w:p>
            <w:pPr>
              <w:spacing w:before="0" w:after="0"/>
              <w:rPr>
                <w:rFonts w:ascii="EB Garamond" w:hAnsi="EB Garamond"/>
                <w:sz w:val="17"/>
              </w:rPr>
            </w:pPr>
            <w:r>
              <w:rPr>
                <w:rFonts w:ascii="EB Garamond" w:hAnsi="EB Garamond" w:cs="EB Garamond"/>
                <w:sz w:val="17"/>
                <w:szCs w:val="17"/>
              </w:rPr>
              <w:t xml:space="preserve">Pious</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8</w:t>
            </w:r>
          </w:p>
        </w:tc>
        <w:tc>
          <w:tcPr>
            <w:tcW w:w="2104" w:type="dxa"/>
          </w:tcPr>
          <w:p>
            <w:pPr>
              <w:spacing w:before="0" w:after="0"/>
              <w:rPr>
                <w:rFonts w:ascii="EB Garamond" w:hAnsi="EB Garamond"/>
                <w:sz w:val="17"/>
              </w:rPr>
            </w:pPr>
            <w:r>
              <w:rPr>
                <w:rFonts w:ascii="EB Garamond" w:hAnsi="EB Garamond" w:cs="EB Garamond"/>
                <w:sz w:val="17"/>
                <w:szCs w:val="17"/>
              </w:rPr>
              <w:t xml:space="preserve">Holy</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9</w:t>
            </w:r>
          </w:p>
        </w:tc>
        <w:tc>
          <w:tcPr>
            <w:tcW w:w="2104" w:type="dxa"/>
          </w:tcPr>
          <w:p>
            <w:pPr>
              <w:spacing w:before="0" w:after="0"/>
              <w:rPr>
                <w:rFonts w:ascii="EB Garamond" w:hAnsi="EB Garamond"/>
                <w:sz w:val="17"/>
              </w:rPr>
            </w:pPr>
            <w:r>
              <w:rPr>
                <w:rFonts w:ascii="EB Garamond" w:hAnsi="EB Garamond" w:cs="EB Garamond"/>
                <w:sz w:val="17"/>
                <w:szCs w:val="17"/>
              </w:rPr>
              <w:t xml:space="preserve">Sanctified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takes your Treasury, to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w:t>
      </w:r>
      <w:r>
        <w:rPr>
          <w:rFonts w:ascii="EB Garamond" w:hAnsi="EB Garamond"/>
          <w:b w:val="0"/>
          <w:i w:val="0"/>
        </w:rPr>
        <w:t xml:space="preserve">s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1000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5</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10</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