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EB Garamond" w:hAnsi="EB Garamond"/>
      <w:sz w:val="20"/>
    </w:rPr>
  </w:style>
  <w:style w:type="paragraph" w:customStyle="1" w:styleId="TOC2">
    <w:name w:val="TOC 2"/>
    <w:pPr>
      <w:spacing w:before="0" w:after="0" w:line="240" w:lineRule="auto"/>
    </w:pPr>
    <w:rPr>
      <w:rFonts w:ascii="EB Garamond" w:hAnsi="EB Garamond"/>
      <w:sz w:val="20"/>
    </w:rPr>
  </w:style>
  <w:style w:type="paragraph" w:customStyle="1" w:styleId="TOC3">
    <w:name w:val="TOC 3"/>
    <w:pPr>
      <w:spacing w:before="0" w:after="0" w:line="240" w:lineRule="auto"/>
    </w:pPr>
    <w:rPr>
      <w:rFonts w:ascii="EB Garamond" w:hAnsi="EB Garamond"/>
      <w:sz w:val="20"/>
    </w:rPr>
  </w:style>
  <w:style w:type="paragraph" w:customStyle="1" w:styleId="TOC4">
    <w:name w:val="TOC 4"/>
    <w:pPr>
      <w:spacing w:before="0" w:after="0" w:line="240" w:lineRule="auto"/>
    </w:pPr>
    <w:rPr>
      <w:rFonts w:ascii="EB Garamond" w:hAnsi="EB Garamond"/>
      <w:sz w:val="20"/>
    </w:rPr>
  </w:style>
  <w:style w:type="paragraph" w:customStyle="1" w:styleId="TOC5">
    <w:name w:val="TOC 5"/>
    <w:pPr>
      <w:spacing w:before="0" w:after="0" w:line="240" w:lineRule="auto"/>
    </w:pPr>
    <w:rPr>
      <w:rFonts w:ascii="EB Garamond" w:hAnsi="EB 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