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The first 3 Influence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When chartering a new Settlement, place it at least range 4 from all other Settlements and range 2 from any Outlaw Country. You can't charter a Settlement on mountain or water Territory. To upgrade a Village into a Sea Town, you must have a Settlement Ward adjacent to a water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range 2 from your capital via a Charter Settlement action. These small farmland communities produce no tax income or muster limit, but have 3 Husbandry Settlement Wards. You may also pursue arable land in a Hamlet even if that Raw Material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Muster Timer 1.</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If an existing Army performs a Muster action within range 3 of any Settlement(s) you Control that aren't under Siege, you may muster Retinues up to the Settlement's muster limit, to the maximum an Army can hold (25), and set a Muster Timer 1.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Capture Timer 1. When it resolves, the Settlement comes under your Control — it receives your active Infrastructure effects, and you gain its Pursuits, tax income, and Reach.</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Sack Timer 2 — you can't Lay Siege again until it resolves. Your Army gains Blocked and Strained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Outlaw Country is a cluster of Territory in your starting Settlement region that you can't Control. At the start of the game, demarcate 3 Territories in your starting region, each within range 1 of at least one other Outlaw Country Territory and at least range 2 from any Settlement.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