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1" Type="http://schemas.openxmlformats.org/officeDocument/2006/relationships/officeDocument" Target="word/document.xml"/><Relationship Id="coreR1" Type="http://schemas.openxmlformats.org/package/2006/relationships/metadata/core-properties" Target="docProps/core.xml"/><Relationship Id="appR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59" w:before="0" w:after="0" w:beforeAutospacing="0" w:afterAutospacing="0"/>
      </w:pPr>
    </w:p>
    <w:p>
      <w:pPr>
        <w:spacing w:before="200" w:after="120" w:beforeAutospacing="0" w:afterAutospacing="0"/>
        <w:jc w:val="center"/>
      </w:pPr>
      <w:r>
        <w:rPr>
          <w:rFonts w:ascii="Aptos" w:hAnsi="Aptos"/>
          <w:b w:val="1"/>
          <w:color w:val="28323C"/>
          <w:sz w:val="21"/>
        </w:rPr>
        <w:t>JACK KERNEL</w:t>
      </w:r>
    </w:p>
    <w:p>
      <w:pPr>
        <w:spacing w:after="80" w:beforeAutospacing="0" w:afterAutospacing="0"/>
        <w:jc w:val="center"/>
      </w:pPr>
      <w:r>
        <w:t>What It Is, How It Works, and How to Use It</w:t>
      </w:r>
    </w:p>
    <w:p>
      <w:pPr>
        <w:spacing w:after="240" w:beforeAutospacing="0" w:afterAutospacing="0"/>
        <w:jc w:val="center"/>
      </w:pPr>
      <w:r>
        <w:t>Plain-English Master Guide - v0.1.1 Release Edition | Surgical Resilience + Orchestration Gateway v2</w:t>
      </w:r>
    </w:p>
    <w:tbl>
      <w:tblPr>
        <w:tblW w:w="0" w:type="auto"/>
        <w:jc w:val="center"/>
        <w:tblLayout w:type="autofit"/>
        <w:tblLook w:val="04A0"/>
      </w:tblPr>
      <w:tblGrid>
        <w:gridCol w:w="9994"/>
      </w:tblGrid>
      <w:tr>
        <w:trPr>
          <w:cantSplit/>
        </w:trPr>
        <w:tc>
          <w:tcPr>
            <w:tcW w:w="9994" w:type="dxa"/>
            <w:shd w:val="clear" w:color="auto" w:fill="202A35"/>
            <w:tcMar>
              <w:top w:w="70" w:type="dxa"/>
              <w:left w:w="85" w:type="dxa"/>
              <w:bottom w:w="70" w:type="dxa"/>
              <w:right w:w="85" w:type="dxa"/>
            </w:tcMar>
            <w:vAlign w:val="center"/>
          </w:tcPr>
          <w:p>
            <w:pPr>
              <w:jc w:val="center"/>
            </w:pPr>
            <w:r>
              <w:rPr>
                <w:rFonts w:ascii="Aptos" w:hAnsi="Aptos"/>
                <w:b w:val="1"/>
                <w:color w:val="B28A2E"/>
                <w:sz w:val="22"/>
              </w:rPr>
              <w:t>Probabilistic cognition may propose, but deterministic software must dispose.</w:t>
            </w:r>
          </w:p>
        </w:tc>
      </w:tr>
    </w:tbl>
    <w:p>
      <w:pPr>
        <w:spacing w:lineRule="auto" w:line="259" w:before="0" w:after="0" w:beforeAutospacing="0" w:afterAutospacing="0"/>
        <w:jc w:val="center"/>
      </w:pPr>
      <w:r>
        <w:t>Public release guide | 17 September 2026 | Current validated runtime resilience and consolidated orchestration documentation</w:t>
      </w:r>
    </w:p>
    <w:tbl>
      <w:tblPr>
        <w:tblW w:w="0" w:type="auto"/>
        <w:jc w:val="center"/>
        <w:tblLayout w:type="autofit"/>
        <w:tblLook w:val="04A0"/>
      </w:tblPr>
      <w:tblGrid>
        <w:gridCol w:w="3331"/>
        <w:gridCol w:w="3331"/>
        <w:gridCol w:w="3331"/>
      </w:tblGrid>
      <w:tr>
        <w:trPr>
          <w:cantSplit/>
        </w:trPr>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AGENT / APPLICATION</w:t>
            </w:r>
          </w:p>
          <w:p>
            <w:pPr>
              <w:spacing w:after="0" w:beforeAutospacing="0" w:afterAutospacing="0"/>
              <w:jc w:val="center"/>
            </w:pPr>
            <w:r>
              <w:rPr>
                <w:rFonts w:ascii="Aptos" w:hAnsi="Aptos"/>
                <w:b w:val="0"/>
                <w:color w:val="FFFFFF"/>
                <w:sz w:val="19"/>
              </w:rPr>
              <w:t>Chooses the work</w:t>
            </w:r>
          </w:p>
        </w:tc>
        <w:tc>
          <w:tcPr>
            <w:tcW w:w="3331" w:type="dxa"/>
            <w:shd w:val="clear" w:color="auto" w:fill="202A35"/>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JACK KERNEL</w:t>
            </w:r>
          </w:p>
          <w:p>
            <w:pPr>
              <w:spacing w:after="0" w:beforeAutospacing="0" w:afterAutospacing="0"/>
              <w:jc w:val="center"/>
            </w:pPr>
            <w:r>
              <w:rPr>
                <w:rFonts w:ascii="Aptos" w:hAnsi="Aptos"/>
                <w:b w:val="0"/>
                <w:color w:val="FFFFFF"/>
                <w:sz w:val="19"/>
              </w:rPr>
              <w:t>Controls the inference environment</w:t>
            </w:r>
          </w:p>
        </w:tc>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LLM BACKEND</w:t>
            </w:r>
          </w:p>
          <w:p>
            <w:pPr>
              <w:spacing w:after="0" w:beforeAutospacing="0" w:afterAutospacing="0"/>
              <w:jc w:val="center"/>
            </w:pPr>
            <w:r>
              <w:rPr>
                <w:rFonts w:ascii="Aptos" w:hAnsi="Aptos"/>
                <w:b w:val="0"/>
                <w:color w:val="FFFFFF"/>
                <w:sz w:val="19"/>
              </w:rPr>
              <w:t>Supplies probabilistic cognition</w:t>
            </w:r>
          </w:p>
        </w:tc>
      </w:tr>
    </w:tbl>
    <w:p>
      <w:pPr>
        <w:spacing w:lineRule="auto" w:line="259" w:before="0" w:after="0" w:beforeAutospacing="0" w:afterAutospacing="0"/>
      </w:pPr>
    </w:p>
    <w:p>
      <w:pPr>
        <w:spacing w:lineRule="auto" w:line="259" w:before="0" w:after="0" w:beforeAutospacing="0" w:afterAutospacing="0"/>
      </w:pPr>
    </w:p>
    <w:p>
      <w:pPr>
        <w:spacing w:lineRule="auto" w:line="259" w:before="0" w:after="0" w:beforeAutospacing="0" w:afterAutospacing="0"/>
      </w:pPr>
    </w:p>
    <w:p>
      <w:pPr>
        <w:spacing w:lineRule="auto" w:line="240" w:before="120" w:after="60" w:beforeAutospacing="0" w:afterAutospacing="0"/>
        <w:jc w:val="center"/>
      </w:pPr>
      <w:r>
        <w:t>This is the long-form user and developer guide for Jack Kernel v0.1.1. It keeps the full architectural explanation while adding practical setup, mode selection, Pi integration, validation evidence, and troubleshooting. This revision incorporates the validated surgical-resilience pass: structural evidence-origin ownership without rewriting useful tool payloads; explicit caller-supplied tool-result provenance on immediate resume; compatibility-adjusted backend payloads that remain adjusted across later retries; additive fail-soft runtime-component identity; corrected Pi retry-epoch and prior-error semantics; recoverable structured tool failures retained as diagnostics without poisoning a successful task; and the consolidated Orchestration Gateway v2 documentation authority. The cognition-program contracts themselves are unchanged by these resilience fixes.</w:t>
      </w:r>
    </w:p>
    <w:p>
      <w:pPr>
        <w:spacing w:after="0" w:beforeAutospacing="0" w:afterAutospacing="0"/>
      </w:pPr>
      <w:r>
        <w:t>Current validated resilience tag: v0.1.1-surgical-resilience | validated runtime baseline commit: 4c8b33cc34e1545f5d564ddbcd2429239bb71297 | current documentation authority: repository main | historical Gateway v2 integration commit: 1d583827715ddd276019a40fbf268ae9d01fbe0b | repository: github.com/mlangford75-lgtm/Jack-Kernel</w:t>
      </w:r>
    </w:p>
    <w:p>
      <w:pPr>
        <w:pStyle w:val="P3"/>
        <w:keepNext w:val="1"/>
        <w:pageBreakBefore w:val="1"/>
      </w:pPr>
      <w:r>
        <w:rPr>
          <w:b w:val="0"/>
          <w:i w:val="0"/>
        </w:rPr>
        <w:t>Release quick start</w:t>
      </w:r>
    </w:p>
    <w:p>
      <w:r>
        <w:rPr>
          <w:b w:val="0"/>
          <w:i w:val="0"/>
        </w:rPr>
        <w:t>If your goal is simply to get Jack running, use this page first. The rest of the guide explains why the architecture works the way it does.</w:t>
      </w:r>
    </w:p>
    <w:p>
      <w:pPr>
        <w:pStyle w:val="P4"/>
        <w:keepNext w:val="1"/>
      </w:pPr>
      <w:r>
        <w:rPr>
          <w:b w:val="0"/>
          <w:i w:val="0"/>
        </w:rPr>
        <w:t>1. Start a supported backend and load a model.</w:t>
      </w:r>
    </w:p>
    <w:p>
      <w:pPr>
        <w:pStyle w:val="P22"/>
      </w:pPr>
      <w:r>
        <w:rPr>
          <w:b w:val="0"/>
          <w:i w:val="0"/>
        </w:rPr>
        <w:t>LM Studio is the default backend at http://127.0.0.1:1234/v1.</w:t>
      </w:r>
    </w:p>
    <w:p>
      <w:pPr>
        <w:pStyle w:val="P22"/>
      </w:pPr>
      <w:r>
        <w:rPr>
          <w:b w:val="0"/>
          <w:i w:val="0"/>
        </w:rPr>
        <w:t>Other built-in presets: Ollama 11434/v1, Jan.ai 1337/v1, raw llama.cpp llama-server 8080/v1, and Custom OpenAI-compatible 8000/v1.</w:t>
      </w:r>
    </w:p>
    <w:p>
      <w:pPr>
        <w:pStyle w:val="P4"/>
        <w:keepNext w:val="1"/>
      </w:pPr>
      <w:r>
        <w:rPr>
          <w:b w:val="0"/>
          <w:i w:val="0"/>
        </w:rPr>
        <w:t>2. Install Jack's Python dependencies once.</w:t>
      </w:r>
    </w:p>
    <w:p>
      <w:r>
        <w:rPr>
          <w:rFonts w:ascii="Consolas" w:hAnsi="Consolas"/>
          <w:b w:val="0"/>
          <w:i w:val="0"/>
          <w:sz w:val="20"/>
        </w:rPr>
        <w:t>py -3 -m pip install -r requirements.txt</w:t>
      </w:r>
    </w:p>
    <w:p>
      <w:pPr>
        <w:pStyle w:val="P4"/>
        <w:keepNext w:val="1"/>
      </w:pPr>
      <w:r>
        <w:rPr>
          <w:b w:val="0"/>
          <w:i w:val="0"/>
        </w:rPr>
        <w:t>3. Start Jack Kernel from the release folder.</w:t>
      </w:r>
    </w:p>
    <w:p>
      <w:r>
        <w:rPr>
          <w:rFonts w:ascii="Consolas" w:hAnsi="Consolas"/>
          <w:b w:val="0"/>
          <w:i w:val="0"/>
          <w:sz w:val="20"/>
        </w:rPr>
        <w:t>start.bat</w:t>
      </w:r>
    </w:p>
    <w:p>
      <w:r>
        <w:rPr>
          <w:b w:val="0"/>
          <w:i w:val="0"/>
        </w:rPr>
        <w:t>The launcher opens Jack's configuration interface. The default listener is local-only on 127.0.0.1:8001 unless you deliberately change the host/port configuration.</w:t>
      </w:r>
    </w:p>
    <w:p>
      <w:pPr>
        <w:pStyle w:val="P4"/>
        <w:keepNext w:val="1"/>
      </w:pPr>
      <w:r>
        <w:rPr>
          <w:b w:val="0"/>
          <w:i w:val="0"/>
        </w:rPr>
        <w:t>4. Point your agent at Jack, not directly at the backend.</w:t>
      </w:r>
    </w:p>
    <w:p>
      <w:r>
        <w:rPr>
          <w:rFonts w:ascii="Consolas" w:hAnsi="Consolas"/>
          <w:b w:val="0"/>
          <w:i w:val="0"/>
          <w:sz w:val="20"/>
        </w:rPr>
        <w:t xml:space="preserve">Base URL:  http://127.0.0.1:8001/v1</w:t>
      </w:r>
    </w:p>
    <w:p>
      <w:r>
        <w:rPr>
          <w:rFonts w:ascii="Consolas" w:hAnsi="Consolas"/>
          <w:b w:val="0"/>
          <w:i w:val="0"/>
          <w:sz w:val="20"/>
        </w:rPr>
        <w:t xml:space="preserve">Model ID:  jack-kernel</w:t>
      </w:r>
    </w:p>
    <w:p>
      <w:r>
        <w:rPr>
          <w:rFonts w:ascii="Consolas" w:hAnsi="Consolas"/>
          <w:b w:val="0"/>
          <w:i w:val="0"/>
          <w:sz w:val="20"/>
        </w:rPr>
        <w:t xml:space="preserve">Health check:  http://127.0.0.1:8001/health</w:t>
      </w:r>
    </w:p>
    <w:p>
      <w:r>
        <w:rPr>
          <w:b w:val="1"/>
          <w:i w:val="0"/>
        </w:rPr>
        <w:t>Port 8001 belongs to Jack by default. Port 8000 is intentionally still available for a vLLM or other OpenAI-compatible backend. Do not globally replace every 8000 reference with 8001.</w:t>
      </w:r>
    </w:p>
    <w:p>
      <w:pPr>
        <w:pStyle w:val="P4"/>
        <w:keepNext w:val="1"/>
      </w:pPr>
      <w:r>
        <w:rPr>
          <w:b w:val="0"/>
          <w:i w:val="0"/>
        </w:rPr>
        <w:t>5. Choose the program that matches the work.</w:t>
      </w:r>
    </w:p>
    <w:p>
      <w:pPr>
        <w:pStyle w:val="P22"/>
      </w:pPr>
      <w:r>
        <w:rPr>
          <w:b w:val="0"/>
          <w:i w:val="0"/>
        </w:rPr>
        <w:t>Off / Medium / X-High: direct native baselines and ordinary backend reasoning.</w:t>
      </w:r>
    </w:p>
    <w:p>
      <w:pPr>
        <w:pStyle w:val="P22"/>
      </w:pPr>
      <w:r>
        <w:rPr>
          <w:b w:val="0"/>
          <w:i w:val="0"/>
        </w:rPr>
        <w:t>Deep Research: plan -&gt; adversarial friction -&gt; authoritative Synthesis. Best when the problem benefits from deliberate extra compute and a final execution stage.</w:t>
      </w:r>
    </w:p>
    <w:p>
      <w:pPr>
        <w:pStyle w:val="P22"/>
      </w:pPr>
      <w:r>
        <w:rPr>
          <w:b w:val="0"/>
          <w:i w:val="0"/>
        </w:rPr>
        <w:t>Agentic: Qwen-oriented multi-turn work using full native Stage-1 cognition followed by semantic Jack XML consolidation.</w:t>
      </w:r>
    </w:p>
    <w:p>
      <w:pPr>
        <w:pStyle w:val="P22"/>
      </w:pPr>
      <w:r>
        <w:rPr>
          <w:b w:val="0"/>
          <w:i w:val="0"/>
        </w:rPr>
        <w:t>Code Debugging: five-pass report-only forensic audit at Medium reasoning.</w:t>
      </w:r>
    </w:p>
    <w:p>
      <w:pPr>
        <w:pStyle w:val="P22"/>
      </w:pPr>
      <w:r>
        <w:rPr>
          <w:b w:val="0"/>
          <w:i w:val="0"/>
        </w:rPr>
        <w:t>Code Debugging (Deep): the same debugger at X-High reasoning; useful as a final challenge/certification-style sweep after Medium convergence.</w:t>
      </w:r>
    </w:p>
    <w:p>
      <w:pPr>
        <w:pStyle w:val="P4"/>
        <w:keepNext w:val="1"/>
      </w:pPr>
      <w:r>
        <w:rPr>
          <w:b w:val="0"/>
          <w:i w:val="0"/>
        </w:rPr>
        <w:t>6. Optional Pi setup.</w:t>
      </w:r>
    </w:p>
    <w:p>
      <w:r>
        <w:rPr>
          <w:rFonts w:ascii="Consolas" w:hAnsi="Consolas"/>
          <w:b w:val="0"/>
          <w:i w:val="0"/>
          <w:sz w:val="20"/>
        </w:rPr>
        <w:t>powershell.exe -NoProfile -ExecutionPolicy Bypass -File ".\Pi\install-jack-kernel-extension.ps1"</w:t>
      </w:r>
    </w:p>
    <w:p>
      <w:pPr>
        <w:spacing w:lineRule="auto" w:line="240" w:before="120" w:after="60" w:beforeAutospacing="0" w:afterAutospacing="0"/>
        <w:jc w:val="center"/>
      </w:pPr>
      <w:r>
        <w:t>powershell.exe -NoProfile -ExecutionPolicy Bypass -File ".\Pi\install-pi-control-bridge-v2.ps1"</w:t>
      </w:r>
    </w:p>
    <w:p>
      <w:pPr>
        <w:spacing w:lineRule="auto" w:line="240" w:before="120" w:after="60" w:beforeAutospacing="0" w:afterAutospacing="0"/>
        <w:jc w:val="center"/>
      </w:pPr>
      <w:r>
        <w:t>For simultaneous Jack Orchestrator and Primary Pi inference, set Maximum concurrent Kernel requests to 2 in the Jack launcher Advanced menu, save the configuration, then start Jack. The saved launcher setting controls the child server process.</w:t>
      </w:r>
    </w:p>
    <w:p>
      <w:r>
        <w:rPr>
          <w:b w:val="0"/>
          <w:i w:val="0"/>
        </w:rPr>
        <w:t>Restart Pi (or reload its extensions) after Jack is running. The bundled extension defaults permanently to http://127.0.0.1:8001 and refreshes the provider from Jack's live backend-context metadata.</w:t>
      </w:r>
    </w:p>
    <w:p>
      <w:pPr>
        <w:pStyle w:val="P4"/>
        <w:keepNext w:val="1"/>
      </w:pPr>
      <w:r>
        <w:t>7. Optional Orchestration Gateway v2 setup.</w:t>
      </w:r>
    </w:p>
    <w:p>
      <w:pPr>
        <w:spacing w:lineRule="auto" w:line="240" w:before="120" w:after="60" w:beforeAutospacing="0" w:afterAutospacing="0"/>
        <w:jc w:val="center"/>
      </w:pPr>
      <w:r>
        <w:t>powershell.exe -NoProfile -ExecutionPolicy Bypass -File ".\Pi\install-pi-control-bridge-v2.ps1"</w:t>
      </w:r>
    </w:p>
    <w:p>
      <w:pPr>
        <w:spacing w:lineRule="auto" w:line="240" w:before="120" w:after="60" w:beforeAutospacing="0" w:afterAutospacing="0"/>
        <w:jc w:val="center"/>
      </w:pPr>
      <w:r>
        <w:t>Restart Primary Pi after installing the current validated bridge. Any compatible supervisor controls Primary Pi through Jack at /jack/orchestration and never receives the private Pi bridge credential. A local-model supervisor routes its own cognition through Jack /v1; a cloud-model supervisor keeps native cloud cognition and uses Jack only for worker control. Neither a locally modeled supervisor nor Primary Pi should connect directly to the configured local model backend.</w:t>
      </w:r>
    </w:p>
    <w:p>
      <w:pPr>
        <w:pStyle w:val="P3"/>
        <w:keepNext w:val="1"/>
        <w:pageBreakBefore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 The whole project in one page</w:t>
      </w:r>
    </w:p>
    <w:tbl>
      <w:tblPr>
        <w:tblW w:w="0" w:type="auto"/>
        <w:jc w:val="center"/>
        <w:tblLayout w:type="autofit"/>
        <w:tblLook w:val="04A0"/>
      </w:tblPr>
      <w:tblGrid>
        <w:gridCol w:w="9994"/>
      </w:tblGrid>
      <w:tr>
        <w:trPr>
          <w:cantSplit/>
        </w:trPr>
        <w:tc>
          <w:tcPr>
            <w:tcW w:w="9994" w:type="dxa"/>
            <w:shd w:val="clear" w:color="auto" w:fill="FBF6E8"/>
            <w:tcMar>
              <w:top w:w="70" w:type="dxa"/>
              <w:left w:w="85" w:type="dxa"/>
              <w:bottom w:w="70" w:type="dxa"/>
              <w:right w:w="85" w:type="dxa"/>
            </w:tcMar>
            <w:vAlign w:val="center"/>
          </w:tcPr>
          <w:p>
            <w:pPr>
              <w:spacing w:after="60" w:beforeAutospacing="0" w:afterAutospacing="0"/>
            </w:pPr>
            <w:r>
              <w:rPr>
                <w:rFonts w:ascii="Aptos" w:hAnsi="Aptos"/>
                <w:b w:val="1"/>
                <w:color w:val="202A35"/>
                <w:sz w:val="20"/>
              </w:rPr>
              <w:t>The shortest accurate definition</w:t>
            </w:r>
          </w:p>
          <w:p>
            <w:pPr>
              <w:spacing w:lineRule="auto" w:line="252" w:after="0" w:beforeAutospacing="0" w:afterAutospacing="0"/>
            </w:pPr>
            <w:r>
              <w:rPr>
                <w:rFonts w:ascii="Aptos" w:hAnsi="Aptos"/>
                <w:b w:val="0"/>
                <w:color w:val="28323C"/>
                <w:sz w:val="20"/>
              </w:rPr>
              <w:t>Jack Kernel is a programmable host-authoritative inference layer between an agent and an LLM. The agent decides what work to pursue. The LLM generates probabilistic cognition. Jack controls the conditions under which that cognition is generated, what it can see, what tools it can use, what state survives, what counts as evidence, and what output is allowed to become authoritative.</w:t>
            </w:r>
          </w:p>
        </w:tc>
      </w:tr>
    </w:tbl>
    <w:p>
      <w:pPr>
        <w:spacing w:lineRule="auto" w:line="259" w:before="0" w:after="0" w:beforeAutospacing="0" w:afterAutospacing="0"/>
      </w:pPr>
    </w:p>
    <w:p>
      <w:pPr>
        <w:spacing w:lineRule="auto" w:line="259" w:before="0" w:after="100" w:beforeAutospacing="0" w:afterAutospacing="0"/>
      </w:pPr>
      <w:r>
        <w:rPr>
          <w:rFonts w:ascii="Aptos" w:hAnsi="Aptos"/>
          <w:color w:val="28323C"/>
          <w:sz w:val="21"/>
        </w:rPr>
        <w:t>The easiest mistake is to look at Deep Research and assume Jack is a Thesis -&gt; Antithesis -&gt; Synthesis wrapper. It is not. Deep Research is one program built on the kernel. Agentic and Code Debugging are other programs. The larger project is the control surface underneath all of them.</w:t>
      </w:r>
    </w:p>
    <w:p>
      <w:pPr>
        <w:pStyle w:val="P4"/>
        <w:keepNext w:val="1"/>
        <w:spacing w:before="160" w:after="80" w:beforeAutospacing="0" w:afterAutospacing="0"/>
      </w:pPr>
      <w:r>
        <w:t>If you remember only six things</w:t>
      </w:r>
    </w:p>
    <w:p>
      <w:pPr>
        <w:pStyle w:val="P25"/>
        <w:spacing w:lineRule="auto" w:line="250" w:after="50" w:beforeAutospacing="0" w:afterAutospacing="0"/>
      </w:pPr>
      <w:r>
        <w:rPr>
          <w:rFonts w:ascii="Aptos" w:hAnsi="Aptos"/>
          <w:color w:val="28323C"/>
          <w:sz w:val="20"/>
        </w:rPr>
        <w:t>Jack is not the agent and not the model. It sits between them and controls the inference environment.</w:t>
      </w:r>
    </w:p>
    <w:p>
      <w:pPr>
        <w:pStyle w:val="P25"/>
        <w:spacing w:lineRule="auto" w:line="250" w:after="50" w:beforeAutospacing="0" w:afterAutospacing="0"/>
      </w:pPr>
      <w:r>
        <w:rPr>
          <w:rFonts w:ascii="Aptos" w:hAnsi="Aptos"/>
          <w:color w:val="28323C"/>
          <w:sz w:val="20"/>
        </w:rPr>
        <w:t>Jack does not make model cognition deterministic. It makes routing, tools, context, authority, retention, evidence handling, and other host-owned controls deterministic.</w:t>
      </w:r>
    </w:p>
    <w:p>
      <w:pPr>
        <w:pStyle w:val="P25"/>
        <w:spacing w:lineRule="auto" w:line="250" w:after="50" w:beforeAutospacing="0" w:afterAutospacing="0"/>
      </w:pPr>
      <w:r>
        <w:t>The shipped programs and direct reasoning modes are examples, not the product boundary. The kernel is meant to support new code-defined cognition, memory, verification, routing, approval, safety, data-capture, and long-horizon workflow layers.</w:t>
      </w:r>
    </w:p>
    <w:p>
      <w:pPr>
        <w:pStyle w:val="P25"/>
        <w:spacing w:lineRule="auto" w:line="250" w:after="50" w:beforeAutospacing="0" w:afterAutospacing="0"/>
      </w:pPr>
      <w:r>
        <w:t>Context lifetime is programmable. Deep Research, Agentic, Code Debugging, and Code Debugging (Deep) deliberately keep different kinds of state for different lengths of time.</w:t>
      </w:r>
    </w:p>
    <w:p>
      <w:pPr>
        <w:pStyle w:val="P25"/>
        <w:spacing w:lineRule="auto" w:line="250" w:after="50" w:beforeAutospacing="0" w:afterAutospacing="0"/>
      </w:pPr>
      <w:r>
        <w:rPr>
          <w:rFonts w:ascii="Aptos" w:hAnsi="Aptos"/>
          <w:color w:val="28323C"/>
          <w:sz w:val="20"/>
        </w:rPr>
        <w:t>The scientific question for a reference program is same-model X versus Jack-governed Y, but the broader platform question is what new explicit, testable inference layers become possible once the kernel controls the environment.</w:t>
      </w:r>
    </w:p>
    <w:p>
      <w:pPr>
        <w:pStyle w:val="P25"/>
        <w:spacing w:lineRule="auto" w:line="250" w:after="50" w:beforeAutospacing="0" w:afterAutospacing="0"/>
      </w:pPr>
      <w:r>
        <w:t>Jack can also govern a supervisor-to-worker boundary. The supervisor's model source may vary, but every worker-control action crosses Jack. A local-model supervisor reasons through Jack /v1 and supervises Primary Pi through /jack/orchestration; a cloud-model supervisor keeps native cloud cognition and still supervises Primary Pi through /jack/orchestration. No supervisor receives the worker bridge credential, and no locally modeled supervisor or worker bypasses Jack to reach the local backend.</w:t>
      </w:r>
    </w:p>
    <w:p>
      <w:pPr>
        <w:pStyle w:val="P4"/>
        <w:keepNext w:val="1"/>
        <w:spacing w:before="160" w:after="80" w:beforeAutospacing="0" w:afterAutospacing="0"/>
      </w:pPr>
      <w:r>
        <w:t>The mental model</w:t>
      </w:r>
    </w:p>
    <w:tbl>
      <w:tblPr>
        <w:tblW w:w="0" w:type="auto"/>
        <w:jc w:val="center"/>
        <w:tblLayout w:type="autofit"/>
        <w:tblLook w:val="04A0"/>
      </w:tblPr>
      <w:tblGrid>
        <w:gridCol w:w="2088"/>
        <w:gridCol w:w="4608"/>
        <w:gridCol w:w="3096"/>
      </w:tblGrid>
      <w:tr>
        <w:trPr>
          <w:cantSplit/>
          <w:tblHeader/>
        </w:trPr>
        <w:tc>
          <w:tcPr>
            <w:tcW w:w="2088"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Layer</w:t>
            </w:r>
          </w:p>
        </w:tc>
        <w:tc>
          <w:tcPr>
            <w:tcW w:w="4608"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What it does</w:t>
            </w:r>
          </w:p>
        </w:tc>
        <w:tc>
          <w:tcPr>
            <w:tcW w:w="3096"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What it does NOT do</w:t>
            </w:r>
          </w:p>
        </w:tc>
      </w:tr>
      <w:tr>
        <w:trPr>
          <w:cantSplit/>
        </w:trPr>
        <w:tc>
          <w:tcPr>
            <w:tcW w:w="208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Agent / application</w:t>
            </w:r>
          </w:p>
        </w:tc>
        <w:tc>
          <w:tcPr>
            <w:tcW w:w="460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Chooses tasks, files, users, business workflow, external actions, and which Jack program to invoke.</w:t>
            </w:r>
          </w:p>
        </w:tc>
        <w:tc>
          <w:tcPr>
            <w:tcW w:w="30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Does not need to encode every inference-stage rule in one giant prompt.</w:t>
            </w:r>
          </w:p>
        </w:tc>
      </w:tr>
      <w:tr>
        <w:trPr>
          <w:cantSplit/>
        </w:trPr>
        <w:tc>
          <w:tcPr>
            <w:tcW w:w="208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Jack Kernel</w:t>
            </w:r>
          </w:p>
        </w:tc>
        <w:tc>
          <w:tcPr>
            <w:tcW w:w="460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Assembles inference calls; controls stages, parameters, context, tools, memory lifetime, evidence, resume, freeze/commit, and optional host-side gates.</w:t>
            </w:r>
          </w:p>
        </w:tc>
        <w:tc>
          <w:tcPr>
            <w:tcW w:w="30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Does not replace the agent or the model and does not guarantee semantic correctness.</w:t>
            </w:r>
          </w:p>
        </w:tc>
      </w:tr>
      <w:tr>
        <w:trPr>
          <w:cantSplit/>
        </w:trPr>
        <w:tc>
          <w:tcPr>
            <w:tcW w:w="208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LLM backend</w:t>
            </w:r>
          </w:p>
        </w:tc>
        <w:tc>
          <w:tcPr>
            <w:tcW w:w="460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Generates reasoning, tool calls, answers, and structured state.</w:t>
            </w:r>
          </w:p>
        </w:tc>
        <w:tc>
          <w:tcPr>
            <w:tcW w:w="30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Does not itself guarantee stage order, evidence freshness, pruning, or commit authority.</w:t>
            </w:r>
          </w:p>
        </w:tc>
      </w:tr>
    </w:tbl>
    <w:p>
      <w:pPr>
        <w:spacing w:lineRule="auto" w:line="259" w:before="0" w:after="0" w:beforeAutospacing="0" w:afterAutospacing="0"/>
      </w:pP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pPr>
              <w:spacing w:after="60" w:beforeAutospacing="0" w:afterAutospacing="0"/>
            </w:pPr>
            <w:r>
              <w:rPr>
                <w:rFonts w:ascii="Aptos" w:hAnsi="Aptos"/>
                <w:b w:val="1"/>
                <w:color w:val="33485C"/>
                <w:sz w:val="19"/>
              </w:rPr>
              <w:t>Important distinction</w:t>
            </w:r>
          </w:p>
          <w:p>
            <w:pPr>
              <w:spacing w:lineRule="auto" w:line="252" w:after="0" w:beforeAutospacing="0" w:afterAutospacing="0"/>
            </w:pPr>
            <w:r>
              <w:rPr>
                <w:rFonts w:ascii="Aptos" w:hAnsi="Aptos"/>
                <w:b w:val="0"/>
                <w:color w:val="28323C"/>
                <w:sz w:val="19"/>
              </w:rPr>
              <w:t>Role isolation is not information isolation. In Deep Research, Synthesis intentionally receives the complete current-turn Thesis and Antithesis cognitive trajectory. "Independent Synthesis" means independent decision authority, not hidden scratchpads.</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2. Why call it a kernel?</w:t>
      </w:r>
    </w:p>
    <w:p>
      <w:pPr>
        <w:spacing w:lineRule="auto" w:line="259" w:before="0" w:after="100" w:beforeAutospacing="0" w:afterAutospacing="0"/>
      </w:pPr>
      <w:r>
        <w:rPr>
          <w:rFonts w:ascii="Aptos" w:hAnsi="Aptos"/>
          <w:color w:val="28323C"/>
          <w:sz w:val="21"/>
        </w:rPr>
        <w:t>Jack Kernel is a host-authoritative inference mediation/control layer between an application or agent and a model/backend. In this context, “kernel” means the deterministic software substrate that governs the host-owned boundaries around inference; it is not an operating-system kernel or a hardware isolation mechanism. Jack does not own the model’s intelligence and does not make cognition deterministic. The model remains the probabilistic cognitive substrate. Jack owns the host-governed inference environment and consequences around that cognition: stage topology, reasoning/sampling configuration, tool exposure, context projection, backend/model resolution, response/freeze/commit authority, reasoning retention and retirement, evidence handling and freshness, durable state, forensic observability, and other code-defined authority boundaries.</w:t>
      </w:r>
    </w:p>
    <w:p>
      <w:pPr>
        <w:spacing w:lineRule="auto" w:line="259" w:before="0" w:after="0" w:beforeAutospacing="0" w:afterAutospacing="0"/>
      </w:pPr>
    </w:p>
    <w:tbl>
      <w:tblPr>
        <w:tblW w:w="0" w:type="auto"/>
        <w:jc w:val="center"/>
        <w:tblLayout w:type="autofit"/>
        <w:tblLook w:val="04A0"/>
      </w:tblPr>
      <w:tblGrid>
        <w:gridCol w:w="9994"/>
      </w:tblGrid>
      <w:tr>
        <w:trPr>
          <w:cantSplit/>
        </w:trPr>
        <w:tc>
          <w:tcPr>
            <w:tcW w:w="9994" w:type="dxa"/>
            <w:shd w:val="clear" w:color="auto" w:fill="F4F6F8"/>
            <w:tcMar>
              <w:top w:w="70" w:type="dxa"/>
              <w:left w:w="85" w:type="dxa"/>
              <w:bottom w:w="70" w:type="dxa"/>
              <w:right w:w="85" w:type="dxa"/>
            </w:tcMar>
            <w:vAlign w:val="center"/>
          </w:tcPr>
          <w:p>
            <w:pPr>
              <w:spacing w:after="60" w:beforeAutospacing="0" w:afterAutospacing="0"/>
            </w:pPr>
            <w:r>
              <w:rPr>
                <w:rFonts w:ascii="Aptos" w:hAnsi="Aptos"/>
                <w:color w:val="28323C"/>
                <w:sz w:val="19"/>
              </w:rPr>
              <w:t>What deterministic means here</w:t>
            </w:r>
          </w:p>
          <w:p>
            <w:pPr>
              <w:spacing w:lineRule="auto" w:line="252" w:after="0" w:beforeAutospacing="0" w:afterAutospacing="0"/>
            </w:pPr>
            <w:r>
              <w:rPr>
                <w:rFonts w:ascii="Aptos" w:hAnsi="Aptos"/>
                <w:color w:val="28323C"/>
                <w:sz w:val="19"/>
              </w:rPr>
              <w:t>Deterministic software controls the environment around probabilistic cognition. The model can still be wrong, confused, verbose, or overconfident. Jack can deterministically decide which stage runs next, which tools are exposed, which context is carried, what evidence is current, what output is frozen or committed, and what gets pruned.</w:t>
            </w:r>
          </w:p>
        </w:tc>
      </w:tr>
    </w:tbl>
    <w:p>
      <w:pPr>
        <w:spacing w:lineRule="auto" w:line="259" w:before="0" w:after="0" w:beforeAutospacing="0" w:afterAutospacing="0"/>
      </w:pPr>
    </w:p>
    <w:p>
      <w:pPr>
        <w:pStyle w:val="P4"/>
        <w:keepNext w:val="1"/>
        <w:spacing w:before="160" w:after="80" w:beforeAutospacing="0" w:afterAutospacing="0"/>
      </w:pPr>
      <w:r>
        <w:t>Why this is different from a system prompt</w:t>
      </w:r>
    </w:p>
    <w:p>
      <w:pPr>
        <w:spacing w:lineRule="auto" w:line="259" w:before="0" w:after="100" w:beforeAutospacing="0" w:afterAutospacing="0"/>
      </w:pPr>
      <w:r>
        <w:rPr>
          <w:rFonts w:ascii="Aptos" w:hAnsi="Aptos"/>
          <w:color w:val="28323C"/>
          <w:sz w:val="21"/>
        </w:rPr>
        <w:t>A prompt asks a model to behave a certain way. Jack can change the actual request sent to the backend, omit a tool surface, isolate a stage-local system contract, preserve or remove reasoning from context, resume a specific stage after a tool result, and decide which output becomes the committed answer. Prompt behavior remains probabilistic; host authority does not.</w:t>
      </w:r>
    </w:p>
    <w:p>
      <w:r>
        <w:rPr>
          <w:rFonts w:ascii="Aptos" w:hAnsi="Aptos"/>
          <w:color w:val="28323C"/>
          <w:sz w:val="21"/>
        </w:rPr>
        <w:t>Jack mediates communication in both directions: agent to model and model to agent. Agent to model, Jack presents an OpenAI-compatible interface but rebuilds the request under kernel policy — deciding stage topology, tool exposure, context projection, reasoning controls, parameters, and durable state. Model to agent, Jack separates reasoning from final content, enforces commit authority, can archive transactions out of band without automatically rehydrating them, and can apply host-side policy gates before release. This bidirectional position provides a substrate for governed single-agent and multi-agent orchestration.</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3. What Jack can control</w:t>
      </w:r>
    </w:p>
    <w:tbl>
      <w:tblPr>
        <w:tblW w:w="0" w:type="auto"/>
        <w:jc w:val="center"/>
        <w:tblLayout w:type="autofit"/>
        <w:tblLook w:val="04A0"/>
      </w:tblPr>
      <w:tblGrid>
        <w:gridCol w:w="1800"/>
        <w:gridCol w:w="4032"/>
        <w:gridCol w:w="3960"/>
      </w:tblGrid>
      <w:tr>
        <w:trPr>
          <w:cantSplit/>
          <w:tblHeader/>
        </w:trPr>
        <w:tc>
          <w:tcPr>
            <w:tcW w:w="1800"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Control surface</w:t>
            </w:r>
          </w:p>
        </w:tc>
        <w:tc>
          <w:tcPr>
            <w:tcW w:w="4032"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Plain-English meaning</w:t>
            </w:r>
          </w:p>
        </w:tc>
        <w:tc>
          <w:tcPr>
            <w:tcW w:w="3960"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Example</w:t>
            </w:r>
          </w:p>
        </w:tc>
      </w:tr>
      <w:tr>
        <w:trPr>
          <w:cantSplit/>
        </w:trPr>
        <w:tc>
          <w:tcPr>
            <w:tcW w:w="180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Stage topology</w:t>
            </w:r>
          </w:p>
        </w:tc>
        <w:tc>
          <w:tcPr>
            <w:tcW w:w="403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Which inference call comes next and what role it has.</w:t>
            </w:r>
          </w:p>
        </w:tc>
        <w:tc>
          <w:tcPr>
            <w:tcW w:w="396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Direct inference; Thesis -&gt; Antithesis -&gt; Synthesis; native-answer -&gt; XML consolidation; bounded disk loops.</w:t>
            </w:r>
          </w:p>
        </w:tc>
      </w:tr>
      <w:tr>
        <w:trPr>
          <w:cantSplit/>
        </w:trPr>
        <w:tc>
          <w:tcPr>
            <w:tcW w:w="180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Reasoning &amp; sampling</w:t>
            </w:r>
          </w:p>
        </w:tc>
        <w:tc>
          <w:tcPr>
            <w:tcW w:w="403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How much native reasoning and what sampler settings each stage gets.</w:t>
            </w:r>
          </w:p>
        </w:tc>
        <w:tc>
          <w:tcPr>
            <w:tcW w:w="396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X-High vs thinking ON/OFF, temperature, presence penalty, max-token failsafes.</w:t>
            </w:r>
          </w:p>
        </w:tc>
      </w:tr>
      <w:tr>
        <w:trPr>
          <w:cantSplit/>
        </w:trPr>
        <w:tc>
          <w:tcPr>
            <w:tcW w:w="180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Tools</w:t>
            </w:r>
          </w:p>
        </w:tc>
        <w:tc>
          <w:tcPr>
            <w:tcW w:w="403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Which stage can actually call which host tools, and which stage resumes after a result.</w:t>
            </w:r>
          </w:p>
        </w:tc>
        <w:tc>
          <w:tcPr>
            <w:tcW w:w="396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Deep Research: OFF / OFF / caller tools in Synthesis.</w:t>
            </w:r>
          </w:p>
        </w:tc>
      </w:tr>
      <w:tr>
        <w:trPr>
          <w:cantSplit/>
        </w:trPr>
        <w:tc>
          <w:tcPr>
            <w:tcW w:w="180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Context projection</w:t>
            </w:r>
          </w:p>
        </w:tc>
        <w:tc>
          <w:tcPr>
            <w:tcW w:w="403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What history, reasoning, tool results, XML, and evidence are visible to a stage.</w:t>
            </w:r>
          </w:p>
        </w:tc>
        <w:tc>
          <w:tcPr>
            <w:tcW w:w="396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Preserve all current-turn cognition, or prune historical raw reasoning after semantic consolidation.</w:t>
            </w:r>
          </w:p>
        </w:tc>
      </w:tr>
      <w:tr>
        <w:trPr>
          <w:cantSplit/>
        </w:trPr>
        <w:tc>
          <w:tcPr>
            <w:tcW w:w="180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Answer / commit authority</w:t>
            </w:r>
          </w:p>
        </w:tc>
        <w:tc>
          <w:tcPr>
            <w:tcW w:w="403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Which output is provisional and which one becomes authoritative.</w:t>
            </w:r>
          </w:p>
        </w:tc>
        <w:tc>
          <w:tcPr>
            <w:tcW w:w="396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Deep Research: Synthesis only. Agentic: A1 frozen; Stage 2 has zero answer authority.</w:t>
            </w:r>
          </w:p>
        </w:tc>
      </w:tr>
      <w:tr>
        <w:trPr>
          <w:cantSplit/>
        </w:trPr>
        <w:tc>
          <w:tcPr>
            <w:tcW w:w="180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Memory lifetime</w:t>
            </w:r>
          </w:p>
        </w:tc>
        <w:tc>
          <w:tcPr>
            <w:tcW w:w="403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How long different representations deserve live-context cost.</w:t>
            </w:r>
          </w:p>
        </w:tc>
        <w:tc>
          <w:tcPr>
            <w:tcW w:w="396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Immediate Preserve Thinking, long-lived XML anchors, disk-backed pass state.</w:t>
            </w:r>
          </w:p>
        </w:tc>
      </w:tr>
      <w:tr>
        <w:trPr>
          <w:cantSplit/>
        </w:trPr>
        <w:tc>
          <w:tcPr>
            <w:tcW w:w="180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Evidence state</w:t>
            </w:r>
          </w:p>
        </w:tc>
        <w:tc>
          <w:tcPr>
            <w:tcW w:w="403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What tool result belongs to what artifact state and whether earlier verification is stale.</w:t>
            </w:r>
          </w:p>
        </w:tc>
        <w:tc>
          <w:tcPr>
            <w:tcW w:w="396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Post-mutation evidence epoch requires fresh proof.</w:t>
            </w:r>
          </w:p>
        </w:tc>
      </w:tr>
      <w:tr>
        <w:trPr>
          <w:cantSplit/>
        </w:trPr>
        <w:tc>
          <w:tcPr>
            <w:tcW w:w="180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Backend identity</w:t>
            </w:r>
          </w:p>
        </w:tc>
        <w:tc>
          <w:tcPr>
            <w:tcW w:w="403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Separates caller-facing model identity from the actually configured backend.</w:t>
            </w:r>
          </w:p>
        </w:tc>
        <w:tc>
          <w:tcPr>
            <w:tcW w:w="396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LM Studio, Ollama, Jan.ai, raw llama.cpp, custom OpenAI-compatible backend.</w:t>
            </w:r>
          </w:p>
        </w:tc>
      </w:tr>
      <w:tr>
        <w:trPr>
          <w:cantSplit/>
        </w:trPr>
        <w:tc>
          <w:tcPr>
            <w:tcW w:w="180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Safety / policy gates</w:t>
            </w:r>
          </w:p>
        </w:tc>
        <w:tc>
          <w:tcPr>
            <w:tcW w:w="403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Host-defined allow/deny/approval/release controls outside model preference.</w:t>
            </w:r>
          </w:p>
        </w:tc>
        <w:tc>
          <w:tcPr>
            <w:tcW w:w="396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Tool allowlists, validators, human approval, release gates.</w:t>
            </w:r>
          </w:p>
        </w:tc>
      </w:tr>
      <w:tr>
        <w:trPr>
          <w:cantSplit/>
        </w:trPr>
        <w:tc>
          <w:tcPr>
            <w:tcW w:w="180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Forensics</w:t>
            </w:r>
          </w:p>
        </w:tc>
        <w:tc>
          <w:tcPr>
            <w:tcW w:w="403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Out-of-band records for diagnosis without automatically polluting future context.</w:t>
            </w:r>
          </w:p>
        </w:tc>
        <w:tc>
          <w:tcPr>
            <w:tcW w:w="396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Deep Research transaction archive; Agentic Stage-1 checkpoint.</w:t>
            </w:r>
          </w:p>
        </w:tc>
      </w:tr>
      <w:tr>
        <w:trPr>
          <w:cantSplit/>
        </w:trPr>
        <w:tc>
          <w:tcPr>
            <w:tcW w:w="180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Loop controller</w:t>
            </w:r>
          </w:p>
        </w:tc>
        <w:tc>
          <w:tcPr>
            <w:tcW w:w="403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Pre-pass intake, fresh pass boundaries, one-problem locks, shared review space, cascading temperatures, unique append-only run reports, latest-summary-only handoff, report-only tool authority, final all-summary synthesis, hard stop.</w:t>
            </w:r>
          </w:p>
        </w:tc>
        <w:tc>
          <w:tcPr>
            <w:tcW w:w="396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Code Debugging and customizable domain-specific loops.</w:t>
            </w:r>
          </w:p>
        </w:tc>
      </w:tr>
      <w:tr>
        <w:trPr>
          <w:cantSplit/>
        </w:trPr>
        <w:tc>
          <w:tcPr>
            <w:tcW w:w="180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Training-data capture</w:t>
            </w:r>
          </w:p>
        </w:tc>
        <w:tc>
          <w:tcPr>
            <w:tcW w:w="403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Turns inference trajectories into provenance-rich supervision/evaluation data.</w:t>
            </w:r>
          </w:p>
        </w:tc>
        <w:tc>
          <w:tcPr>
            <w:tcW w:w="396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X -&gt; Y deltas, friction provenance, semantic-consolidation traces.</w:t>
            </w:r>
          </w:p>
        </w:tc>
      </w:tr>
    </w:tbl>
    <w:p>
      <w:pPr>
        <w:spacing w:lineRule="auto" w:line="259" w:before="0" w:after="0" w:beforeAutospacing="0" w:afterAutospacing="0"/>
      </w:pPr>
    </w:p>
    <w:p>
      <w:pPr>
        <w:pStyle w:val="P4"/>
        <w:keepNext w:val="1"/>
        <w:spacing w:before="160" w:after="80" w:beforeAutospacing="0" w:afterAutospacing="0"/>
      </w:pPr>
      <w:r>
        <w:t>Caller versus kernel authority</w:t>
      </w:r>
    </w:p>
    <w:tbl>
      <w:tblPr>
        <w:tblW w:w="0" w:type="auto"/>
        <w:jc w:val="center"/>
        <w:tblLayout w:type="autofit"/>
        <w:tblLook w:val="04A0"/>
      </w:tblPr>
      <w:tblGrid>
        <w:gridCol w:w="2880"/>
        <w:gridCol w:w="6912"/>
      </w:tblGrid>
      <w:tr>
        <w:trPr>
          <w:cantSplit/>
          <w:tblHeader/>
        </w:trPr>
        <w:tc>
          <w:tcPr>
            <w:tcW w:w="2880"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Caller surface</w:t>
            </w:r>
          </w:p>
        </w:tc>
        <w:tc>
          <w:tcPr>
            <w:tcW w:w="6912"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Jack treatment</w:t>
            </w:r>
          </w:p>
        </w:tc>
      </w:tr>
      <w:tr>
        <w:trPr>
          <w:cantSplit/>
        </w:trPr>
        <w:tc>
          <w:tcPr>
            <w:tcW w:w="288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user / assistant / tool messages</w:t>
            </w:r>
          </w:p>
        </w:tc>
        <w:tc>
          <w:tcPr>
            <w:tcW w:w="691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Accepted subject to mode-specific preparation and pruning.</w:t>
            </w:r>
          </w:p>
        </w:tc>
      </w:tr>
      <w:tr>
        <w:trPr>
          <w:cantSplit/>
        </w:trPr>
        <w:tc>
          <w:tcPr>
            <w:tcW w:w="288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system / developer messages</w:t>
            </w:r>
          </w:p>
        </w:tc>
        <w:tc>
          <w:tcPr>
            <w:tcW w:w="691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Blocked before backend cognition in the documented runtime boundary.</w:t>
            </w:r>
          </w:p>
        </w:tc>
      </w:tr>
      <w:tr>
        <w:trPr>
          <w:cantSplit/>
        </w:trPr>
        <w:tc>
          <w:tcPr>
            <w:tcW w:w="288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tools / tool_choice</w:t>
            </w:r>
          </w:p>
        </w:tc>
        <w:tc>
          <w:tcPr>
            <w:tcW w:w="691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Accepted as a bounded tool surface, then exposed only where the active stage permits.</w:t>
            </w:r>
          </w:p>
        </w:tc>
      </w:tr>
      <w:tr>
        <w:trPr>
          <w:cantSplit/>
        </w:trPr>
        <w:tc>
          <w:tcPr>
            <w:tcW w:w="288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model field</w:t>
            </w:r>
          </w:p>
        </w:tc>
        <w:tc>
          <w:tcPr>
            <w:tcW w:w="691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Virtual caller-facing identity; not authority over the configured backend model.</w:t>
            </w:r>
          </w:p>
        </w:tc>
      </w:tr>
      <w:tr>
        <w:trPr>
          <w:cantSplit/>
        </w:trPr>
        <w:tc>
          <w:tcPr>
            <w:tcW w:w="288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reasoning / sampling overrides</w:t>
            </w:r>
          </w:p>
        </w:tc>
        <w:tc>
          <w:tcPr>
            <w:tcW w:w="691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Ignored as cognition controls; Jack rebuilds the active profile from kernel configuration.</w:t>
            </w:r>
          </w:p>
        </w:tc>
      </w:tr>
    </w:tbl>
    <w:p>
      <w:pPr>
        <w:spacing w:lineRule="auto" w:line="259" w:before="0" w:after="0" w:beforeAutospacing="0" w:afterAutospacing="0"/>
      </w:pPr>
    </w:p>
    <w:p>
      <w:pPr>
        <w:pStyle w:val="P4"/>
      </w:pPr>
      <w:r>
        <w:t>Supervisory orchestration: Orchestration Gateway v2 (accepted)</w:t>
      </w:r>
    </w:p>
    <w:p>
      <w:pPr>
        <w:pStyle w:val="P0"/>
      </w:pPr>
      <w:r>
        <w:t>Jack now has a live-accepted supervisor-to-worker control path. This does not make Jack the supervisor, the worker, or a generic multi-agent application framework. It means the same host-authoritative mediation layer can govern how supervisory decisions reach a privileged worker while keeping the worker's private bridge credential behind Jack. For a local-model supervisor, Jack also remains the only supported path to the local model. For a cloud-model supervisor, cognition stays with the native cloud provider while worker control still crosses Jack.</w:t>
      </w:r>
    </w:p>
    <w:p>
      <w:pPr>
        <w:pStyle w:val="P0"/>
      </w:pPr>
      <w:r>
        <w:t>Any orchestration agent -&gt; Jack public orchestration API -&gt; private Pi control bridge -&gt; privileged Primary Pi worker</w:t>
      </w:r>
    </w:p>
    <w:p>
      <w:pPr>
        <w:pStyle w:val="P0"/>
      </w:pPr>
      <w:r>
        <w:t>Local-model orchestrator cognition -&gt; Jack /v1 inference surface -&gt; Jack-selected backend/model</w:t>
        <w:br/>
        <w:t>Cloud-model orchestrator cognition &lt;-&gt; native cloud provider</w:t>
        <w:br/>
        <w:t>Primary Pi cognition -&gt; Jack /v1 inference surface -&gt; Jack-selected backend/model</w:t>
      </w:r>
    </w:p>
    <w:p>
      <w:pPr>
        <w:pStyle w:val="P0"/>
      </w:pPr>
      <w:r>
        <w:t>The cognition path and worker-control path are intentionally distinct. A local-model supervisor uses Jack /v1 for cognition, preserving Jack's backend/model abstraction; a cloud-model supervisor does not route its own cognition through Jack merely because the worker does. Every supervisor uses /jack/orchestration for narrowly defined supervisory consequence: worker status, live event observation, task submission, cancellation, and worker-session reset. The accepted Jack Orchestrator exposes exactly five model-facing tools—worker_status, watch_worker, submit_worker_task, cancel_worker_task, and new_worker_session—and no direct filesystem, shell, or process tools. Those exact tools are properties of the reference client; compatibility is defined by capabilities and authority boundaries, not by those names.</w:t>
      </w:r>
    </w:p>
    <w:p>
      <w:pPr>
        <w:pStyle w:val="P0"/>
      </w:pPr>
      <w:r>
        <w:t>Direct authority and supervisory authority are different. The accepted Jack Orchestrator cannot execute privileged host consequences itself. Its consequential influence over Primary Pi crosses the Jack-mediated supervisory boundary. Primary Pi remains the privileged worker that actually uses filesystem, shell, build, and test tools. Gateway v2 governs this supervisor-to-worker control path; it does not claim to intercept every privileged filesystem, shell, or process action performed inside Primary Pi. Another compatible orchestrator may be implemented differently internally, but it still may not bypass Jack for worker control, and a locally modeled orchestrator may not bypass Jack for model inference.</w:t>
      </w:r>
    </w:p>
    <w:p>
      <w:pPr>
        <w:pStyle w:val="P0"/>
      </w:pPr>
      <w:r>
        <w:t>The transport also keeps observation separate from authority. Task lifecycle state is authoritative; message_end is not task completion and agent_end is not full physical settlement. Gateway v2 attributes message/tool events only when the Pi bridge has positive run-bound evidence. Otherwise task_id, run_id, and run_epoch remain null instead of being guessed from whichever task happens to be current. Jack adds monotonic process-local sequencing, bounded replay/reconnect, explicit terminal-versus-physical-settlement semantics, and deterministic downstream-unavailable failure behavior. During active supervision the orchestrator must consume /jack/orchestration/events live; status polling is for readiness and terminal reconciliation, not a substitute for the event stream.</w:t>
      </w:r>
    </w:p>
    <w:p>
      <w:pPr>
        <w:pStyle w:val="P4"/>
        <w:keepNext w:val="1"/>
      </w:pPr>
      <w:r>
        <w:t>The two-plane topology</w:t>
      </w:r>
    </w:p>
    <w:p>
      <w:pPr>
        <w:spacing w:lineRule="auto" w:line="240" w:before="120" w:after="60" w:beforeAutospacing="0" w:afterAutospacing="0"/>
        <w:jc w:val="center"/>
      </w:pPr>
      <w:r>
        <w:t>For the accepted local Jack Orchestrator, the architectural rule is simple: Jack Orchestrator sees Jack and nothing behind Jack. Its cognition endpoint is http://127.0.0.1:8001/v1 and its supervisory endpoint family is http://127.0.0.1:8001/jack/orchestration. Jack knows the selected backend/model and privately holds the downstream Pi control credential. Jack Orchestrator does not query LM Studio, Ollama, llama.cpp, PAIR nodes, port 8013, Primary Pi configuration, or the Pi controlToken. Generalized rule: every supervisor controls the worker through Jack; every locally modeled supervisor and worker reaches the local model through Jack; cloud supervisors keep native cloud cognition.</w:t>
      </w:r>
    </w:p>
    <w:p>
      <w:pPr>
        <w:pStyle w:val="P4"/>
        <w:keepNext w:val="1"/>
      </w:pPr>
      <w:r>
        <w:t>How to build a local-model orchestrator</w:t>
      </w:r>
    </w:p>
    <w:p>
      <w:pPr>
        <w:spacing w:lineRule="auto" w:line="240" w:before="120" w:after="60" w:beforeAutospacing="0" w:afterAutospacing="0"/>
        <w:jc w:val="center"/>
      </w:pPr>
      <w:r>
        <w:t>Treat the orchestrator as a supervisory runtime around a local reasoning model, not as a second worker and not as a thin proxy. Give it two logically separate Jack clients: a cognition client that sends all supervisor model inference to Jack /v1, and a worker-control client that uses only the public /jack/orchestration endpoints. Do not configure a fallback connection to LM Studio, Ollama, llama.cpp, port 8013, or the Pi controlToken. Jack owns backend resolution and the private worker-control hop.</w:t>
      </w:r>
    </w:p>
    <w:p>
      <w:pPr>
        <w:spacing w:lineRule="auto" w:line="240" w:before="120" w:after="60" w:beforeAutospacing="0" w:afterAutospacing="0"/>
        <w:jc w:val="center"/>
      </w:pPr>
      <w:r>
        <w:t>Keep probabilistic judgment and deterministic control state separate. The local model decides what the user wants, what bounded worker instruction should happen next, whether a worker result is adequate, whether more work is needed, whether cancellation/session replacement is appropriate, and what to tell the user. Host code owns session readiness, task admission, task_id, run_id, run_epoch, seq, attribution, tool lifecycle, cancellation state, physical settlement, session replacement, and worker availability. A useful pattern is for the model to produce a structured supervisory intent and for a deterministic action validator to admit or reject that intent against current Jack state.</w:t>
      </w:r>
    </w:p>
    <w:p>
      <w:pPr>
        <w:spacing w:lineRule="auto" w:line="240" w:before="120" w:after="60" w:beforeAutospacing="0" w:afterAutospacing="0"/>
        <w:jc w:val="center"/>
      </w:pPr>
      <w:r>
        <w:t>Maintain an authoritative orchestration ledger. At minimum track the user objective/plan, sessionInstanceId, current or last task_id, run_id, run_epoch, last processed seq, runOpen/settledAt, active tool calls and their terminal state, current worker/task state, and any pending supervisory decision. Build a model-safe supervisory projection from that ledger instead of dumping raw transport noise into context. The projection may say, for example, that read index.html started and has no observed tool_end while runOpen remains true; it may not upgrade that fact into a claim that the tool is hung.</w:t>
      </w:r>
    </w:p>
    <w:p>
      <w:pPr>
        <w:pStyle w:val="P4"/>
        <w:keepNext w:val="1"/>
      </w:pPr>
      <w:r>
        <w:t>The correct live-supervision cycle</w:t>
      </w:r>
    </w:p>
    <w:p>
      <w:pPr>
        <w:spacing w:lineRule="auto" w:line="240" w:before="120" w:after="60" w:beforeAutospacing="0" w:afterAutospacing="0"/>
        <w:jc w:val="center"/>
      </w:pPr>
      <w:r>
        <w:t>Before each task, GET /jack/orchestration/status and require sessionReady=true, sessionTransitioning=false, and no prior controlled run physically open. Whenever practical, open or maintain GET /jack/orchestration/events before submitting the task. Record the current/latest seq, POST exactly one task with {"prompt":"&lt;non-empty task text&gt;"}, retain the returned task_id, bind run_id/run_epoch only when Jack exposes them, and consume worker messages plus tool_start/tool_update/tool_end events live. Observe agent_end but continue supervising until Jack reports terminal state with runOpen=false and settlement metadata. Only then is overlapping follow-up work admissible.</w:t>
      </w:r>
    </w:p>
    <w:p>
      <w:pPr>
        <w:pStyle w:val="P4"/>
        <w:keepNext w:val="1"/>
      </w:pPr>
      <w:r>
        <w:t>Silence is not settlement</w:t>
      </w:r>
    </w:p>
    <w:p>
      <w:pPr>
        <w:spacing w:lineRule="auto" w:line="240" w:before="120" w:after="60" w:beforeAutospacing="0" w:afterAutospacing="0"/>
        <w:jc w:val="center"/>
      </w:pPr>
      <w:r>
        <w:t>A quiet SSE stream does not mean the worker stopped. A local SSE-reader timeout does not mean the worker timed out. If the stream disconnects, replay from the last processed seq with Last-Event-ID or ?after=&lt;seq&gt;, then reconcile the replayed events with current status. If Jack returns 409 orchestration_replay_gap, report that the missing interval is unavailable instead of reconstructing it. If runOpen=true and the last run-bound event is an unterminated tool operation, report exactly that state and do not call the task complete, failed, stopped, or hung without additional authoritative evidence.</w:t>
      </w:r>
    </w:p>
    <w:p>
      <w:pPr>
        <w:pStyle w:val="P4"/>
        <w:keepNext w:val="1"/>
      </w:pPr>
      <w:r>
        <w:t>Cancellation, session replacement, and recovery</w:t>
      </w:r>
    </w:p>
    <w:p>
      <w:pPr>
        <w:spacing w:lineRule="auto" w:line="240" w:before="120" w:after="60" w:beforeAutospacing="0" w:afterAutospacing="0"/>
        <w:jc w:val="center"/>
      </w:pPr>
      <w:r>
        <w:t>Cancellation and physical settlement are separate. A task may be logically cancelled while runOpen remains true, so do not admit another controlled task until the prior run closes. A new worker session is requested only through /jack/orchestration/session/new: record the old sessionInstanceId, stop task admission, tolerate temporary Jack 502 while the bridge is replaced, wait for sessionReady=true and sessionTransitioning=false, and require new sessionInstanceId != old sessionInstanceId before follow-up. Do not blindly retry an ambiguous submission because it may duplicate work. If Jack cannot reach the bridge, stop and report the failure; there is no direct fallback.</w:t>
      </w:r>
    </w:p>
    <w:p>
      <w:pPr>
        <w:spacing w:lineRule="auto" w:line="240" w:before="120" w:after="60" w:beforeAutospacing="0" w:afterAutospacing="0"/>
        <w:jc w:val="center"/>
      </w:pPr>
      <w:r>
        <w:t>For an orchestrator that can survive its own restart, persist enough ledger state to reconcile with Jack after restart instead of assuming Primary Pi also restarted. The minimum useful persistent set is the user objective/plan, sessionInstanceId, current/last task_id and run identity, last processed seq, active tool states, known terminal/settlement state, and pending decision. Documentation/Orchestration/ORCHESTRATION_GATEWAY_V2_TECHNICAL_SPEC.md is the formal protocol and compatibility boundary; Documentation/Orchestration/ORCHESTRATOR_INSTRUCTIONS.md is the operational procedure.</w:t>
      </w:r>
    </w:p>
    <w:p>
      <w:pPr>
        <w:jc w:val="center"/>
      </w:pPr>
      <w:r>
        <w:drawing>
          <wp:inline xmlns:wp="http://schemas.openxmlformats.org/drawingml/2006/wordprocessingDrawing" xmlns:a="http://schemas.openxmlformats.org/drawingml/2006/main" xmlns:pic="http://schemas.openxmlformats.org/drawingml/2006/picture">
            <wp:extent cx="6080760" cy="1175087"/>
            <wp:docPr id="1" name="Picture 1"/>
            <wp:cNvGraphicFramePr>
              <a:graphicFrameLocks noChangeAspect="1"/>
            </wp:cNvGraphicFramePr>
            <a:graphic>
              <a:graphicData uri="http://schemas.openxmlformats.org/drawingml/2006/picture">
                <pic:pic>
                  <pic:nvPicPr>
                    <pic:cNvPr id="0" name="Jack_Kernel_Orchestration_Architecture_Schematic.png"/>
                    <pic:cNvPicPr/>
                  </pic:nvPicPr>
                  <pic:blipFill>
                    <a:blip r:embed="rId1"/>
                    <a:stretch>
                      <a:fillRect/>
                    </a:stretch>
                  </pic:blipFill>
                  <pic:spPr>
                    <a:xfrm>
                      <a:off x="0" y="0"/>
                      <a:ext cx="6080760" cy="1175087"/>
                    </a:xfrm>
                    <a:prstGeom prst="rect"/>
                  </pic:spPr>
                </pic:pic>
              </a:graphicData>
            </a:graphic>
          </wp:inline>
        </w:drawing>
      </w:r>
    </w:p>
    <w:p>
      <w:pPr>
        <w:spacing w:lineRule="auto" w:line="240" w:before="120" w:after="60" w:beforeAutospacing="0" w:afterAutospacing="0"/>
        <w:jc w:val="center"/>
      </w:pPr>
      <w:r>
        <w:rPr>
          <w:i/>
        </w:rPr>
        <w:t>Figure — Accepted local Jack Orchestrator topology. This figure shows the reference local-model deployment: supervisor cognition and supervisory influence both cross Jack, while privileged execution remains in Primary Pi. Cloud-model supervisors retain native cloud cognition but use the same Jack-mediated worker-control path.</w:t>
      </w:r>
    </w:p>
    <w:p>
      <w:pPr>
        <w:pStyle w:val="P4"/>
        <w:keepNext w:val="1"/>
      </w:pPr>
      <w:r>
        <w:t>Run-bound identity and epochs</w:t>
      </w:r>
    </w:p>
    <w:p>
      <w:pPr>
        <w:spacing w:lineRule="auto" w:line="240" w:before="120" w:after="60" w:beforeAutospacing="0" w:afterAutospacing="0"/>
        <w:jc w:val="center"/>
      </w:pPr>
      <w:r>
        <w:t>Pi 0.84.2 does not provide a universal native run identifier, so the bridge creates a task UUID and a separate random runId for each controlled submission. A private marker is inserted at dispatch, stripped at the input boundary before model cognition, and bound through agent_start. The bridge freezes {taskId, runId, runEpoch} at run start; an automatic retry under the same control run increments runEpoch rather than inventing a new runId. Event handlers snapshot the active binding at callback entry. After agent_end the low-level binding is cleared immediately, so delayed or between-run events remain unowned instead of inheriting stale identity.</w:t>
      </w:r>
    </w:p>
    <w:p>
      <w:pPr>
        <w:pStyle w:val="P4"/>
        <w:keepNext w:val="1"/>
      </w:pPr>
      <w:r>
        <w:t>Replay and reconnect</w:t>
      </w:r>
    </w:p>
    <w:p>
      <w:pPr>
        <w:spacing w:lineRule="auto" w:line="240" w:before="120" w:after="60" w:beforeAutospacing="0" w:afterAutospacing="0"/>
        <w:jc w:val="center"/>
      </w:pPr>
      <w:r>
        <w:t>Every public orchestration event receives a monotonic process-local sequence number and preserves both Jack receipt time and the original Pi source event. The default replay buffer retains 512 events. A reconnect can resume with Last-Event-ID or ?after=&lt;seq&gt;. Live acceptance disconnected after sequence 42, allowed another controlled task to finish, then recovered sequences 43 through 90 in strict order with no duplicates while preserving source and source_event. When a client requested history older than the retained window, Jack returned HTTP 409 with orchestration_replay_gap; the observed retained range was exactly 512 events, 123 through 634 inclusive. The orchestrator must retain its last processed seq. If its SSE reader times out or disconnects, that local event does not prove anything about worker state; reconnect with replay and reconcile current status before making a definitive claim.</w:t>
      </w:r>
    </w:p>
    <w:p>
      <w:pPr>
        <w:pStyle w:val="P4"/>
        <w:keepNext w:val="1"/>
      </w:pPr>
      <w:r>
        <w:t>Cancellation and physical settlement</w:t>
      </w:r>
    </w:p>
    <w:p>
      <w:pPr>
        <w:spacing w:lineRule="auto" w:line="240" w:before="120" w:after="60" w:beforeAutospacing="0" w:afterAutospacing="0"/>
        <w:jc w:val="center"/>
      </w:pPr>
      <w:r>
        <w:t>Cancellation distinguishes a terminal task decision from physical run settlement. A cancel request can make the task visibly cancelled while runOpen remains true for a short interval as abort propagation completes. During that unsettled interval Jack must not admit a new controlled task. Only physical settlement closes the control run and supplies settledAt. A live acceptance run observed cancelled + runOpen=true at sequence 1207 and the same task/run at sequence 1210 with runOpen=false and settledAt populated. The terminal SSE snapshot ordering was corrected so settledAt can no longer be emitted with stale runOpen=true.</w:t>
      </w:r>
    </w:p>
    <w:p>
      <w:pPr>
        <w:pStyle w:val="P4"/>
        <w:keepNext w:val="1"/>
      </w:pPr>
      <w:r>
        <w:t>Concurrent supervisor and worker cognition</w:t>
      </w:r>
    </w:p>
    <w:p>
      <w:pPr>
        <w:spacing w:lineRule="auto" w:line="240" w:before="120" w:after="60" w:beforeAutospacing="0" w:afterAutospacing="0"/>
        <w:jc w:val="center"/>
      </w:pPr>
      <w:r>
        <w:t>Gateway transport is deliberately outside Jack’s inference semaphore so orchestration observation/control cannot deadlock the worker’s own inference path. Jack’s inference semaphore still controls actual backend concurrency. With the launcher’s saved Maximum concurrent Kernel requests setting changed to 2, live LM Studio logs proved both direct Jack concurrency and full-topology concurrency: Primary Pi worker inference and local Jack Orchestrator inference occupied separate backend slots and generated tokens simultaneously. This two-slot requirement applies when both supervisor and worker are local-model participants through Jack. A cloud-model supervisor’s own cognition remains on its native provider and does not consume a Jack local-inference slot. The saved launcher configuration is authoritative; setting only a parent-shell JACK_MAX_CONCURRENT environment variable is not sufficient because the launcher writes its configured value into the server child environment.</w:t>
      </w:r>
    </w:p>
    <w:p>
      <w:pPr>
        <w:pStyle w:val="P4"/>
        <w:keepNext w:val="1"/>
      </w:pPr>
      <w:r>
        <w:t>When Primary Pi is unavailable</w:t>
      </w:r>
    </w:p>
    <w:p>
      <w:pPr>
        <w:spacing w:lineRule="auto" w:line="240" w:before="120" w:after="60" w:beforeAutospacing="0" w:afterAutospacing="0"/>
        <w:jc w:val="center"/>
      </w:pPr>
      <w:r>
        <w:t>If Primary Pi or its private bridge is stopped while Jack remains alive, Pi-dependent supervisory operations fail closed rather than bypassing Jack. Live acceptance verified GET /jack/orchestration/status, POST /jack/orchestration/tasks, POST /jack/orchestration/tasks/cancel, and POST /jack/orchestration/session/new all return HTTP 502 with {"detail":"Pi control bridge is unavailable"}. No fabricated worker task is returned and no direct-backend or direct-bridge fallback is used.</w:t>
      </w:r>
    </w:p>
    <w:p>
      <w:pPr>
        <w:pStyle w:val="P4"/>
        <w:keepNext w:val="1"/>
      </w:pPr>
      <w:r>
        <w:t>What live acceptance established</w:t>
      </w:r>
    </w:p>
    <w:p>
      <w:pPr>
        <w:pStyle w:val="P22"/>
      </w:pPr>
      <w:r>
        <w:t>Jack-only Orchestrator routing and isolation, including no operational direct access to backend endpoints, port 8013, Primary Pi mutable configuration, or the bridge controlToken.</w:t>
      </w:r>
    </w:p>
    <w:p>
      <w:pPr>
        <w:pStyle w:val="P22"/>
      </w:pPr>
      <w:r>
        <w:t>Exactly five model-facing supervisory tools and the semantic instruction-to-wire prompt adapter.</w:t>
      </w:r>
    </w:p>
    <w:p>
      <w:pPr>
        <w:pStyle w:val="P22"/>
      </w:pPr>
      <w:r>
        <w:t>Run-bound task identity, run identity, epoch semantics, positive attribution, and null ownership for unbound events.</w:t>
      </w:r>
    </w:p>
    <w:p>
      <w:pPr>
        <w:pStyle w:val="P22"/>
      </w:pPr>
      <w:r>
        <w:t>Physical direct-Jack concurrency and physical full-topology Orchestrator + Primary-Pi concurrency when Jack is configured for two concurrent inference requests.</w:t>
      </w:r>
    </w:p>
    <w:p>
      <w:pPr>
        <w:pStyle w:val="P22"/>
      </w:pPr>
      <w:r>
        <w:t>Ordered reconnect/replay with no duplicates, source/source_event preservation, the exact 512-event default window, and HTTP 409 orchestration_replay_gap for stale requests.</w:t>
      </w:r>
    </w:p>
    <w:p>
      <w:pPr>
        <w:pStyle w:val="P22"/>
      </w:pPr>
      <w:r>
        <w:t>Cancellation, abort propagation, terminal-versus-physical settlement, the unsettled-run admission guard, and terminal SSE runOpen=false after settlement.</w:t>
      </w:r>
    </w:p>
    <w:p>
      <w:pPr>
        <w:pStyle w:val="P22"/>
      </w:pPr>
      <w:r>
        <w:t>Deterministic HTTP 502 failure for every Pi-dependent gateway operation when Primary Pi is unavailable.</w:t>
      </w:r>
    </w:p>
    <w:p>
      <w:pPr>
        <w:pStyle w:val="P22"/>
      </w:pPr>
      <w:r>
        <w:t>Current validated Primary-Pi bridge identity for the Windows CRLF representation: SHA-256 E758883F3C18CBEFBF5590C720DBEDF7AB8E85D3314B5EA77E277B1A8C3BD3E4. Canonical repository LF representation: SHA-256 723338D4F67295AEC5B75886EFEF7843C1A44D01934BF9CBB7C2304B4603F92C. The September 12 acceptance record preserves the earlier D066... bridge identity as historical evidence rather than rewriting that test history.</w:t>
      </w:r>
    </w:p>
    <w:p>
      <w:pPr>
        <w:pStyle w:val="P4"/>
        <w:keepNext w:val="1"/>
      </w:pPr>
      <w:r>
        <w:t>What this architecture does not claim</w:t>
      </w:r>
    </w:p>
    <w:p>
      <w:pPr>
        <w:spacing w:lineRule="auto" w:line="240" w:before="120" w:after="60" w:beforeAutospacing="0" w:afterAutospacing="0"/>
        <w:jc w:val="center"/>
      </w:pPr>
      <w:r>
        <w:t>Gateway v2 does not make an orchestration agent a privileged execution agent, does not make model cognition deterministic, does not turn the bounded replay buffer into a durable forensic archive, and does not claim universal interception of every action available inside Primary Pi. The precise claim is narrower and stronger: Jack mediates the supervisor-to-worker control boundary; for locally modeled participants it also mediates local-model inference; deterministic transport state remains separate from the supervisor model’s interpretation of that state.</w:t>
      </w:r>
    </w:p>
    <w:p>
      <w:r>
        <w:t>Be strict about truth, identity, authority, and irreversible consequences; be resilient about useful work.</w:t>
      </w:r>
    </w:p>
    <w:p>
      <w:r>
        <w:t>CURRENT ARCHITECTURE UPDATE — 23 SEPTEMBER 2026</w:t>
      </w:r>
    </w:p>
    <w:p>
      <w:r>
        <w:t>Jack Kernel remains v0.1.1. Multi-endpoint runtime lanes are merged into main through PR #15 (7cf530d33c28f62c8ee057c1dd236173124d95d7); non-authoritative runtime activity observability is merged through PR #16/current main (f8be952d704c8d429cffac6dafe05338fe86a8e6). These changes extend runtime topology, identity, discovery, worker binding, and observability. They do not replace or narrow the existing Deep Research, Agentic, Code Debugging, Preserve-Thinking, Jack XML, tool-authority, freeze/commit, evidence, or durability contracts already documented below.</w:t>
      </w:r>
    </w:p>
    <w:p>
      <w:pPr>
        <w:pStyle w:val="P3"/>
      </w:pPr>
      <w:r>
        <w:t>Multi-endpoint runtime lanes: several nervous-system lanes, one deterministic ownership model</w:t>
      </w:r>
    </w:p>
    <w:p>
      <w:r>
        <w:t>Jack can keep several independently identifiable runtime lanes active at once. A runtime lane is a separate Jack OS process with its own logical runtime identity, lane identity, cognition mode, state, and authority context. The first multi-endpoint release deliberately uses OS-process separation rather than claiming arbitrary safe in-process multiplexing.</w:t>
      </w:r>
    </w:p>
    <w:p>
      <w:r>
        <w:t>Identity is not the port</w:t>
      </w:r>
    </w:p>
    <w:p>
      <w:r>
        <w:t>A port, socket, or URL answers where a process can currently be reached; it does not answer who owns the work. Logical ownership is carried by runtime_id, lane_id, mode, session/task/run identity where applicable, run epoch, and the relevant credential/security context. Endpoint movement does not create a new runtime identity.</w:t>
      </w:r>
    </w:p>
    <w:p>
      <w:r>
        <w:t>Preferred endpoint and atomic fallback</w:t>
      </w:r>
    </w:p>
    <w:p>
      <w:r>
        <w:t>Each lane first attempts its preferred loopback endpoint. If binding fails with recoverable EADDRINUSE and fallback is enabled, Jack keeps an already-bound OS-assigned loopback socket and publishes that actual endpoint. It does not scan for a free port and later race to bind it. If fallback is disabled, the occupied preferred endpoint remains a deliberate hard failure.</w:t>
      </w:r>
    </w:p>
    <w:p>
      <w:r>
        <w:t>Registry discovery and live identity</w:t>
      </w:r>
    </w:p>
    <w:p>
      <w:r>
        <w:t>Runtime manifests support discovery, but registry/manifest state is observational evidence rather than final runtime authority. A stale manifest status must not veto a runtime whose expected runtime_id has been positively verified against live /health. Duplicate live runtime_id ownership is rejected. Stale identity can be reclaimed only after OS-appropriate liveness checking establishes that the previous owner is gone.</w:t>
      </w:r>
    </w:p>
    <w:p>
      <w:r>
        <w:t>Privileged worker binding has two sides</w:t>
      </w:r>
    </w:p>
    <w:p>
      <w:r>
        <w:t>The current validated Primary-Pi bridge identities remain Windows CRLF SHA-256 93A6843CDAAEDA637474B584919ED003930296DE281570E3DDC391F54EF65565 and canonical repository LF SHA-256 8FFD33FD33AE15A785E2BF9015F17FC14F1DE27B09515D5E868EC163D54C15F0. For a named effect-capable lane, Jack binds to the named Pi worker/bridge identity plus an explicit credential. Separately, that worker's Pi provider binds back to the owning Jack runtime_id, resolves its current endpoint from the runtime registry, verifies live /health.runtime_id, and only then registers. Port fallback on either side changes transport location without changing logical ownership. Multiple lanes do not implicitly share one privileged worker context in this release.</w:t>
      </w:r>
    </w:p>
    <w:p>
      <w:r>
        <w:t>Runtime activity is observability, not authority</w:t>
      </w:r>
    </w:p>
    <w:p>
      <w:r>
        <w:t>Authenticated GET /jack/runtime/status reports process-local activity such as idle/busy state, queued/running counts, stage identity, backend-request activity, elapsed time, last-request state, and runtime/lane identity. This telemetry is out-of-band: it is not model context, stage authority, answer authority, commit authority, or cancellation authority. If telemetry becomes unreliable, Jack reports degraded/unknown rather than manufacturing idle or another known state.</w:t>
      </w:r>
    </w:p>
    <w:p>
      <w:r>
        <w:t>A disconnected client does not cancel cognition</w:t>
      </w:r>
    </w:p>
    <w:p>
      <w:r>
        <w:t>Loss of an HTTP client is a transport fact, not cognition-cancellation authority. Otherwise valid cognition continues through its normal freeze, commit, and settlement path unless a separate authorized cancellation or a hard deterministic identity, credential, security, run-ownership, irreversible-effect, or integrity condition requires termination.</w:t>
      </w:r>
    </w:p>
    <w:p>
      <w:r>
        <w:t>Strict authority, resilient execution</w:t>
      </w:r>
    </w:p>
    <w:p>
      <w:r>
        <w:t>Jack remains strict about truth, identity, credentials, run/epoch ownership, hard DLP/security violations, unauthorized irreversible effects, and unrecoverable integrity failures. Recoverable endpoint collision, endpoint movement, stale observational status, telemetry failure, and client transport disconnect do not automatically acquire authority to destroy useful work.</w:t>
      </w:r>
    </w:p>
    <w:p>
      <w:r>
        <w:t>Concurrency boundary and non-goals</w:t>
      </w:r>
    </w:p>
    <w:p>
      <w:r>
        <w:t>JACK_MAX_CONCURRENT remains process-local. Multiple lanes may coexist against shared model infrastructure, but lane availability is not proof of fleet-wide backend admission and does not by itself prove physically simultaneous GPU generation. The accepted upgrade does not add a global scheduler, automatic lane/mode selector, cross-process GPU scheduler, detached-job framework, automatic workload balancer, shared multi-tenant privileged worker, or arbitrary in-process lane multiplexer.</w:t>
      </w:r>
    </w:p>
    <w:p>
      <w:r>
        <w:t>Acceptance scope</w:t>
      </w:r>
    </w:p>
    <w:p>
      <w:r>
        <w:t>Qualification covered multiple live Jack runtimes, preferred-port fallback and fallback-disabled failure, lane isolation, stale identity reclaim, duplicate live identity rejection, independent Agentic and Deep Research histories, named Pi worker isolation, wrong-token and wrong-bridge rejection, worker fallback rediscovery, provider binding to the owning Jack runtime, and full Agentic/Deep Research end-to-end execution. This validates the changed topology and authority boundaries; it does not claim unlimited physical backend concurrency or alter the cognition contracts already documented.</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4. The shipped programs: examples, not limits</w:t>
      </w:r>
    </w:p>
    <w:tbl>
      <w:tblPr>
        <w:tblW w:w="0" w:type="auto"/>
        <w:jc w:val="center"/>
        <w:tblLayout w:type="autofit"/>
        <w:tblLook w:val="04A0"/>
      </w:tblPr>
      <w:tblGrid>
        <w:gridCol w:w="1800"/>
        <w:gridCol w:w="4752"/>
        <w:gridCol w:w="3672"/>
      </w:tblGrid>
      <w:tr>
        <w:trPr>
          <w:cantSplit/>
          <w:tblHeader/>
        </w:trPr>
        <w:tc>
          <w:tcPr>
            <w:tcW w:w="1800"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Program</w:t>
            </w:r>
          </w:p>
        </w:tc>
        <w:tc>
          <w:tcPr>
            <w:tcW w:w="4752"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What it is for</w:t>
            </w:r>
          </w:p>
        </w:tc>
        <w:tc>
          <w:tcPr>
            <w:tcW w:w="3672"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Core state strategy</w:t>
            </w:r>
          </w:p>
        </w:tc>
      </w:tr>
      <w:tr>
        <w:trPr>
          <w:cantSplit/>
        </w:trPr>
        <w:tc>
          <w:tcPr>
            <w:tcW w:w="1800" w:type="dxa"/>
            <w:shd w:val="clear" w:color="auto" w:fill="F4F6F8"/>
            <w:tcMar>
              <w:top w:w="80" w:type="dxa"/>
              <w:left w:w="100" w:type="dxa"/>
              <w:bottom w:w="80" w:type="dxa"/>
              <w:right w:w="100" w:type="dxa"/>
            </w:tcMar>
            <w:vAlign w:val="center"/>
          </w:tcPr>
          <w:p>
            <w:pPr>
              <w:spacing w:after="30" w:beforeAutospacing="0" w:afterAutospacing="0"/>
            </w:pPr>
            <w:r>
              <w:rPr>
                <w:rFonts w:ascii="Aptos" w:hAnsi="Aptos"/>
                <w:b w:val="1"/>
                <w:color w:val="28323C"/>
                <w:sz w:val="20"/>
              </w:rPr>
              <w:t>Off / Medium / X-High</w:t>
            </w:r>
          </w:p>
        </w:tc>
        <w:tc>
          <w:tcPr>
            <w:tcW w:w="4752" w:type="dxa"/>
            <w:shd w:val="clear" w:color="auto" w:fill="F4F6F8"/>
            <w:tcMar>
              <w:top w:w="80" w:type="dxa"/>
              <w:left w:w="100" w:type="dxa"/>
              <w:bottom w:w="80" w:type="dxa"/>
              <w:right w:w="100" w:type="dxa"/>
            </w:tcMar>
            <w:vAlign w:val="center"/>
          </w:tcPr>
          <w:p>
            <w:pPr>
              <w:spacing w:after="30" w:beforeAutospacing="0" w:afterAutospacing="0"/>
            </w:pPr>
            <w:r>
              <w:rPr>
                <w:rFonts w:ascii="Aptos" w:hAnsi="Aptos"/>
                <w:b w:val="0"/>
                <w:color w:val="28323C"/>
                <w:sz w:val="20"/>
              </w:rPr>
              <w:t>Direct native baselines and normal backend reasoning.</w:t>
            </w:r>
          </w:p>
        </w:tc>
        <w:tc>
          <w:tcPr>
            <w:tcW w:w="3672" w:type="dxa"/>
            <w:shd w:val="clear" w:color="auto" w:fill="F4F6F8"/>
            <w:tcMar>
              <w:top w:w="80" w:type="dxa"/>
              <w:left w:w="100" w:type="dxa"/>
              <w:bottom w:w="80" w:type="dxa"/>
              <w:right w:w="100" w:type="dxa"/>
            </w:tcMar>
            <w:vAlign w:val="center"/>
          </w:tcPr>
          <w:p>
            <w:pPr>
              <w:spacing w:after="30" w:beforeAutospacing="0" w:afterAutospacing="0"/>
            </w:pPr>
            <w:r>
              <w:rPr>
                <w:rFonts w:ascii="Aptos" w:hAnsi="Aptos"/>
                <w:b w:val="0"/>
                <w:color w:val="28323C"/>
                <w:sz w:val="20"/>
              </w:rPr>
              <w:t>No Jack cognitive stage graph; useful for native and matched-model baselines.</w:t>
            </w:r>
          </w:p>
        </w:tc>
      </w:tr>
      <w:tr>
        <w:trPr>
          <w:cantSplit/>
        </w:trPr>
        <w:tc>
          <w:tcPr>
            <w:tcW w:w="180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Deep Research</w:t>
            </w:r>
          </w:p>
        </w:tc>
        <w:tc>
          <w:tcPr>
            <w:tcW w:w="4752"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Governed extra-compute reasoning for models that benefit from plan -&gt; friction -&gt; authoritative synthesis.</w:t>
            </w:r>
          </w:p>
        </w:tc>
        <w:tc>
          <w:tcPr>
            <w:tcW w:w="3672"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Keep full active cognition through Synthesis; prune only Stage-1/Stage-2 native reasoning later.</w:t>
            </w:r>
          </w:p>
        </w:tc>
      </w:tr>
      <w:tr>
        <w:trPr>
          <w:cantSplit/>
        </w:trPr>
        <w:tc>
          <w:tcPr>
            <w:tcW w:w="180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Agentic</w:t>
            </w:r>
          </w:p>
        </w:tc>
        <w:tc>
          <w:tcPr>
            <w:tcW w:w="475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Capable Qwen/Qwen-compatible multi-turn work using native cognition plus semantic long-context consolidation.</w:t>
            </w:r>
          </w:p>
        </w:tc>
        <w:tc>
          <w:tcPr>
            <w:tcW w:w="367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Use raw cognition immediately; distill into exact user + Jack XML + frozen A1; retire raw cognition/tool protocol.</w:t>
            </w:r>
          </w:p>
        </w:tc>
      </w:tr>
      <w:tr>
        <w:trPr>
          <w:cantSplit/>
        </w:trPr>
        <w:tc>
          <w:tcPr>
            <w:tcW w:w="1800" w:type="dxa"/>
            <w:shd w:val="clear" w:color="auto" w:fill="FFFFFF"/>
            <w:tcMar>
              <w:top w:w="80" w:type="dxa"/>
              <w:left w:w="100" w:type="dxa"/>
              <w:bottom w:w="80" w:type="dxa"/>
              <w:right w:w="100" w:type="dxa"/>
            </w:tcMar>
            <w:vAlign w:val="center"/>
          </w:tcPr>
          <w:p>
            <w:pPr>
              <w:spacing w:lineRule="auto" w:line="240" w:after="30" w:beforeAutospacing="0" w:afterAutospacing="0"/>
            </w:pPr>
            <w:r>
              <w:rPr>
                <w:b w:val="0"/>
                <w:sz w:val="20"/>
              </w:rPr>
              <w:t>Code Debugging / Code Debugging (Deep)</w:t>
            </w:r>
          </w:p>
        </w:tc>
        <w:tc>
          <w:tcPr>
            <w:tcW w:w="4752" w:type="dxa"/>
            <w:shd w:val="clear" w:color="auto" w:fill="FFFFFF"/>
            <w:tcMar>
              <w:top w:w="80" w:type="dxa"/>
              <w:left w:w="100" w:type="dxa"/>
              <w:bottom w:w="80" w:type="dxa"/>
              <w:right w:w="100" w:type="dxa"/>
            </w:tcMar>
            <w:vAlign w:val="center"/>
          </w:tcPr>
          <w:p>
            <w:pPr>
              <w:spacing w:after="30" w:beforeAutospacing="0" w:afterAutospacing="0"/>
            </w:pPr>
            <w:r>
              <w:rPr>
                <w:b w:val="0"/>
                <w:sz w:val="20"/>
              </w:rPr>
              <w:t>Same five-pass report-only forensic program in two reasoning profiles. Code Debugging uses Medium; Code Debugging (Deep) uses X-High. Intake is user-guided and tools-off; each pass independently audits one locked candidate against the unchanged target.</w:t>
            </w:r>
          </w:p>
        </w:tc>
        <w:tc>
          <w:tcPr>
            <w:tcW w:w="3672" w:type="dxa"/>
            <w:shd w:val="clear" w:color="auto" w:fill="FFFFFF"/>
            <w:tcMar>
              <w:top w:w="80" w:type="dxa"/>
              <w:left w:w="100" w:type="dxa"/>
              <w:bottom w:w="80" w:type="dxa"/>
              <w:right w:w="100" w:type="dxa"/>
            </w:tcMar>
            <w:vAlign w:val="center"/>
          </w:tcPr>
          <w:p>
            <w:pPr>
              <w:spacing w:after="30" w:beforeAutospacing="0" w:afterAutospacing="0"/>
            </w:pPr>
            <w:r>
              <w:rPr>
                <w:b w:val="0"/>
                <w:sz w:val="20"/>
              </w:rPr>
              <w:t>Unique run report keeps Pass 0, all five exact handoffs, and the final report. Every pass gets exact Pass 0; Passes 2-5 get only a compact host-derived prior-finding registry. Completed pass cognition is retired before the next fresh pass.</w:t>
            </w:r>
          </w:p>
        </w:tc>
      </w:tr>
    </w:tbl>
    <w:p>
      <w:pPr>
        <w:spacing w:lineRule="auto" w:line="259" w:before="0" w:after="0" w:beforeAutospacing="0" w:afterAutospacing="0"/>
      </w:pPr>
    </w:p>
    <w:tbl>
      <w:tblPr>
        <w:tblW w:w="0" w:type="auto"/>
        <w:jc w:val="center"/>
        <w:tblLayout w:type="autofit"/>
        <w:tblLook w:val="04A0"/>
      </w:tblPr>
      <w:tblGrid>
        <w:gridCol w:w="7200"/>
      </w:tblGrid>
      <w:tr>
        <w:trPr>
          <w:cantSplit/>
        </w:trPr>
        <w:tc>
          <w:tcPr>
            <w:tcW w:w="9994" w:type="dxa"/>
            <w:shd w:val="clear" w:color="auto" w:fill="FBF6E8"/>
            <w:tcMar>
              <w:top w:w="70" w:type="dxa"/>
              <w:left w:w="85" w:type="dxa"/>
              <w:bottom w:w="70" w:type="dxa"/>
              <w:right w:w="85" w:type="dxa"/>
            </w:tcMar>
            <w:vAlign w:val="center"/>
          </w:tcPr>
          <w:p>
            <w:r>
              <w:rPr>
                <w:rFonts w:ascii="Aptos" w:hAnsi="Aptos"/>
                <w:b w:val="1"/>
                <w:color w:val="B28A2E"/>
                <w:sz w:val="20"/>
              </w:rPr>
              <w:t>Creator note — JML</w:t>
            </w:r>
          </w:p>
          <w:p>
            <w:pPr>
              <w:rPr>
                <w:rFonts w:ascii="Aptos" w:hAnsi="Aptos"/>
                <w:b w:val="0"/>
                <w:color w:val="28323C"/>
                <w:sz w:val="20"/>
              </w:rPr>
            </w:pPr>
            <w:r>
              <w:rPr>
                <w:rFonts w:ascii="Aptos" w:hAnsi="Aptos"/>
                <w:b w:val="0"/>
                <w:color w:val="28323C"/>
                <w:sz w:val="20"/>
              </w:rPr>
              <w:t>Deep Research, Agentic, and Code Debugging are</w:t>
            </w:r>
            <w:r>
              <w:rPr>
                <w:rFonts w:ascii="Aptos" w:hAnsi="Aptos"/>
                <w:b w:val="0"/>
                <w:color w:val="28323C"/>
                <w:sz w:val="20"/>
                <w:rtl w:val="0"/>
                <w:lang w:val="en-US" w:bidi="en-US" w:eastAsia="en-US"/>
              </w:rPr>
              <w:t xml:space="preserve"> example</w:t>
            </w:r>
            <w:r>
              <w:rPr>
                <w:rFonts w:ascii="Aptos" w:hAnsi="Aptos"/>
                <w:b w:val="0"/>
                <w:color w:val="28323C"/>
                <w:sz w:val="20"/>
              </w:rPr>
              <w:t xml:space="preserve"> starting points, not limits. </w:t>
            </w:r>
          </w:p>
          <w:p>
            <w:r>
              <w:rPr>
                <w:rFonts w:ascii="Aptos" w:hAnsi="Aptos"/>
                <w:b w:val="0"/>
                <w:color w:val="28323C"/>
                <w:sz w:val="20"/>
              </w:rPr>
              <w:t>The larger opportunity is to build your own layers: adaptive reasoning and parameters, agentic workflows, staged reasoning, context/memory management, model routing, evidence/verification, approvals, safety gates, long-horizon controllers, and customizable loops with Jack-governed pass structure, temperatures, context lifetime, tools, durable state, and stop conditions.</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5. Deep Research: three roles, one authoritative final</w:t>
      </w:r>
    </w:p>
    <w:p>
      <w:pPr>
        <w:spacing w:lineRule="auto" w:line="259" w:before="0" w:after="100" w:beforeAutospacing="0" w:afterAutospacing="0"/>
      </w:pPr>
      <w:r>
        <w:t>Deep Research is Jack's three-stage Preserve-Thinking reference program for deeply studying difficult, complex, or high-stakes tasks. It gives the same model separate opportunities to develop a thesis, challenge that work adversarially, and then perform an authoritative synthesis with access to the full active reasoning trajectory.</w:t>
      </w:r>
    </w:p>
    <w:tbl>
      <w:tblPr>
        <w:tblW w:w="0" w:type="auto"/>
        <w:jc w:val="center"/>
        <w:tblLayout w:type="autofit"/>
        <w:tblLook w:val="04A0"/>
      </w:tblPr>
      <w:tblGrid>
        <w:gridCol w:w="3331"/>
        <w:gridCol w:w="3331"/>
        <w:gridCol w:w="3331"/>
      </w:tblGrid>
      <w:tr>
        <w:trPr>
          <w:cantSplit/>
        </w:trPr>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THESIS</w:t>
            </w:r>
          </w:p>
          <w:p>
            <w:pPr>
              <w:spacing w:after="0" w:beforeAutospacing="0" w:afterAutospacing="0"/>
              <w:jc w:val="center"/>
            </w:pPr>
            <w:r>
              <w:rPr>
                <w:rFonts w:ascii="Aptos" w:hAnsi="Aptos"/>
                <w:b w:val="0"/>
                <w:color w:val="FFFFFF"/>
                <w:sz w:val="19"/>
              </w:rPr>
              <w:t>Plan the work</w:t>
            </w:r>
          </w:p>
        </w:tc>
        <w:tc>
          <w:tcPr>
            <w:tcW w:w="3331" w:type="dxa"/>
            <w:shd w:val="clear" w:color="auto" w:fill="202A35"/>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ANTITHESIS</w:t>
            </w:r>
          </w:p>
          <w:p>
            <w:pPr>
              <w:spacing w:after="0" w:beforeAutospacing="0" w:afterAutospacing="0"/>
              <w:jc w:val="center"/>
            </w:pPr>
            <w:r>
              <w:rPr>
                <w:rFonts w:ascii="Aptos" w:hAnsi="Aptos"/>
                <w:b w:val="0"/>
                <w:color w:val="FFFFFF"/>
                <w:sz w:val="19"/>
              </w:rPr>
              <w:t>Attack the plan</w:t>
            </w:r>
          </w:p>
        </w:tc>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SYNTHESIS</w:t>
            </w:r>
          </w:p>
          <w:p>
            <w:pPr>
              <w:spacing w:after="0" w:beforeAutospacing="0" w:afterAutospacing="0"/>
              <w:jc w:val="center"/>
            </w:pPr>
            <w:r>
              <w:rPr>
                <w:rFonts w:ascii="Aptos" w:hAnsi="Aptos"/>
                <w:b w:val="0"/>
                <w:color w:val="FFFFFF"/>
                <w:sz w:val="19"/>
              </w:rPr>
              <w:t>Decide and execute</w:t>
            </w:r>
          </w:p>
        </w:tc>
      </w:tr>
    </w:tbl>
    <w:p>
      <w:pPr>
        <w:spacing w:lineRule="auto" w:line="259" w:before="0" w:after="0" w:beforeAutospacing="0" w:afterAutospacing="0"/>
      </w:pPr>
    </w:p>
    <w:p>
      <w:pPr>
        <w:pStyle w:val="P4"/>
        <w:keepNext w:val="1"/>
        <w:spacing w:before="160" w:after="80" w:beforeAutospacing="0" w:afterAutospacing="0"/>
      </w:pPr>
      <w:r>
        <w:rPr>
          <w:rFonts w:ascii="Aptos" w:hAnsi="Aptos"/>
          <w:b w:val="1"/>
          <w:color w:val="9B7424"/>
          <w:sz w:val="23"/>
        </w:rPr>
        <w:t>Stage 1 — Thesis</w:t>
      </w:r>
    </w:p>
    <w:p>
      <w:pPr>
        <w:pStyle w:val="P22"/>
        <w:spacing w:lineRule="auto" w:line="250" w:after="50" w:beforeAutospacing="0" w:afterAutospacing="0"/>
      </w:pPr>
      <w:r>
        <w:rPr>
          <w:rFonts w:ascii="Aptos" w:hAnsi="Aptos"/>
          <w:color w:val="28323C"/>
          <w:sz w:val="20"/>
        </w:rPr>
        <w:t>Current profile: X-High @ 0.85, Preserve Thinking ON, tools absent.</w:t>
      </w:r>
    </w:p>
    <w:p>
      <w:pPr>
        <w:pStyle w:val="P22"/>
        <w:spacing w:lineRule="auto" w:line="250" w:after="50" w:beforeAutospacing="0" w:afterAutospacing="0"/>
      </w:pPr>
      <w:r>
        <w:rPr>
          <w:rFonts w:ascii="Aptos" w:hAnsi="Aptos"/>
          <w:color w:val="28323C"/>
          <w:sz w:val="20"/>
        </w:rPr>
        <w:t>Builds a concentrated First-Principles plan for Synthesis.</w:t>
      </w:r>
    </w:p>
    <w:p>
      <w:pPr>
        <w:pStyle w:val="P22"/>
        <w:spacing w:lineRule="auto" w:line="250" w:after="50" w:beforeAutospacing="0" w:afterAutospacing="0"/>
      </w:pPr>
      <w:r>
        <w:rPr>
          <w:rFonts w:ascii="Aptos" w:hAnsi="Aptos"/>
          <w:color w:val="28323C"/>
          <w:sz w:val="20"/>
        </w:rPr>
        <w:t>May plan implementation, tool use, file/artifact changes, verification, and other execution.</w:t>
      </w:r>
    </w:p>
    <w:p>
      <w:pPr>
        <w:pStyle w:val="P22"/>
        <w:spacing w:lineRule="auto" w:line="250" w:after="50" w:beforeAutospacing="0" w:afterAutospacing="0"/>
      </w:pPr>
      <w:r>
        <w:rPr>
          <w:rFonts w:ascii="Aptos" w:hAnsi="Aptos"/>
          <w:color w:val="28323C"/>
          <w:sz w:val="20"/>
        </w:rPr>
        <w:t>Does not have host tools. A model may still narrate anything, but narration is not execution evidence.</w:t>
      </w:r>
    </w:p>
    <w:p>
      <w:pPr>
        <w:pStyle w:val="P22"/>
        <w:spacing w:lineRule="auto" w:line="250" w:after="50" w:beforeAutospacing="0" w:afterAutospacing="0"/>
      </w:pPr>
      <w:r>
        <w:rPr>
          <w:rFonts w:ascii="Aptos" w:hAnsi="Aptos"/>
          <w:color w:val="28323C"/>
          <w:sz w:val="20"/>
        </w:rPr>
        <w:t>Historical tool-protocol messages are narrowed from the Thesis backend view while canonical retention for later authoritative stages remains available.</w:t>
      </w:r>
    </w:p>
    <w:p>
      <w:pPr>
        <w:pStyle w:val="P4"/>
        <w:keepNext w:val="1"/>
        <w:spacing w:before="160" w:after="80" w:beforeAutospacing="0" w:afterAutospacing="0"/>
      </w:pPr>
      <w:r>
        <w:rPr>
          <w:rFonts w:ascii="Aptos" w:hAnsi="Aptos"/>
          <w:b w:val="1"/>
          <w:color w:val="9B7424"/>
          <w:sz w:val="23"/>
        </w:rPr>
        <w:t>Stage 2 — Antithesis</w:t>
      </w:r>
    </w:p>
    <w:p>
      <w:pPr>
        <w:pStyle w:val="P22"/>
        <w:spacing w:lineRule="auto" w:line="250" w:after="50" w:beforeAutospacing="0" w:afterAutospacing="0"/>
      </w:pPr>
      <w:r>
        <w:rPr>
          <w:rFonts w:ascii="Aptos" w:hAnsi="Aptos"/>
          <w:color w:val="28323C"/>
          <w:sz w:val="20"/>
        </w:rPr>
        <w:t>Medium @ 0.70, Preserve Thinking ON, tools OFF, zero final-answer authority.</w:t>
      </w:r>
    </w:p>
    <w:p>
      <w:pPr>
        <w:pStyle w:val="P22"/>
        <w:spacing w:lineRule="auto" w:line="250" w:after="50" w:beforeAutospacing="0" w:afterAutospacing="0"/>
      </w:pPr>
      <w:r>
        <w:rPr>
          <w:rFonts w:ascii="Aptos" w:hAnsi="Aptos"/>
          <w:color w:val="28323C"/>
          <w:sz w:val="20"/>
        </w:rPr>
        <w:t>Asks the strongest material adversarial questions about the Thesis that matter to the exact user request, then stops.</w:t>
      </w:r>
    </w:p>
    <w:p>
      <w:pPr>
        <w:pStyle w:val="P22"/>
        <w:spacing w:lineRule="auto" w:line="250" w:after="50" w:beforeAutospacing="0" w:afterAutospacing="0"/>
      </w:pPr>
      <w:r>
        <w:rPr>
          <w:rFonts w:ascii="Aptos" w:hAnsi="Aptos"/>
          <w:color w:val="28323C"/>
          <w:sz w:val="20"/>
        </w:rPr>
        <w:t>Challenges assumptions, weaknesses, omissions, and failure points without becoming a second solver or inventing new user requirements.</w:t>
      </w:r>
    </w:p>
    <w:p>
      <w:pPr>
        <w:pStyle w:val="P22"/>
        <w:spacing w:lineRule="auto" w:line="250" w:after="50" w:beforeAutospacing="0" w:afterAutospacing="0"/>
      </w:pPr>
      <w:r>
        <w:rPr>
          <w:rFonts w:ascii="Aptos" w:hAnsi="Aptos"/>
          <w:color w:val="28323C"/>
          <w:sz w:val="20"/>
        </w:rPr>
        <w:t>Its output is advisory pressure, not fact, verdict, requirement, or correction.</w:t>
      </w:r>
    </w:p>
    <w:p>
      <w:pPr>
        <w:pStyle w:val="P22"/>
        <w:spacing w:lineRule="auto" w:line="250" w:after="50" w:beforeAutospacing="0" w:afterAutospacing="0"/>
      </w:pPr>
      <w:r>
        <w:rPr>
          <w:rFonts w:ascii="Aptos" w:hAnsi="Aptos"/>
          <w:color w:val="28323C"/>
          <w:sz w:val="20"/>
        </w:rPr>
        <w:t>Medium is the selected release profile. Recent Antithesis testing rejected Thinking Off because the model moved needed deliberation into visible output instead of filtering candidate objections privately.</w:t>
      </w:r>
    </w:p>
    <w:p>
      <w:pPr>
        <w:pStyle w:val="P22"/>
        <w:spacing w:lineRule="auto" w:line="250" w:after="50" w:beforeAutospacing="0" w:afterAutospacing="0"/>
      </w:pPr>
      <w:r>
        <w:rPr>
          <w:rFonts w:ascii="Aptos" w:hAnsi="Aptos"/>
          <w:color w:val="28323C"/>
          <w:sz w:val="20"/>
        </w:rPr>
        <w:t>Low and Medium both produced strong Antithesis behavior on different stochastic Thesis samples, so those runs do not establish a clean Low-versus-Medium ranking. Medium is retained as the safer release choice under that uncertainty because it preserves a private reasoning workspace while keeping the visible role bounded to adversarial questions.</w:t>
      </w:r>
    </w:p>
    <w:p>
      <w:pPr>
        <w:pStyle w:val="P4"/>
        <w:keepNext w:val="1"/>
        <w:spacing w:before="160" w:after="80" w:beforeAutospacing="0" w:afterAutospacing="0"/>
      </w:pPr>
      <w:r>
        <w:rPr>
          <w:rFonts w:ascii="Aptos" w:hAnsi="Aptos"/>
          <w:b w:val="1"/>
          <w:color w:val="9B7424"/>
          <w:sz w:val="23"/>
        </w:rPr>
        <w:t>Stage 3 — Synthesis</w:t>
      </w:r>
    </w:p>
    <w:p>
      <w:pPr>
        <w:pStyle w:val="P22"/>
        <w:spacing w:lineRule="auto" w:line="250" w:after="50" w:beforeAutospacing="0" w:afterAutospacing="0"/>
      </w:pPr>
      <w:r>
        <w:rPr>
          <w:rFonts w:ascii="Aptos" w:hAnsi="Aptos"/>
          <w:color w:val="28323C"/>
          <w:sz w:val="20"/>
        </w:rPr>
        <w:t>X-High @ 0.70, Preserve Thinking ON, caller tools available when supplied.</w:t>
      </w:r>
    </w:p>
    <w:p>
      <w:pPr>
        <w:pStyle w:val="P22"/>
        <w:spacing w:lineRule="auto" w:line="250" w:after="50" w:beforeAutospacing="0" w:afterAutospacing="0"/>
      </w:pPr>
      <w:r>
        <w:rPr>
          <w:rFonts w:ascii="Aptos" w:hAnsi="Aptos"/>
          <w:color w:val="28323C"/>
          <w:sz w:val="20"/>
        </w:rPr>
        <w:t>Receives the complete active current-turn Thesis and Antithesis cognitive trajectory plus persisted stage-transition boundaries.</w:t>
      </w:r>
    </w:p>
    <w:p>
      <w:pPr>
        <w:pStyle w:val="P22"/>
        <w:spacing w:lineRule="auto" w:line="250" w:after="50" w:beforeAutospacing="0" w:afterAutospacing="0"/>
      </w:pPr>
      <w:r>
        <w:rPr>
          <w:rFonts w:ascii="Aptos" w:hAnsi="Aptos"/>
          <w:color w:val="28323C"/>
          <w:sz w:val="20"/>
        </w:rPr>
        <w:t>Treats Thesis and Antithesis as untrusted cognitive inputs and decides independently.</w:t>
      </w:r>
    </w:p>
    <w:p>
      <w:pPr>
        <w:pStyle w:val="P22"/>
        <w:spacing w:lineRule="auto" w:line="250" w:after="50" w:beforeAutospacing="0" w:afterAutospacing="0"/>
      </w:pPr>
      <w:r>
        <w:rPr>
          <w:rFonts w:ascii="Aptos" w:hAnsi="Aptos"/>
          <w:color w:val="28323C"/>
          <w:sz w:val="20"/>
        </w:rPr>
        <w:t>Is the sole Deep Research answer/execution authority.</w:t>
      </w:r>
    </w:p>
    <w:p>
      <w:pPr>
        <w:pStyle w:val="P22"/>
        <w:spacing w:lineRule="auto" w:line="250" w:after="50" w:beforeAutospacing="0" w:afterAutospacing="0"/>
      </w:pPr>
      <w:r>
        <w:rPr>
          <w:rFonts w:ascii="Aptos" w:hAnsi="Aptos"/>
          <w:color w:val="28323C"/>
          <w:sz w:val="20"/>
        </w:rPr>
        <w:t>When execution is required and an appropriate tool exists, it is instructed to perform the work rather than merely describe it.</w:t>
      </w:r>
    </w:p>
    <w:p>
      <w:pPr>
        <w:pStyle w:val="P22"/>
        <w:spacing w:lineRule="auto" w:line="250" w:after="50" w:beforeAutospacing="0" w:afterAutospacing="0"/>
      </w:pPr>
      <w:r>
        <w:rPr>
          <w:rFonts w:ascii="Aptos" w:hAnsi="Aptos"/>
          <w:color w:val="28323C"/>
          <w:sz w:val="20"/>
        </w:rPr>
        <w:t>Only an actual host-returned tool result establishes that execution occurred.</w:t>
      </w: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pPr>
              <w:spacing w:after="60" w:beforeAutospacing="0" w:afterAutospacing="0"/>
            </w:pPr>
            <w:r>
              <w:rPr>
                <w:rFonts w:ascii="Aptos" w:hAnsi="Aptos"/>
                <w:b w:val="1"/>
                <w:color w:val="33485C"/>
                <w:sz w:val="19"/>
              </w:rPr>
              <w:t>Do not misread the architecture</w:t>
            </w:r>
          </w:p>
          <w:p>
            <w:pPr>
              <w:spacing w:lineRule="auto" w:line="252" w:after="0" w:beforeAutospacing="0" w:afterAutospacing="0"/>
            </w:pPr>
            <w:r>
              <w:rPr>
                <w:rFonts w:ascii="Aptos" w:hAnsi="Aptos"/>
                <w:b w:val="0"/>
                <w:color w:val="28323C"/>
                <w:sz w:val="19"/>
              </w:rPr>
              <w:t>Deep Research does NOT hide Thesis scratchpads from Synthesis. It deliberately preserves the full active transaction. Role isolation != information isolation. The aim is to separate cognitive jobs and authority while letting the final stage use all current-turn cognition.</w:t>
            </w:r>
          </w:p>
        </w:tc>
      </w:tr>
    </w:tbl>
    <w:p>
      <w:pPr>
        <w:spacing w:lineRule="auto" w:line="259" w:before="0" w:after="0" w:beforeAutospacing="0" w:afterAutospacing="0"/>
      </w:pPr>
    </w:p>
    <w:p>
      <w:pPr>
        <w:pStyle w:val="P4"/>
        <w:keepNext w:val="1"/>
        <w:spacing w:before="160" w:after="80" w:beforeAutospacing="0" w:afterAutospacing="0"/>
      </w:pPr>
      <w:r>
        <w:t>Causal stage boundaries</w:t>
      </w:r>
    </w:p>
    <w:p>
      <w:pPr>
        <w:spacing w:lineRule="auto" w:line="259" w:before="0" w:after="100" w:beforeAutospacing="0" w:afterAutospacing="0"/>
      </w:pPr>
      <w:r>
        <w:rPr>
          <w:rFonts w:ascii="Aptos" w:hAnsi="Aptos"/>
          <w:color w:val="28323C"/>
          <w:sz w:val="21"/>
        </w:rPr>
        <w:t>Jack persists explicit Thesis-&gt;Antithesis and Antithesis-&gt;Synthesis transport boundaries through Synthesis. These boundaries repeat the exact active request as reminder context, identify which prior assistant output is Thesis or Antithesis, and state that the transport message is not a new user request. The active response target remains the real user request, not Jack's internal transport turns.</w:t>
      </w:r>
    </w:p>
    <w:p>
      <w:pPr>
        <w:pStyle w:val="P4"/>
        <w:keepNext w:val="1"/>
        <w:spacing w:before="160" w:after="80" w:beforeAutospacing="0" w:afterAutospacing="0"/>
      </w:pPr>
      <w:r>
        <w:t>Tool continuation</w:t>
      </w:r>
    </w:p>
    <w:p>
      <w:pPr>
        <w:spacing w:lineRule="auto" w:line="259" w:before="0" w:after="100" w:beforeAutospacing="0" w:afterAutospacing="0"/>
      </w:pPr>
      <w:r>
        <w:rPr>
          <w:rFonts w:ascii="Aptos" w:hAnsi="Aptos"/>
          <w:color w:val="28323C"/>
          <w:sz w:val="21"/>
        </w:rPr>
        <w:t>If Synthesis calls tools, Jack resumes the same Synthesis transaction after the host result. The Stage-3 identity/reminder boundary persists exactly once instead of creating a new cognitive stage or replaying the user request as a fresh task.</w:t>
      </w:r>
    </w:p>
    <w:p>
      <w:pPr>
        <w:pStyle w:val="P4"/>
        <w:keepNext w:val="1"/>
        <w:spacing w:before="160" w:after="80" w:beforeAutospacing="0" w:afterAutospacing="0"/>
      </w:pPr>
      <w:r>
        <w:t>Context lifetime</w:t>
      </w:r>
    </w:p>
    <w:p>
      <w:pPr>
        <w:spacing w:lineRule="auto" w:line="259" w:before="0" w:after="100" w:beforeAutospacing="0" w:afterAutospacing="0"/>
      </w:pPr>
      <w:r>
        <w:rPr>
          <w:rFonts w:ascii="Aptos" w:hAnsi="Aptos"/>
          <w:color w:val="28323C"/>
          <w:sz w:val="21"/>
        </w:rPr>
        <w:t>Nothing is intentionally pruned before Synthesis finishes. After the authoritative final, later history preparation removes only Stage-1 and Stage-2 native reasoning. The exact user request, visible Thesis/Antithesis outputs, tool calls/results, Stage-3 reasoning, and final answer remain eligible for downstream continuity.</w:t>
      </w:r>
    </w:p>
    <w:p>
      <w:pPr>
        <w:pStyle w:val="P4"/>
        <w:keepNext w:val="1"/>
        <w:spacing w:before="160" w:after="80" w:beforeAutospacing="0" w:afterAutospacing="0"/>
      </w:pPr>
      <w:r>
        <w:t>Host-side runaway ceilings</w:t>
      </w:r>
    </w:p>
    <w:p>
      <w:pPr>
        <w:spacing w:lineRule="auto" w:line="259" w:before="0" w:after="100" w:beforeAutospacing="0" w:afterAutospacing="0"/>
      </w:pPr>
      <w:r>
        <w:rPr>
          <w:rFonts w:ascii="Aptos" w:hAnsi="Aptos"/>
          <w:color w:val="28323C"/>
          <w:sz w:val="21"/>
        </w:rPr>
        <w:t>Deep Research uses max_tokens failsafes of 100000 / 20000 / 100000 for Thesis / Antithesis / Synthesis. They are safety ceilings against runaway generation, not target answer lengths, and the numeric values are not projected into model context.</w:t>
      </w:r>
    </w:p>
    <w:p>
      <w:pPr>
        <w:pStyle w:val="P4"/>
        <w:keepNext w:val="1"/>
        <w:spacing w:before="160" w:after="80" w:beforeAutospacing="0" w:afterAutospacing="0"/>
      </w:pPr>
      <w:r>
        <w:t>What Deep Research does not claim</w:t>
      </w:r>
    </w:p>
    <w:p>
      <w:pPr>
        <w:pStyle w:val="P22"/>
        <w:spacing w:lineRule="auto" w:line="250" w:after="50" w:beforeAutospacing="0" w:afterAutospacing="0"/>
      </w:pPr>
      <w:r>
        <w:rPr>
          <w:rFonts w:ascii="Aptos" w:hAnsi="Aptos"/>
          <w:color w:val="28323C"/>
          <w:sz w:val="20"/>
        </w:rPr>
        <w:t>It does not claim to increase the model's latent intelligence or change its weights.</w:t>
      </w:r>
    </w:p>
    <w:p>
      <w:pPr>
        <w:pStyle w:val="P22"/>
        <w:spacing w:lineRule="auto" w:line="250" w:after="50" w:beforeAutospacing="0" w:afterAutospacing="0"/>
      </w:pPr>
      <w:r>
        <w:rPr>
          <w:rFonts w:ascii="Aptos" w:hAnsi="Aptos"/>
          <w:color w:val="28323C"/>
          <w:sz w:val="20"/>
        </w:rPr>
        <w:t>It does not guarantee that Antithesis will ask the best possible question or that Synthesis will interpret it correctly.</w:t>
      </w:r>
    </w:p>
    <w:p>
      <w:pPr>
        <w:pStyle w:val="P22"/>
        <w:spacing w:lineRule="auto" w:line="250" w:after="50" w:beforeAutospacing="0" w:afterAutospacing="0"/>
      </w:pPr>
      <w:r>
        <w:rPr>
          <w:rFonts w:ascii="Aptos" w:hAnsi="Aptos"/>
          <w:color w:val="28323C"/>
          <w:sz w:val="20"/>
        </w:rPr>
        <w:t>It does not use Jack XML.</w:t>
      </w:r>
    </w:p>
    <w:p>
      <w:pPr>
        <w:pStyle w:val="P22"/>
        <w:spacing w:lineRule="auto" w:line="250" w:after="50" w:beforeAutospacing="0" w:afterAutospacing="0"/>
      </w:pPr>
      <w:r>
        <w:rPr>
          <w:rFonts w:ascii="Aptos" w:hAnsi="Aptos"/>
          <w:color w:val="28323C"/>
          <w:sz w:val="20"/>
        </w:rPr>
        <w:t>It does not depend on a semantic output scorer, cognitive-output parser/retry loop, or post-EOS artifact resolver.</w:t>
      </w:r>
    </w:p>
    <w:p>
      <w:pPr>
        <w:pStyle w:val="P22"/>
        <w:spacing w:lineRule="auto" w:line="250" w:after="50" w:beforeAutospacing="0" w:afterAutospacing="0"/>
      </w:pPr>
      <w:r>
        <w:rPr>
          <w:rFonts w:ascii="Aptos" w:hAnsi="Aptos"/>
          <w:color w:val="28323C"/>
          <w:sz w:val="20"/>
        </w:rPr>
        <w:t>Its hypothesis is better utilization, adversarial selection, execution discipline, and finalization of cognition the model can already produce.</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6. Agentic: use raw thinking now, distill meaning for later</w:t>
      </w:r>
    </w:p>
    <w:p>
      <w:pPr>
        <w:spacing w:lineRule="auto" w:line="259" w:before="0" w:after="100" w:beforeAutospacing="0" w:afterAutospacing="0"/>
      </w:pPr>
      <w:r>
        <w:rPr>
          <w:rFonts w:ascii="Aptos" w:hAnsi="Aptos"/>
          <w:color w:val="28323C"/>
          <w:sz w:val="21"/>
        </w:rPr>
        <w:t>Agentic is a different program with a different answer-authority model and a different memory strategy. It is designed around capable Qwen-family or Qwen-compatible backends that can faithfully Preserve Thinking across the immediate Stage-1 -&gt; Stage-2 boundary and have enough semantic capability to perform high-quality consolidation.</w:t>
      </w:r>
    </w:p>
    <w:tbl>
      <w:tblPr>
        <w:tblW w:w="0" w:type="auto"/>
        <w:jc w:val="center"/>
        <w:tblLayout w:type="autofit"/>
        <w:tblLook w:val="04A0"/>
      </w:tblPr>
      <w:tblGrid>
        <w:gridCol w:w="3331"/>
        <w:gridCol w:w="3331"/>
        <w:gridCol w:w="3331"/>
      </w:tblGrid>
      <w:tr>
        <w:trPr>
          <w:cantSplit/>
        </w:trPr>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STAGE 1</w:t>
            </w:r>
          </w:p>
          <w:p>
            <w:pPr>
              <w:spacing w:after="0" w:beforeAutospacing="0" w:afterAutospacing="0"/>
              <w:jc w:val="center"/>
            </w:pPr>
            <w:r>
              <w:rPr>
                <w:rFonts w:ascii="Aptos" w:hAnsi="Aptos"/>
                <w:b w:val="0"/>
                <w:color w:val="FFFFFF"/>
                <w:sz w:val="19"/>
              </w:rPr>
              <w:t>Full native cognition + tools</w:t>
            </w:r>
          </w:p>
        </w:tc>
        <w:tc>
          <w:tcPr>
            <w:tcW w:w="3331" w:type="dxa"/>
            <w:shd w:val="clear" w:color="auto" w:fill="202A35"/>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STAGE 2</w:t>
            </w:r>
          </w:p>
          <w:p>
            <w:pPr>
              <w:spacing w:after="0" w:beforeAutospacing="0" w:afterAutospacing="0"/>
              <w:jc w:val="center"/>
            </w:pPr>
            <w:r>
              <w:rPr>
                <w:rFonts w:ascii="Aptos" w:hAnsi="Aptos"/>
                <w:b w:val="0"/>
                <w:color w:val="FFFFFF"/>
                <w:sz w:val="19"/>
              </w:rPr>
              <w:t>Semantic distillation, no tools</w:t>
            </w:r>
          </w:p>
        </w:tc>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DURABLE TURN</w:t>
            </w:r>
          </w:p>
          <w:p>
            <w:pPr>
              <w:spacing w:after="0" w:beforeAutospacing="0" w:afterAutospacing="0"/>
              <w:jc w:val="center"/>
            </w:pPr>
            <w:r>
              <w:rPr>
                <w:rFonts w:ascii="Aptos" w:hAnsi="Aptos"/>
                <w:b w:val="0"/>
                <w:color w:val="FFFFFF"/>
                <w:sz w:val="19"/>
              </w:rPr>
              <w:t>Exact user + Jack XML + exact frozen A1</w:t>
            </w:r>
          </w:p>
        </w:tc>
      </w:tr>
    </w:tbl>
    <w:p>
      <w:pPr>
        <w:spacing w:lineRule="auto" w:line="259" w:before="0" w:after="0" w:beforeAutospacing="0" w:afterAutospacing="0"/>
      </w:pPr>
    </w:p>
    <w:p>
      <w:pPr>
        <w:pStyle w:val="P4"/>
        <w:keepNext w:val="1"/>
        <w:spacing w:before="160" w:after="80" w:beforeAutospacing="0" w:afterAutospacing="0"/>
      </w:pPr>
      <w:r>
        <w:rPr>
          <w:rFonts w:ascii="Aptos" w:hAnsi="Aptos"/>
          <w:b w:val="1"/>
          <w:color w:val="9B7424"/>
          <w:sz w:val="23"/>
        </w:rPr>
        <w:t>Stage 1 — full native cognition</w:t>
      </w:r>
    </w:p>
    <w:p>
      <w:pPr>
        <w:pStyle w:val="P22"/>
        <w:spacing w:lineRule="auto" w:line="250" w:after="50" w:beforeAutospacing="0" w:afterAutospacing="0"/>
      </w:pPr>
      <w:r>
        <w:rPr>
          <w:rFonts w:ascii="Aptos" w:hAnsi="Aptos"/>
          <w:color w:val="28323C"/>
          <w:sz w:val="20"/>
        </w:rPr>
        <w:t>X-High @ 0.70, Preserve Thinking ON, caller tools available when supplied.</w:t>
      </w:r>
    </w:p>
    <w:p>
      <w:pPr>
        <w:pStyle w:val="P22"/>
        <w:spacing w:lineRule="auto" w:line="250" w:after="50" w:beforeAutospacing="0" w:afterAutospacing="0"/>
      </w:pPr>
      <w:r>
        <w:rPr>
          <w:rFonts w:ascii="Aptos" w:hAnsi="Aptos"/>
          <w:color w:val="28323C"/>
          <w:sz w:val="20"/>
        </w:rPr>
        <w:t>No Jack cognitive system prompt. The model gets its full native generation opportunity.</w:t>
      </w:r>
    </w:p>
    <w:p>
      <w:pPr>
        <w:pStyle w:val="P22"/>
        <w:spacing w:lineRule="auto" w:line="250" w:after="50" w:beforeAutospacing="0" w:afterAutospacing="0"/>
      </w:pPr>
      <w:r>
        <w:rPr>
          <w:rFonts w:ascii="Aptos" w:hAnsi="Aptos"/>
          <w:color w:val="28323C"/>
          <w:sz w:val="20"/>
        </w:rPr>
        <w:t>Stage 1 performs the substantive task, uses tools naturally, and produces answer A1.</w:t>
      </w:r>
    </w:p>
    <w:p>
      <w:pPr>
        <w:pStyle w:val="P22"/>
        <w:spacing w:lineRule="auto" w:line="250" w:after="50" w:beforeAutospacing="0" w:afterAutospacing="0"/>
      </w:pPr>
      <w:r>
        <w:rPr>
          <w:rFonts w:ascii="Aptos" w:hAnsi="Aptos"/>
          <w:color w:val="28323C"/>
          <w:sz w:val="20"/>
        </w:rPr>
        <w:t>Jack freezes the exact A1 before Stage 2. Stage 2 cannot rewrite, repair, extend, select, or regenerate it.</w:t>
      </w:r>
    </w:p>
    <w:p>
      <w:pPr>
        <w:pStyle w:val="P4"/>
        <w:keepNext w:val="1"/>
        <w:spacing w:before="160" w:after="80" w:beforeAutospacing="0" w:afterAutospacing="0"/>
      </w:pPr>
      <w:r>
        <w:rPr>
          <w:rFonts w:ascii="Aptos" w:hAnsi="Aptos"/>
          <w:b w:val="1"/>
          <w:color w:val="9B7424"/>
          <w:sz w:val="23"/>
        </w:rPr>
        <w:t>Stage 2 — semantic consolidation</w:t>
      </w:r>
    </w:p>
    <w:p>
      <w:pPr>
        <w:pStyle w:val="P22"/>
        <w:spacing w:lineRule="auto" w:line="250" w:after="50" w:beforeAutospacing="0" w:afterAutospacing="0"/>
      </w:pPr>
      <w:r>
        <w:rPr>
          <w:rFonts w:ascii="Aptos" w:hAnsi="Aptos"/>
          <w:color w:val="28323C"/>
          <w:sz w:val="20"/>
        </w:rPr>
        <w:t>X-High @ 0.50, Preserve Thinking ON, tools OFF, zero answer authority.</w:t>
      </w:r>
    </w:p>
    <w:p>
      <w:pPr>
        <w:pStyle w:val="P22"/>
        <w:spacing w:lineRule="auto" w:line="250" w:after="50" w:beforeAutospacing="0" w:afterAutospacing="0"/>
      </w:pPr>
      <w:r>
        <w:rPr>
          <w:rFonts w:ascii="Aptos" w:hAnsi="Aptos"/>
          <w:color w:val="28323C"/>
          <w:sz w:val="20"/>
        </w:rPr>
        <w:t>Sees the exact current user request, complete immediately preceding Stage-1 native reasoning, tool calls/results, and frozen A1 while the cognitive episode is still locally coherent.</w:t>
      </w:r>
    </w:p>
    <w:p>
      <w:pPr>
        <w:pStyle w:val="P22"/>
        <w:spacing w:lineRule="auto" w:line="250" w:after="50" w:beforeAutospacing="0" w:afterAutospacing="0"/>
      </w:pPr>
      <w:r>
        <w:rPr>
          <w:rFonts w:ascii="Aptos" w:hAnsi="Aptos"/>
          <w:color w:val="28323C"/>
          <w:sz w:val="20"/>
        </w:rPr>
        <w:t>Produces strongly semantic Jack XML, not a replacement answer.</w:t>
      </w:r>
    </w:p>
    <w:p>
      <w:pPr>
        <w:pStyle w:val="P22"/>
        <w:spacing w:lineRule="auto" w:line="250" w:after="50" w:beforeAutospacing="0" w:afterAutospacing="0"/>
      </w:pPr>
      <w:r>
        <w:rPr>
          <w:rFonts w:ascii="Aptos" w:hAnsi="Aptos"/>
          <w:color w:val="28323C"/>
          <w:sz w:val="20"/>
        </w:rPr>
        <w:t>There is no A2 and no post-XML answer-generation inference. Once Stage 1 has produced and frozen a trustworthy A1, Jack does not discard that useful work merely because the zero-answer-authority Stage 2 cannot complete: the exact A1 is returned as an explicitly degraded Agentic completion without fabricated Jack XML. Optional forensic persistence is best-effort and does not gate an otherwise complete Jack XML + exact A1 result.</w:t>
      </w:r>
    </w:p>
    <w:p>
      <w:pPr>
        <w:pStyle w:val="P4"/>
        <w:keepNext w:val="1"/>
        <w:spacing w:before="160" w:after="80" w:beforeAutospacing="0" w:afterAutospacing="0"/>
      </w:pPr>
      <w:r>
        <w:t>Why Preserve Thinking is used immediately</w:t>
      </w:r>
    </w:p>
    <w:p>
      <w:pPr>
        <w:spacing w:lineRule="auto" w:line="259" w:before="0" w:after="100" w:beforeAutospacing="0" w:afterAutospacing="0"/>
      </w:pPr>
      <w:r>
        <w:rPr>
          <w:rFonts w:ascii="Aptos" w:hAnsi="Aptos"/>
          <w:color w:val="28323C"/>
          <w:sz w:val="21"/>
        </w:rPr>
        <w:t>Native reasoning is rich, high-bandwidth, and excellent for the task that is happening right now. It is also messy: branching, recursive, repetitive, self-correcting, full of abandoned hypotheses, transient tool protocol, and temporary cognitive debris. That makes it a poor long-horizon memory format.</w:t>
      </w:r>
    </w:p>
    <w:p>
      <w:pPr>
        <w:spacing w:lineRule="auto" w:line="259" w:before="0" w:after="100" w:beforeAutospacing="0" w:afterAutospacing="0"/>
      </w:pPr>
      <w:r>
        <w:rPr>
          <w:rFonts w:ascii="Aptos" w:hAnsi="Aptos"/>
          <w:color w:val="28323C"/>
          <w:sz w:val="21"/>
        </w:rPr>
        <w:t>Agentic exploits Preserve Thinking at the point where raw native reasoning has its highest downstream value: the immediately following Stage 2. Stage 2 can still inspect the exact reasoning that produced A1 before that cognition becomes distant history.</w:t>
      </w:r>
    </w:p>
    <w:p>
      <w:pPr>
        <w:pStyle w:val="P4"/>
        <w:keepNext w:val="1"/>
        <w:spacing w:before="160" w:after="80" w:beforeAutospacing="0" w:afterAutospacing="0"/>
      </w:pPr>
      <w:r>
        <w:t>Why Jack XML exists</w:t>
      </w:r>
    </w:p>
    <w:p>
      <w:pPr>
        <w:spacing w:lineRule="auto" w:line="259" w:before="0" w:after="100" w:beforeAutospacing="0" w:afterAutospacing="0"/>
      </w:pPr>
      <w:r>
        <w:rPr>
          <w:rFonts w:ascii="Aptos" w:hAnsi="Aptos"/>
          <w:color w:val="28323C"/>
          <w:sz w:val="21"/>
        </w:rPr>
        <w:t>Stage 2 converts the future-useful epistemic consequences of the completed turn into a compact, strongly labeled representation. Jack XML is not a transcript and not a compressed chain of thought. It is a semantic attention layer for later context.</w:t>
      </w:r>
    </w:p>
    <w:tbl>
      <w:tblPr>
        <w:tblW w:w="0" w:type="auto"/>
        <w:jc w:val="center"/>
        <w:tblLayout w:type="autofit"/>
        <w:tblLook w:val="04A0"/>
      </w:tblPr>
      <w:tblGrid>
        <w:gridCol w:w="9994"/>
      </w:tblGrid>
      <w:tr>
        <w:trPr>
          <w:cantSplit/>
        </w:trPr>
        <w:tc>
          <w:tcPr>
            <w:tcW w:w="9994" w:type="dxa"/>
            <w:shd w:val="clear" w:color="auto" w:fill="F4F6F8"/>
            <w:tcMar>
              <w:top w:w="70" w:type="dxa"/>
              <w:left w:w="85" w:type="dxa"/>
              <w:bottom w:w="70" w:type="dxa"/>
              <w:right w:w="85" w:type="dxa"/>
            </w:tcMar>
            <w:vAlign w:val="center"/>
          </w:tcPr>
          <w:p>
            <w:pPr>
              <w:jc w:val="center"/>
            </w:pPr>
            <w:r>
              <w:rPr>
                <w:rFonts w:ascii="Aptos" w:hAnsi="Aptos"/>
                <w:color w:val="28323C"/>
                <w:sz w:val="19"/>
              </w:rPr>
              <w:t>Preserve Thinking maximizes immediate cognitive fidelity. Jack XML preserves semantic clarity and attention across the long horizon.</w:t>
            </w:r>
          </w:p>
        </w:tc>
      </w:tr>
    </w:tbl>
    <w:p>
      <w:pPr>
        <w:spacing w:lineRule="auto" w:line="259" w:before="0" w:after="0" w:beforeAutospacing="0" w:afterAutospacing="0"/>
      </w:pPr>
    </w:p>
    <w:p>
      <w:pPr>
        <w:pStyle w:val="P4"/>
        <w:keepNext w:val="1"/>
        <w:spacing w:before="160" w:after="80" w:beforeAutospacing="0" w:afterAutospacing="0"/>
      </w:pPr>
      <w:r>
        <w:t>The four Jack XML semantic roles</w:t>
      </w:r>
    </w:p>
    <w:tbl>
      <w:tblPr>
        <w:tblW w:w="0" w:type="auto"/>
        <w:jc w:val="center"/>
        <w:tblLayout w:type="autofit"/>
        <w:tblLook w:val="04A0"/>
      </w:tblPr>
      <w:tblGrid>
        <w:gridCol w:w="1440"/>
        <w:gridCol w:w="4320"/>
        <w:gridCol w:w="4320"/>
      </w:tblGrid>
      <w:tr>
        <w:trPr>
          <w:cantSplit/>
          <w:tblHeader/>
        </w:trPr>
        <w:tc>
          <w:tcPr>
            <w:tcW w:w="1440"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Block</w:t>
            </w:r>
          </w:p>
        </w:tc>
        <w:tc>
          <w:tcPr>
            <w:tcW w:w="4320"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Plain-English job</w:t>
            </w:r>
          </w:p>
        </w:tc>
        <w:tc>
          <w:tcPr>
            <w:tcW w:w="4320"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Hard boundary</w:t>
            </w:r>
          </w:p>
        </w:tc>
      </w:tr>
      <w:tr>
        <w:trPr>
          <w:cantSplit/>
        </w:trPr>
        <w:tc>
          <w:tcPr>
            <w:tcW w:w="144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grounding</w:t>
            </w:r>
          </w:p>
        </w:tc>
        <w:tc>
          <w:tcPr>
            <w:tcW w:w="432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What was actually observed and what was not observed.</w:t>
            </w:r>
          </w:p>
        </w:tc>
        <w:tc>
          <w:tcPr>
            <w:tcW w:w="432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Does not reconstruct workspace state or promote prior model claims into evidence.</w:t>
            </w:r>
          </w:p>
        </w:tc>
      </w:tr>
      <w:tr>
        <w:trPr>
          <w:cantSplit/>
        </w:trPr>
        <w:tc>
          <w:tcPr>
            <w:tcW w:w="144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verification</w:t>
            </w:r>
          </w:p>
        </w:tc>
        <w:tc>
          <w:tcPr>
            <w:tcW w:w="432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What deterministic Stage-1 tool evidence actually proved, with narrow scope.</w:t>
            </w:r>
          </w:p>
        </w:tc>
        <w:tc>
          <w:tcPr>
            <w:tcW w:w="432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A syntax/file/grep/test result cannot be silently inflated into broader success. If no deterministic verification occurred: NONE.</w:t>
            </w:r>
          </w:p>
        </w:tc>
      </w:tr>
      <w:tr>
        <w:trPr>
          <w:cantSplit/>
        </w:trPr>
        <w:tc>
          <w:tcPr>
            <w:tcW w:w="144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challenge</w:t>
            </w:r>
          </w:p>
        </w:tc>
        <w:tc>
          <w:tcPr>
            <w:tcW w:w="432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Prospective pressure: PREMISE, INVALIDATION, HIDDEN ASSUMPTION. What may make A1 wrong?</w:t>
            </w:r>
          </w:p>
        </w:tc>
        <w:tc>
          <w:tcPr>
            <w:tcW w:w="432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Does not become a fact, replacement answer, or new requirement merely because it was raised.</w:t>
            </w:r>
          </w:p>
        </w:tc>
      </w:tr>
      <w:tr>
        <w:trPr>
          <w:cantSplit/>
        </w:trPr>
        <w:tc>
          <w:tcPr>
            <w:tcW w:w="144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audit</w:t>
            </w:r>
          </w:p>
        </w:tc>
        <w:tc>
          <w:tcPr>
            <w:tcW w:w="432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Retrospective diagnostic: concrete A1 mistakes Stage 2 actually established.</w:t>
            </w:r>
          </w:p>
        </w:tc>
        <w:tc>
          <w:tcPr>
            <w:tcW w:w="432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A hypothetical challenge enters Audit only when established. Audit is not evidence, verification, repair, or future action.</w:t>
            </w:r>
          </w:p>
        </w:tc>
      </w:tr>
    </w:tbl>
    <w:p>
      <w:pPr>
        <w:spacing w:lineRule="auto" w:line="259" w:before="0" w:after="0" w:beforeAutospacing="0" w:afterAutospacing="0"/>
      </w:pPr>
    </w:p>
    <w:p>
      <w:pPr>
        <w:pStyle w:val="P4"/>
        <w:keepNext w:val="1"/>
        <w:spacing w:before="160" w:after="80" w:beforeAutospacing="0" w:afterAutospacing="0"/>
      </w:pPr>
      <w:r>
        <w:t>The durable completed-turn capsule</w:t>
      </w:r>
    </w:p>
    <w:tbl>
      <w:tblPr>
        <w:tblW w:w="0" w:type="auto"/>
        <w:jc w:val="center"/>
        <w:tblLayout w:type="autofit"/>
        <w:tblLook w:val="04A0"/>
      </w:tblPr>
      <w:tblGrid>
        <w:gridCol w:w="9994"/>
      </w:tblGrid>
      <w:tr>
        <w:trPr>
          <w:cantSplit/>
        </w:trPr>
        <w:tc>
          <w:tcPr>
            <w:tcW w:w="9994" w:type="dxa"/>
            <w:shd w:val="clear" w:color="auto" w:fill="F4F6F8"/>
            <w:tcMar>
              <w:top w:w="70" w:type="dxa"/>
              <w:left w:w="85" w:type="dxa"/>
              <w:bottom w:w="70" w:type="dxa"/>
              <w:right w:w="85" w:type="dxa"/>
            </w:tcMar>
            <w:vAlign w:val="center"/>
          </w:tcPr>
          <w:p>
            <w:pPr>
              <w:spacing w:after="60" w:beforeAutospacing="0" w:afterAutospacing="0"/>
            </w:pPr>
            <w:r>
              <w:rPr>
                <w:rFonts w:ascii="Aptos" w:hAnsi="Aptos"/>
                <w:color w:val="28323C"/>
                <w:sz w:val="19"/>
              </w:rPr>
              <w:t>Agentic commit</w:t>
            </w:r>
          </w:p>
          <w:p>
            <w:pPr>
              <w:spacing w:lineRule="auto" w:line="252" w:after="0" w:beforeAutospacing="0" w:afterAutospacing="0"/>
            </w:pPr>
            <w:r>
              <w:rPr>
                <w:rFonts w:ascii="Aptos" w:hAnsi="Aptos"/>
                <w:color w:val="28323C"/>
                <w:sz w:val="19"/>
              </w:rPr>
              <w:t>exact user message -&gt; strongly semantic Jack XML -&gt; exact frozen A1</w:t>
            </w:r>
          </w:p>
        </w:tc>
      </w:tr>
    </w:tbl>
    <w:p>
      <w:pPr>
        <w:spacing w:lineRule="auto" w:line="259" w:before="0" w:after="0" w:beforeAutospacing="0" w:afterAutospacing="0"/>
      </w:pPr>
    </w:p>
    <w:p>
      <w:pPr>
        <w:spacing w:lineRule="auto" w:line="259" w:before="0" w:after="100" w:beforeAutospacing="0" w:afterAutospacing="0"/>
      </w:pPr>
      <w:r>
        <w:rPr>
          <w:rFonts w:ascii="Aptos" w:hAnsi="Aptos"/>
          <w:color w:val="28323C"/>
          <w:sz w:val="21"/>
        </w:rPr>
        <w:t>After the semantic checkpoint is complete, historical raw native reasoning and consumed tool-call/result protocol can be removed from later live context. The exact user wording remains authoritative for what was requested. Frozen A1 preserves the committed result. Jack XML preserves compact epistemic/attention state.</w:t>
      </w:r>
    </w:p>
    <w:p>
      <w:pPr>
        <w:pStyle w:val="P4"/>
        <w:keepNext w:val="1"/>
        <w:spacing w:before="160" w:after="80" w:beforeAutospacing="0" w:afterAutospacing="0"/>
      </w:pPr>
      <w:r>
        <w:t>What Jack XML is not</w:t>
      </w:r>
    </w:p>
    <w:p>
      <w:pPr>
        <w:pStyle w:val="P22"/>
        <w:spacing w:lineRule="auto" w:line="250" w:after="50" w:beforeAutospacing="0" w:afterAutospacing="0"/>
      </w:pPr>
      <w:r>
        <w:rPr>
          <w:rFonts w:ascii="Aptos" w:hAnsi="Aptos"/>
          <w:color w:val="28323C"/>
          <w:sz w:val="20"/>
        </w:rPr>
        <w:t>Not independent truth.</w:t>
      </w:r>
    </w:p>
    <w:p>
      <w:pPr>
        <w:pStyle w:val="P22"/>
        <w:spacing w:lineRule="auto" w:line="250" w:after="50" w:beforeAutospacing="0" w:afterAutospacing="0"/>
      </w:pPr>
      <w:r>
        <w:rPr>
          <w:rFonts w:ascii="Aptos" w:hAnsi="Aptos"/>
          <w:color w:val="28323C"/>
          <w:sz w:val="20"/>
        </w:rPr>
        <w:t>Not a synthetic workspace ledger.</w:t>
      </w:r>
    </w:p>
    <w:p>
      <w:pPr>
        <w:pStyle w:val="P22"/>
        <w:spacing w:lineRule="auto" w:line="250" w:after="50" w:beforeAutospacing="0" w:afterAutospacing="0"/>
      </w:pPr>
      <w:r>
        <w:rPr>
          <w:rFonts w:ascii="Aptos" w:hAnsi="Aptos"/>
          <w:color w:val="28323C"/>
          <w:sz w:val="20"/>
        </w:rPr>
        <w:t>Not a replacement copy of the user request.</w:t>
      </w:r>
    </w:p>
    <w:p>
      <w:pPr>
        <w:pStyle w:val="P22"/>
        <w:spacing w:lineRule="auto" w:line="250" w:after="50" w:beforeAutospacing="0" w:afterAutospacing="0"/>
      </w:pPr>
      <w:r>
        <w:rPr>
          <w:rFonts w:ascii="Aptos" w:hAnsi="Aptos"/>
          <w:color w:val="28323C"/>
          <w:sz w:val="20"/>
        </w:rPr>
        <w:t>Not repair authority.</w:t>
      </w:r>
    </w:p>
    <w:p>
      <w:pPr>
        <w:pStyle w:val="P22"/>
        <w:spacing w:lineRule="auto" w:line="250" w:after="50" w:beforeAutospacing="0" w:afterAutospacing="0"/>
      </w:pPr>
      <w:r>
        <w:rPr>
          <w:rFonts w:ascii="Aptos" w:hAnsi="Aptos"/>
          <w:color w:val="28323C"/>
          <w:sz w:val="20"/>
        </w:rPr>
        <w:t>Not proof that a claim is correct just because it appears inside XML.</w:t>
      </w:r>
    </w:p>
    <w:p>
      <w:pPr>
        <w:pStyle w:val="P4"/>
        <w:keepNext w:val="1"/>
        <w:spacing w:before="160" w:after="80" w:beforeAutospacing="0" w:afterAutospacing="0"/>
      </w:pPr>
      <w:r>
        <w:t>The semantic capability floor</w:t>
      </w:r>
    </w:p>
    <w:p>
      <w:pPr>
        <w:spacing w:lineRule="auto" w:line="259" w:before="0" w:after="100" w:beforeAutospacing="0" w:afterAutospacing="0"/>
      </w:pPr>
      <w:r>
        <w:rPr>
          <w:rFonts w:ascii="Aptos" w:hAnsi="Aptos"/>
          <w:color w:val="28323C"/>
          <w:sz w:val="21"/>
        </w:rPr>
        <w:t>Preserve-Thinking transport is necessary but not sufficient. A weak model may have access to the right reasoning and still produce poor consolidation. Jack can enforce the transport, tools, freeze, commit, and pruning boundaries; it cannot deterministically force a model to understand evidence perfectly.</w:t>
      </w:r>
    </w:p>
    <w:p>
      <w:pPr>
        <w:pStyle w:val="P4"/>
        <w:keepNext w:val="1"/>
      </w:pPr>
      <w:r>
        <w:rPr>
          <w:b w:val="0"/>
          <w:i w:val="0"/>
        </w:rPr>
        <w:t>Observed release test: Jack XML preserved more than the visible answer</w:t>
      </w:r>
    </w:p>
    <w:p>
      <w:r>
        <w:rPr>
          <w:b w:val="0"/>
          <w:i w:val="0"/>
        </w:rPr>
        <w:t>A five-turn September 2026 Agentic test deliberately made Turn 3's frozen visible A1 exactly "DISTILLATION COMPLETE" after Stage 1 had re-read source files, reconstructed geometry failures, and checked clock-angle mappings. Stage 2 then distilled that rich native episode into grounding, verification, challenge, and audit state. After completed native cognition was retired, the durable turn still carried the operative semantics rather than collapsing to the two-word A1.</w:t>
      </w:r>
    </w:p>
    <w:p>
      <w:r>
        <w:rPr>
          <w:b w:val="0"/>
          <w:i w:val="0"/>
        </w:rPr>
        <w:t>The final turn provided a stronger result. Stage 1 correctly verified the artifact 9/9, left it unchanged, and wrote the report, but its visible explanation miscounted and misordered failed test-harness attempts. Stage 2 reconstructed the actual tool chronology and recorded that concrete narrative error in &lt;audit&gt; while explicitly preserving the valid 9/9 artifact verdict. The answer remained frozen; the correction became durable state instead of a silent rewrite.</w:t>
      </w:r>
    </w:p>
    <w:p>
      <w:r>
        <w:rPr>
          <w:b w:val="0"/>
          <w:i w:val="1"/>
        </w:rPr>
        <w:t>This is a case study, not a benchmark. It demonstrates the mechanism directly - semantic state surviving raw-cognition retirement and a frozen-answer audit catching a real error - but broader matched controls are still needed to measure average quality effects.</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7. Code Debugging / Code Debugging (Deep): report-only forensic auditing with durable handoffs</w:t>
      </w:r>
    </w:p>
    <w:p>
      <w:pPr>
        <w:spacing w:lineRule="auto" w:line="259" w:before="0" w:after="100" w:beforeAutospacing="0" w:afterAutospacing="0"/>
      </w:pPr>
      <w:r>
        <w:t>Code Debugging ships as two public reasoning profiles over the same five-pass report-only forensic program. Code Debugging uses Medium reasoning for intake, Passes 1-5, and final reporting. Code Debugging (Deep) uses X-High for those same inferences. Topology, prompts, tools, context isolation, temperature cascade, durable reporting, duplicate avoidance, and final synthesis are otherwise identical. Before Pass 1, a tools-off diagnostic intake @ 0.70 can converse with the user and stream reasoning/output. The initial request is enough to begin; extra symptoms or logs are optional. When intake closes, Jack keeps only user-origin information as durable Pass 0 and discards pre-stage native reasoning and assistant chatter. Passes 1-5 then start fresh over the unchanged target and may use inspection or non-mutating diagnostics.</w:t>
      </w:r>
    </w:p>
    <w:tbl>
      <w:tblPr>
        <w:tblW w:w="0" w:type="auto"/>
        <w:jc w:val="center"/>
        <w:tblLayout w:type="autofit"/>
        <w:tblLook w:val="04A0"/>
      </w:tblPr>
      <w:tblGrid>
        <w:gridCol w:w="3331"/>
        <w:gridCol w:w="3331"/>
        <w:gridCol w:w="3331"/>
      </w:tblGrid>
      <w:tr>
        <w:trPr>
          <w:cantSplit/>
        </w:trPr>
        <w:tc>
          <w:tcPr>
            <w:tcW w:w="3331" w:type="dxa"/>
            <w:shd w:val="clear" w:color="auto" w:fill="33485C"/>
            <w:tcMar>
              <w:top w:w="70" w:type="dxa"/>
              <w:left w:w="85" w:type="dxa"/>
              <w:bottom w:w="70" w:type="dxa"/>
              <w:right w:w="85" w:type="dxa"/>
            </w:tcMar>
            <w:vAlign w:val="center"/>
          </w:tcPr>
          <w:p>
            <w:pPr>
              <w:jc w:val="center"/>
            </w:pPr>
            <w:r>
              <w:rPr>
                <w:rFonts w:ascii="Aptos" w:hAnsi="Aptos"/>
                <w:b w:val="1"/>
                <w:color w:val="B28A2E"/>
                <w:sz w:val="20"/>
              </w:rPr>
              <w:t>PASS N</w:t>
            </w:r>
          </w:p>
          <w:p>
            <w:pPr>
              <w:jc w:val="center"/>
            </w:pPr>
            <w:r>
              <w:rPr>
                <w:rFonts w:ascii="Aptos" w:hAnsi="Aptos"/>
                <w:b w:val="0"/>
                <w:color w:val="FFFFFF"/>
                <w:sz w:val="19"/>
              </w:rPr>
              <w:t>Fresh forensic audit</w:t>
            </w:r>
          </w:p>
        </w:tc>
        <w:tc>
          <w:tcPr>
            <w:tcW w:w="3331" w:type="dxa"/>
            <w:shd w:val="clear" w:color="auto" w:fill="202A35"/>
            <w:tcMar>
              <w:top w:w="70" w:type="dxa"/>
              <w:left w:w="85" w:type="dxa"/>
              <w:bottom w:w="70" w:type="dxa"/>
              <w:right w:w="85" w:type="dxa"/>
            </w:tcMar>
            <w:vAlign w:val="center"/>
          </w:tcPr>
          <w:p>
            <w:pPr>
              <w:jc w:val="center"/>
            </w:pPr>
            <w:r>
              <w:rPr>
                <w:rFonts w:ascii="Aptos" w:hAnsi="Aptos"/>
                <w:b w:val="1"/>
                <w:color w:val="B28A2E"/>
                <w:sz w:val="20"/>
              </w:rPr>
              <w:t>DURABLE REPORT</w:t>
            </w:r>
          </w:p>
          <w:p>
            <w:pPr>
              <w:jc w:val="center"/>
            </w:pPr>
            <w:r>
              <w:rPr>
                <w:rFonts w:ascii="Aptos" w:hAnsi="Aptos"/>
                <w:b w:val="0"/>
                <w:color w:val="FFFFFF"/>
                <w:sz w:val="19"/>
              </w:rPr>
              <w:t>Save full handoff</w:t>
            </w:r>
          </w:p>
        </w:tc>
        <w:tc>
          <w:tcPr>
            <w:tcW w:w="3331" w:type="dxa"/>
            <w:shd w:val="clear" w:color="auto" w:fill="33485C"/>
            <w:tcMar>
              <w:top w:w="70" w:type="dxa"/>
              <w:left w:w="85" w:type="dxa"/>
              <w:bottom w:w="70" w:type="dxa"/>
              <w:right w:w="85" w:type="dxa"/>
            </w:tcMar>
            <w:vAlign w:val="center"/>
          </w:tcPr>
          <w:p>
            <w:pPr>
              <w:jc w:val="center"/>
            </w:pPr>
            <w:r>
              <w:rPr>
                <w:rFonts w:ascii="Aptos" w:hAnsi="Aptos"/>
                <w:b w:val="1"/>
                <w:color w:val="B28A2E"/>
                <w:sz w:val="20"/>
              </w:rPr>
              <w:t>PASS N+1</w:t>
            </w:r>
          </w:p>
          <w:p>
            <w:pPr>
              <w:jc w:val="center"/>
            </w:pPr>
            <w:r>
              <w:rPr>
                <w:rFonts w:ascii="Aptos" w:hAnsi="Aptos"/>
                <w:b w:val="0"/>
                <w:color w:val="FFFFFF"/>
                <w:sz w:val="19"/>
              </w:rPr>
              <w:t>Exact Pass 0 + compact prior-audit registry</w:t>
            </w:r>
          </w:p>
        </w:tc>
      </w:tr>
    </w:tbl>
    <w:p>
      <w:pPr>
        <w:spacing w:lineRule="auto" w:line="259" w:before="0" w:after="0" w:beforeAutospacing="0" w:afterAutospacing="0"/>
      </w:pPr>
    </w:p>
    <w:p>
      <w:pPr>
        <w:pStyle w:val="P4"/>
        <w:keepNext w:val="1"/>
        <w:spacing w:before="160" w:after="80" w:beforeAutospacing="0" w:afterAutospacing="0"/>
      </w:pPr>
      <w:r>
        <w:t>The packaged five-pass pattern</w:t>
      </w:r>
    </w:p>
    <w:p>
      <w:pPr>
        <w:pStyle w:val="P22"/>
        <w:spacing w:lineRule="auto" w:line="250" w:after="50" w:beforeAutospacing="0" w:afterAutospacing="0"/>
      </w:pPr>
      <w:r>
        <w:t>Exactly five fresh report-only audit passes follow the intake at the selected reasoning effort: Medium for Code Debugging or X-High for Code Debugging (Deep). Debugging does not patch the target and there is no Pass 6.</w:t>
      </w:r>
    </w:p>
    <w:p>
      <w:pPr>
        <w:pStyle w:val="P22"/>
        <w:spacing w:lineRule="auto" w:line="250" w:after="50" w:beforeAutospacing="0" w:afterAutospacing="0"/>
      </w:pPr>
      <w:r>
        <w:rPr>
          <w:rFonts w:ascii="Aptos" w:hAnsi="Aptos"/>
          <w:color w:val="28323C"/>
          <w:sz w:val="20"/>
        </w:rPr>
        <w:t>Debugging/Instructions.md: core model-facing report-only contract, shared review space, one-problem rule, evidence discipline, clarification behavior, and handoff expectations.</w:t>
      </w:r>
    </w:p>
    <w:p>
      <w:pPr>
        <w:pStyle w:val="P22"/>
        <w:spacing w:lineRule="auto" w:line="250" w:after="50" w:beforeAutospacing="0" w:afterAutospacing="0"/>
      </w:pPr>
      <w:r>
        <w:rPr>
          <w:rFonts w:ascii="Aptos" w:hAnsi="Aptos"/>
          <w:color w:val="28323C"/>
          <w:sz w:val="20"/>
        </w:rPr>
        <w:t>Debugging/User_Instructions.md: core user-facing examples. The user may provide symptoms and witnessed runtime behavior, but the initial request is sufficient and extra intake detail is optional.</w:t>
      </w:r>
    </w:p>
    <w:p>
      <w:pPr>
        <w:pStyle w:val="P22"/>
        <w:spacing w:lineRule="auto" w:line="250" w:after="50" w:beforeAutospacing="0" w:afterAutospacing="0"/>
      </w:pPr>
      <w:r>
        <w:rPr>
          <w:rFonts w:ascii="Aptos" w:hAnsi="Aptos"/>
          <w:color w:val="28323C"/>
          <w:sz w:val="20"/>
        </w:rPr>
        <w:t>Debugging/Debugging_Report.md: core static template/reference. Actual runs are new unique timestamped files in Debugging/Reports/, so the feature can be used repeatedly without overwriting earlier reports or core files.</w:t>
      </w:r>
    </w:p>
    <w:p>
      <w:pPr>
        <w:pStyle w:val="P22"/>
        <w:spacing w:lineRule="auto" w:line="250" w:after="50" w:beforeAutospacing="0" w:afterAutospacing="0"/>
      </w:pPr>
      <w:r>
        <w:rPr>
          <w:rFonts w:ascii="Aptos" w:hAnsi="Aptos"/>
          <w:color w:val="28323C"/>
          <w:sz w:val="20"/>
        </w:rPr>
        <w:t>Every live pass receives the exact user-origin Pass 0 intake directly. Pass 1 receives no prior model-authored audit state. Passes 2–5 additionally receive only a compact host-derived duplicate-avoidance registry distilled from prior completed outcomes — finding identity/category, severity/status, location, established problem/outcome, and a compact evidence basis when safely extractable. Full prior handoffs are not projected into later passes.</w:t>
      </w:r>
    </w:p>
    <w:p>
      <w:pPr>
        <w:pStyle w:val="P22"/>
        <w:spacing w:lineRule="auto" w:line="250" w:after="50" w:beforeAutospacing="0" w:afterAutospacing="0"/>
      </w:pPr>
      <w:r>
        <w:rPr>
          <w:rFonts w:ascii="Aptos" w:hAnsi="Aptos"/>
          <w:color w:val="28323C"/>
          <w:sz w:val="20"/>
        </w:rPr>
        <w:t>The unchanged target is independently reread on every pass. Every pass can search the same broad professional code-review categories rather than being assigned one category by pass number.</w:t>
      </w:r>
    </w:p>
    <w:p>
      <w:pPr>
        <w:pStyle w:val="P22"/>
        <w:spacing w:lineRule="auto" w:line="250" w:after="50" w:beforeAutospacing="0" w:afterAutospacing="0"/>
      </w:pPr>
      <w:r>
        <w:rPr>
          <w:rFonts w:ascii="Aptos" w:hAnsi="Aptos"/>
          <w:color w:val="28323C"/>
          <w:sz w:val="20"/>
        </w:rPr>
        <w:t>Each pass selects one strongest new candidate, locks to that one problem, and audits it deeply. A supported finding should be classified LOW, MEDIUM, HIGH, or CRITICAL and be repair-ready: status/location, root cause/evidence, required correction, preservation constraints, and post-patch verification. A disproved candidate may be rejected and a pass may report no material finding.</w:t>
      </w:r>
    </w:p>
    <w:p>
      <w:pPr>
        <w:pStyle w:val="P22"/>
        <w:spacing w:lineRule="auto" w:line="250" w:after="50" w:beforeAutospacing="0" w:afterAutospacing="0"/>
      </w:pPr>
      <w:r>
        <w:t>The temperature cascade 1.00 -&gt; 0.80 -&gt; 0.70 -&gt; 0.60 -&gt; 0.50 is the control mechanism for broad-to-conservative searching over the same category space. Useful audit output is not rejected just because labels repeat or formatting is imperfect. After Pass 5, a fresh tools-off reporter @ 1.00 uses the same selected debugging reasoning effort, reads all Pass 0-5 material from the current run file, and writes the work-agent repair specification.</w:t>
      </w:r>
    </w:p>
    <w:p>
      <w:pPr>
        <w:pStyle w:val="P4"/>
        <w:keepNext w:val="1"/>
        <w:spacing w:before="160" w:after="80" w:beforeAutospacing="0" w:afterAutospacing="0"/>
      </w:pPr>
      <w:r>
        <w:t>Why this matters beyond debugging</w:t>
      </w:r>
    </w:p>
    <w:p>
      <w:pPr>
        <w:spacing w:lineRule="auto" w:line="259" w:before="0" w:after="100" w:beforeAutospacing="0" w:afterAutospacing="0"/>
      </w:pPr>
      <w:r>
        <w:rPr>
          <w:rFonts w:ascii="Aptos" w:hAnsi="Aptos"/>
          <w:color w:val="28323C"/>
          <w:sz w:val="21"/>
        </w:rPr>
        <w:t>The report is Debugging's product: it should let a separate work agent implement repairs without rediscovering the defects. The reusable idea is durable complete history plus a deliberately small live handoff. More broadly, customizable loops are another use case improved by Jack Kernel: developers can explicitly vary pass count, sampling/temperature schedule, review/search scope, tool authority, intake behavior, durable state, pruning/rehydration, human gates, and stop/finalization rules instead of asking one model prompt to remember and enforce the whole loop.</w:t>
      </w:r>
    </w:p>
    <w:p>
      <w:pPr>
        <w:pStyle w:val="P4"/>
        <w:keepNext w:val="1"/>
      </w:pPr>
      <w:r>
        <w:rPr>
          <w:b w:val="0"/>
          <w:i w:val="0"/>
        </w:rPr>
        <w:t>The only mode-level difference</w:t>
      </w:r>
    </w:p>
    <w:p>
      <w:r>
        <w:rPr>
          <w:b w:val="0"/>
          <w:i w:val="0"/>
        </w:rPr>
        <w:t>Code Debugging = Medium reasoning. Code Debugging (Deep) = X-High reasoning. Everything else is deliberately held constant so the two modes remain comparable and predictable.</w:t>
      </w:r>
    </w:p>
    <w:p>
      <w:pPr>
        <w:pStyle w:val="P4"/>
        <w:keepNext w:val="1"/>
      </w:pPr>
      <w:r>
        <w:rPr>
          <w:b w:val="0"/>
          <w:i w:val="0"/>
        </w:rPr>
        <w:t>Recommended operating loop</w:t>
      </w:r>
    </w:p>
    <w:p>
      <w:r>
        <w:rPr>
          <w:b w:val="0"/>
          <w:i w:val="0"/>
        </w:rPr>
        <w:t>A practical release workflow is: run Code Debugging at Medium, repair confirmed findings, repeat Medium until a full five-pass run is clean, then run Code Debugging (Deep) once as the final challenge sweep. If Deep finds a real defect, patch it, return to Medium until clean, then run Deep again. This is recommended operating practice, not a kernel-enforced stop rule.</w:t>
      </w:r>
    </w:p>
    <w:p>
      <w:pPr>
        <w:pStyle w:val="P4"/>
        <w:keepNext w:val="1"/>
        <w:spacing w:before="160" w:after="80" w:beforeAutospacing="0" w:afterAutospacing="0"/>
      </w:pPr>
      <w:r>
        <w:t>Context pruning and rehydration</w:t>
      </w:r>
    </w:p>
    <w:p>
      <w:pPr>
        <w:spacing w:lineRule="auto" w:line="259" w:before="0" w:after="100" w:beforeAutospacing="0" w:afterAutospacing="0"/>
      </w:pPr>
      <w:r>
        <w:rPr>
          <w:rFonts w:ascii="Aptos" w:hAnsi="Aptos"/>
          <w:color w:val="28323C"/>
          <w:sz w:val="21"/>
        </w:rPr>
        <w:t>Within a pass, scratch reasoning, non-mutating diagnostic tool context, and a user clarification about the one locked problem may persist. At pass close, Jack appends the complete handoff to the current unique run report and discards the transient pass context. The next pass starts fresh, receives the exact Pass 0 user authority again, and — for Passes 2–5 — receives only the compact host-derived duplicate-avoidance registry. Full prior handoffs, repair instructions, preservation advice, verification plans, residual observations, and future-pass search suggestions remain on disk for the final reporter but stay out of the next live audit.</w:t>
      </w: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r>
              <w:rPr>
                <w:rFonts w:ascii="Aptos" w:hAnsi="Aptos"/>
                <w:b w:val="1"/>
                <w:color w:val="33485C"/>
                <w:sz w:val="19"/>
              </w:rPr>
              <w:t>Important nuance</w:t>
            </w:r>
          </w:p>
          <w:p>
            <w:r>
              <w:rPr>
                <w:rFonts w:ascii="Aptos" w:hAnsi="Aptos"/>
                <w:b w:val="0"/>
                <w:color w:val="28323C"/>
                <w:sz w:val="19"/>
              </w:rPr>
              <w:t>Code Debugging separates the durable pass report from the next pass’s live audit state. The full handoff remains on disk for final synthesis, but later live passes do not receive the previous handoff. Every pass receives the exact user-origin Pass 0 intake; Passes 2–5 additionally receive only a compact host-derived duplicate-avoidance registry from established prior outcomes. Repair directions, preservation advice, verification plans, residual observations, and future-pass search suggestions stay out of later live audit context.</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8. One kernel, different memory lifetimes</w:t>
      </w:r>
    </w:p>
    <w:p>
      <w:pPr>
        <w:spacing w:lineRule="auto" w:line="259" w:before="0" w:after="100" w:beforeAutospacing="0" w:afterAutospacing="0"/>
      </w:pPr>
      <w:r>
        <w:rPr>
          <w:rFonts w:ascii="Aptos" w:hAnsi="Aptos"/>
          <w:color w:val="28323C"/>
          <w:sz w:val="21"/>
        </w:rPr>
        <w:t>This is one of the most important ideas in Jack. There is no universal rule that says "keep all context" or "summarize everything." Jack assigns different representations different lifetimes according to the cognitive program.</w:t>
      </w:r>
    </w:p>
    <w:tbl>
      <w:tblPr>
        <w:tblW w:w="0" w:type="auto"/>
        <w:jc w:val="center"/>
        <w:tblLayout w:type="autofit"/>
        <w:tblLook w:val="04A0"/>
      </w:tblPr>
      <w:tblGrid>
        <w:gridCol w:w="1944"/>
        <w:gridCol w:w="3960"/>
        <w:gridCol w:w="4176"/>
      </w:tblGrid>
      <w:tr>
        <w:trPr>
          <w:cantSplit/>
          <w:tblHeader/>
        </w:trPr>
        <w:tc>
          <w:tcPr>
            <w:tcW w:w="1944"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Program</w:t>
            </w:r>
          </w:p>
        </w:tc>
        <w:tc>
          <w:tcPr>
            <w:tcW w:w="3960"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During active work</w:t>
            </w:r>
          </w:p>
        </w:tc>
        <w:tc>
          <w:tcPr>
            <w:tcW w:w="4176"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After completion</w:t>
            </w:r>
          </w:p>
        </w:tc>
      </w:tr>
      <w:tr>
        <w:trPr>
          <w:cantSplit/>
        </w:trPr>
        <w:tc>
          <w:tcPr>
            <w:tcW w:w="194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Deep Research</w:t>
            </w:r>
          </w:p>
        </w:tc>
        <w:tc>
          <w:tcPr>
            <w:tcW w:w="396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Full Thesis + Antithesis + Synthesis cognition is preserved through the authoritative final.</w:t>
            </w:r>
          </w:p>
        </w:tc>
        <w:tc>
          <w:tcPr>
            <w:tcW w:w="41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Later prune only Stage-1/Stage-2 native reasoning; keep exact user, visible stage outputs, tools/results, Stage-3 reasoning, final.</w:t>
            </w:r>
          </w:p>
        </w:tc>
      </w:tr>
      <w:tr>
        <w:trPr>
          <w:cantSplit/>
        </w:trPr>
        <w:tc>
          <w:tcPr>
            <w:tcW w:w="194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Agentic</w:t>
            </w:r>
          </w:p>
        </w:tc>
        <w:tc>
          <w:tcPr>
            <w:tcW w:w="396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Full native Stage-1 cognition/tool trajectory is preserved at maximum fidelity into immediate Stage 2.</w:t>
            </w:r>
          </w:p>
        </w:tc>
        <w:tc>
          <w:tcPr>
            <w:tcW w:w="41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Keep exact user + semantic Jack XML + exact frozen A1; retire completed native reasoning/tool protocol.</w:t>
            </w:r>
          </w:p>
        </w:tc>
      </w:tr>
      <w:tr>
        <w:trPr>
          <w:cantSplit/>
        </w:trPr>
        <w:tc>
          <w:tcPr>
            <w:tcW w:w="1944" w:type="dxa"/>
            <w:shd w:val="clear" w:color="auto" w:fill="F4F6F8"/>
            <w:tcMar>
              <w:top w:w="80" w:type="dxa"/>
              <w:left w:w="100" w:type="dxa"/>
              <w:bottom w:w="80" w:type="dxa"/>
              <w:right w:w="100" w:type="dxa"/>
            </w:tcMar>
            <w:vAlign w:val="center"/>
          </w:tcPr>
          <w:p>
            <w:pPr>
              <w:spacing w:lineRule="auto" w:line="240" w:after="30" w:beforeAutospacing="0" w:afterAutospacing="0"/>
            </w:pPr>
            <w:r>
              <w:rPr>
                <w:b w:val="0"/>
                <w:sz w:val="20"/>
              </w:rPr>
              <w:t>Code Debugging / Code Debugging (Deep)</w:t>
            </w:r>
          </w:p>
        </w:tc>
        <w:tc>
          <w:tcPr>
            <w:tcW w:w="3960" w:type="dxa"/>
            <w:shd w:val="clear" w:color="auto" w:fill="F4F6F8"/>
            <w:tcMar>
              <w:top w:w="80" w:type="dxa"/>
              <w:left w:w="100" w:type="dxa"/>
              <w:bottom w:w="80" w:type="dxa"/>
              <w:right w:w="100" w:type="dxa"/>
            </w:tcMar>
            <w:vAlign w:val="center"/>
          </w:tcPr>
          <w:p>
            <w:pPr>
              <w:spacing w:after="30" w:beforeAutospacing="0" w:afterAutospacing="0"/>
            </w:pPr>
            <w:r>
              <w:rPr>
                <w:b w:val="0"/>
                <w:sz w:val="20"/>
              </w:rPr>
              <w:t>Same topology at the selected reasoning effort: Medium or X-High. User-only Pass 0 survives intake; within-pass scratch, inspection diagnostics, and optional clarification may persist only while that pass is active.</w:t>
            </w:r>
          </w:p>
        </w:tc>
        <w:tc>
          <w:tcPr>
            <w:tcW w:w="4176" w:type="dxa"/>
            <w:shd w:val="clear" w:color="auto" w:fill="F4F6F8"/>
            <w:tcMar>
              <w:top w:w="80" w:type="dxa"/>
              <w:left w:w="100" w:type="dxa"/>
              <w:bottom w:w="80" w:type="dxa"/>
              <w:right w:w="100" w:type="dxa"/>
            </w:tcMar>
            <w:vAlign w:val="center"/>
          </w:tcPr>
          <w:p>
            <w:pPr>
              <w:spacing w:after="30" w:beforeAutospacing="0" w:afterAutospacing="0"/>
            </w:pPr>
            <w:r>
              <w:rPr>
                <w:b w:val="0"/>
                <w:sz w:val="20"/>
              </w:rPr>
              <w:t>Unique run report keeps Pass 0, all five exact handoffs, and final synthesis. Every pass gets exact Pass 0; Passes 2-5 get only the compact host-derived prior-finding registry. Completed pass cognition is retired.</w:t>
            </w:r>
          </w:p>
        </w:tc>
      </w:tr>
      <w:tr>
        <w:trPr>
          <w:cantSplit/>
        </w:trPr>
        <w:tc>
          <w:tcPr>
            <w:tcW w:w="194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Forensic records</w:t>
            </w:r>
          </w:p>
        </w:tc>
        <w:tc>
          <w:tcPr>
            <w:tcW w:w="396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Never needed as normal prompt context.</w:t>
            </w:r>
          </w:p>
        </w:tc>
        <w:tc>
          <w:tcPr>
            <w:tcW w:w="41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May survive out of band for diagnosis/research but are never automatically rehydrated.</w:t>
            </w:r>
          </w:p>
        </w:tc>
      </w:tr>
    </w:tbl>
    <w:p>
      <w:pPr>
        <w:spacing w:lineRule="auto" w:line="259" w:before="0" w:after="0" w:beforeAutospacing="0" w:afterAutospacing="0"/>
      </w:pP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pPr>
              <w:spacing w:after="60" w:beforeAutospacing="0" w:afterAutospacing="0"/>
            </w:pPr>
            <w:r>
              <w:rPr>
                <w:rFonts w:ascii="Aptos" w:hAnsi="Aptos"/>
                <w:b w:val="1"/>
                <w:color w:val="33485C"/>
                <w:sz w:val="19"/>
              </w:rPr>
              <w:t>The core rule</w:t>
            </w:r>
          </w:p>
          <w:p>
            <w:pPr>
              <w:spacing w:lineRule="auto" w:line="252" w:after="0" w:beforeAutospacing="0" w:afterAutospacing="0"/>
            </w:pPr>
            <w:r>
              <w:rPr>
                <w:rFonts w:ascii="Aptos" w:hAnsi="Aptos"/>
                <w:b w:val="0"/>
                <w:color w:val="28323C"/>
                <w:sz w:val="19"/>
              </w:rPr>
              <w:t>Preserve high-value cognition while it is useful. Commit durable state at the authority boundary. Prune transient material when it no longer deserves live-context cost. Rehydrate only what the next stage or pass actually needs.</w:t>
            </w:r>
          </w:p>
        </w:tc>
      </w:tr>
    </w:tbl>
    <w:p>
      <w:pPr>
        <w:spacing w:lineRule="auto" w:line="259" w:before="0" w:after="0" w:beforeAutospacing="0" w:afterAutospacing="0"/>
      </w:pPr>
    </w:p>
    <w:p>
      <w:pPr>
        <w:pStyle w:val="P4"/>
        <w:keepNext w:val="1"/>
      </w:pPr>
      <w:r>
        <w:rPr>
          <w:b w:val="0"/>
          <w:i w:val="0"/>
        </w:rPr>
        <w:t>Observed long-horizon behavior in release testing</w:t>
      </w:r>
    </w:p>
    <w:p>
      <w:r>
        <w:rPr>
          <w:b w:val="0"/>
          <w:i w:val="0"/>
        </w:rPr>
        <w:t>Two September 2026 runs make the context-lifetime distinction concrete. In a Code Debugging demonstration, a 3-bit Qwen3.8-27B local model on a single 16 GB GPU participated in roughly 1.48 million cumulative tokens of debugging work while active forensic passes were kept intact and completed pass cognition was retired rather than compacted. The result is cumulative work far beyond one backend context window, not a claim that the model had a 1.48M-token context.</w:t>
      </w:r>
    </w:p>
    <w:p>
      <w:r>
        <w:rPr>
          <w:b w:val="0"/>
          <w:i w:val="0"/>
        </w:rPr>
        <w:t>The five-turn Agentic run ended with Pi displaying "↑1.5M ↓131k 147.4%/90k". Those counters are useful evidence of sustained client-visible work, but the 147.4% ticker is calculated on the Pi side before Jack performs the next inference's pruning and context projection. It must not be read as the model-facing prompt size. In this architecture, cumulative session traffic, Pi's pre-pruning history meter, Jack's active model working set, and the backend context-window limit are four different quantities.</w:t>
      </w:r>
    </w:p>
    <w:p>
      <w:r>
        <w:rPr>
          <w:b w:val="1"/>
          <w:i w:val="0"/>
        </w:rPr>
        <w:t>The important claim is therefore narrower and stronger: Jack can keep a long-running workflow moving by retiring completed cognition at program-defined boundaries while preserving the state that the next stage or pass is authorized to know.</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9. Evidence, tool receipts, and stale verification</w:t>
      </w:r>
    </w:p>
    <w:p>
      <w:pPr>
        <w:spacing w:lineRule="auto" w:line="259" w:before="0" w:after="100" w:beforeAutospacing="0" w:afterAutospacing="0"/>
      </w:pPr>
      <w:r>
        <w:rPr>
          <w:rFonts w:ascii="Aptos" w:hAnsi="Aptos"/>
          <w:color w:val="28323C"/>
          <w:sz w:val="21"/>
        </w:rPr>
        <w:t>Jack separates "the model said it happened" from "the host returned evidence that something happened." This is one of the most important epistemic boundaries in the runtime.</w:t>
      </w:r>
    </w:p>
    <w:p>
      <w:pPr>
        <w:pStyle w:val="P4"/>
        <w:keepNext w:val="1"/>
        <w:spacing w:before="160" w:after="80" w:beforeAutospacing="0" w:afterAutospacing="0"/>
      </w:pPr>
      <w:r>
        <w:t>Tool execution evidence</w:t>
      </w:r>
    </w:p>
    <w:p>
      <w:pPr>
        <w:spacing w:lineRule="auto" w:line="259" w:before="0" w:after="100" w:beforeAutospacing="0" w:afterAutospacing="0"/>
      </w:pPr>
      <w:r>
        <w:rPr>
          <w:rFonts w:ascii="Aptos" w:hAnsi="Aptos"/>
          <w:color w:val="28323C"/>
          <w:sz w:val="21"/>
        </w:rPr>
        <w:t>A model-authored statement that a file was written, a command ran, a browser opened, or a test passed is not host execution evidence. An actual host-returned tool result establishes that the tool ran and returned something. Even then, the result proves only what it actually tested.</w:t>
      </w:r>
    </w:p>
    <w:p>
      <w:pPr>
        <w:spacing w:lineRule="auto" w:line="259" w:before="0" w:after="100" w:beforeAutospacing="0" w:afterAutospacing="0"/>
      </w:pPr>
      <w:r>
        <w:t>Jack separates host-authoritative provenance from model-readable payload. Reserved evidence-receipt syntax remains Jack-owned; backend-visible projection preserves useful evidence facts without allowing payload text to become host metadata. Provenance-looking strings inside tool content are ordinary task data unless the host supplied the corresponding structural metadata. This is the practical form of Jack's current rule: strict authority, permissive information.</w:t>
      </w:r>
    </w:p>
    <w:p>
      <w:pPr>
        <w:spacing w:lineRule="auto" w:line="259" w:before="0" w:after="100" w:beforeAutospacing="0" w:afterAutospacing="0"/>
      </w:pPr>
      <w:r>
        <w:t>Immediate caller-supplied role=tool resume now carries explicit host provenance as caller_supplied_tool_result while preserving the exact tool payload. Generic tool results do not claim Pi-session recovery authority, and free-form error-looking strings are not promoted into structured failure truth. Model-emitted reserved evidence markers remain blocked. The result is stronger authority separation without discarding useful content.</w:t>
      </w: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pPr>
              <w:spacing w:after="60" w:beforeAutospacing="0" w:afterAutospacing="0"/>
            </w:pPr>
            <w:r>
              <w:rPr>
                <w:rFonts w:ascii="Aptos" w:hAnsi="Aptos"/>
                <w:b w:val="1"/>
                <w:color w:val="33485C"/>
                <w:sz w:val="19"/>
              </w:rPr>
              <w:t>Example</w:t>
            </w:r>
          </w:p>
          <w:p>
            <w:pPr>
              <w:spacing w:lineRule="auto" w:line="252" w:after="0" w:beforeAutospacing="0" w:afterAutospacing="0"/>
            </w:pPr>
            <w:r>
              <w:rPr>
                <w:rFonts w:ascii="Aptos" w:hAnsi="Aptos"/>
                <w:b w:val="0"/>
                <w:color w:val="28323C"/>
                <w:sz w:val="19"/>
              </w:rPr>
              <w:t>"node --check passed" proves JavaScript syntax under that check. It does not prove DOM behavior, visual correctness, browser rendering, or every semantic claim about the page.</w:t>
            </w:r>
          </w:p>
        </w:tc>
      </w:tr>
    </w:tbl>
    <w:p>
      <w:pPr>
        <w:spacing w:lineRule="auto" w:line="259" w:before="0" w:after="0" w:beforeAutospacing="0" w:afterAutospacing="0"/>
      </w:pPr>
    </w:p>
    <w:p>
      <w:pPr>
        <w:pStyle w:val="P4"/>
        <w:keepNext w:val="1"/>
        <w:spacing w:before="160" w:after="80" w:beforeAutospacing="0" w:afterAutospacing="0"/>
      </w:pPr>
      <w:r>
        <w:t>Evidence epochs</w:t>
      </w:r>
    </w:p>
    <w:p>
      <w:pPr>
        <w:spacing w:lineRule="auto" w:line="259" w:before="0" w:after="100" w:beforeAutospacing="0" w:afterAutospacing="0"/>
      </w:pPr>
      <w:r>
        <w:rPr>
          <w:rFonts w:ascii="Aptos" w:hAnsi="Aptos"/>
          <w:color w:val="28323C"/>
          <w:sz w:val="21"/>
        </w:rPr>
        <w:t>Long-running work becomes dangerous when old verification remains salient after the artifact changes. Jack can associate governed mutations with evidence epochs. A later mutation can stale earlier evidence; fresh qualifying post-mutation evidence can re-establish a current evidence state.</w:t>
      </w:r>
    </w:p>
    <w:p>
      <w:pPr>
        <w:spacing w:lineRule="auto" w:line="259" w:before="0" w:after="100" w:beforeAutospacing="0" w:afterAutospacing="0"/>
      </w:pPr>
      <w:r>
        <w:rPr>
          <w:rFonts w:ascii="Aptos" w:hAnsi="Aptos"/>
          <w:color w:val="28323C"/>
          <w:sz w:val="21"/>
        </w:rPr>
        <w:t>Evidence metadata improves provenance, but it is not semantic truth by itself. A successful tool receipt proves that the tool ran and returned a result in a scoped state; it does not prove that the model interpreted the result correctly.</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10. Forensics, streaming, and observability are not authority</w:t>
      </w:r>
    </w:p>
    <w:p>
      <w:pPr>
        <w:spacing w:lineRule="auto" w:line="259" w:before="0" w:after="100" w:beforeAutospacing="0" w:afterAutospacing="0"/>
      </w:pPr>
      <w:r>
        <w:rPr>
          <w:rFonts w:ascii="Aptos" w:hAnsi="Aptos"/>
          <w:color w:val="28323C"/>
          <w:sz w:val="21"/>
        </w:rPr>
        <w:t>Jack separates what can be observed for diagnosis from what becomes committed model context or answer authority.</w:t>
      </w:r>
    </w:p>
    <w:p>
      <w:pPr>
        <w:pStyle w:val="P22"/>
        <w:spacing w:lineRule="auto" w:line="250" w:after="50" w:beforeAutospacing="0" w:afterAutospacing="0"/>
      </w:pPr>
      <w:r>
        <w:rPr>
          <w:rFonts w:ascii="Aptos" w:hAnsi="Aptos"/>
          <w:color w:val="28323C"/>
          <w:sz w:val="20"/>
        </w:rPr>
        <w:t>Deep Research may archive the full Thesis/Antithesis/Synthesis transaction out of band for diagnosis.</w:t>
      </w:r>
    </w:p>
    <w:p>
      <w:pPr>
        <w:pStyle w:val="P22"/>
        <w:spacing w:lineRule="auto" w:line="250" w:after="50" w:beforeAutospacing="0" w:afterAutospacing="0"/>
      </w:pPr>
      <w:r>
        <w:rPr>
          <w:rFonts w:ascii="Aptos" w:hAnsi="Aptos"/>
          <w:color w:val="28323C"/>
          <w:sz w:val="20"/>
        </w:rPr>
        <w:t>Agentic may best-effort archive completed Stage-1 native reasoning and exact tool chronology before that live cognition is retired. Archive failure is observational and does not revoke an otherwise complete frozen-A1 + Jack-XML result.</w:t>
      </w:r>
    </w:p>
    <w:p>
      <w:pPr>
        <w:pStyle w:val="P22"/>
        <w:spacing w:lineRule="auto" w:line="250" w:after="50" w:beforeAutospacing="0" w:afterAutospacing="0"/>
      </w:pPr>
      <w:r>
        <w:rPr>
          <w:rFonts w:ascii="Aptos" w:hAnsi="Aptos"/>
          <w:color w:val="28323C"/>
          <w:sz w:val="20"/>
        </w:rPr>
        <w:t>Forensic records can carry hashes and byte-faithful chronology but are not automatically rehydrated into future model context.</w:t>
      </w:r>
    </w:p>
    <w:p>
      <w:pPr>
        <w:pStyle w:val="P22"/>
        <w:spacing w:lineRule="auto" w:line="250" w:after="50" w:beforeAutospacing="0" w:afterAutospacing="0"/>
      </w:pPr>
      <w:r>
        <w:rPr>
          <w:rFonts w:ascii="Aptos" w:hAnsi="Aptos"/>
          <w:color w:val="28323C"/>
          <w:sz w:val="20"/>
        </w:rPr>
        <w:t>In-progress reasoning may be streamed or withheld for observability without becoming committed final content.</w:t>
      </w:r>
    </w:p>
    <w:p>
      <w:pPr>
        <w:pStyle w:val="P22"/>
        <w:spacing w:lineRule="auto" w:line="250" w:after="50" w:beforeAutospacing="0" w:afterAutospacing="0"/>
      </w:pPr>
      <w:r>
        <w:rPr>
          <w:rFonts w:ascii="Aptos" w:hAnsi="Aptos"/>
          <w:color w:val="28323C"/>
          <w:sz w:val="20"/>
        </w:rPr>
        <w:t>A forensic record can prove what Jack retained and when a tool result appeared. It cannot prove that the model understood the result correctly.</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11. Independent safety and policy layers</w:t>
      </w:r>
    </w:p>
    <w:p>
      <w:pPr>
        <w:spacing w:lineRule="auto" w:line="259" w:before="0" w:after="100" w:beforeAutospacing="0" w:afterAutospacing="0"/>
      </w:pPr>
      <w:r>
        <w:rPr>
          <w:rFonts w:ascii="Aptos" w:hAnsi="Aptos"/>
          <w:color w:val="28323C"/>
          <w:sz w:val="21"/>
        </w:rPr>
        <w:t>Because Jack sits between caller and backend and owns stage, tool, validation, and commit boundaries, a deployment can add code-defined controls whose authority does not depend on the agent remembering them or the model agreeing with them.</w:t>
      </w:r>
    </w:p>
    <w:tbl>
      <w:tblPr>
        <w:tblW w:w="0" w:type="auto"/>
        <w:jc w:val="center"/>
        <w:tblLayout w:type="autofit"/>
        <w:tblLook w:val="04A0"/>
      </w:tblPr>
      <w:tblGrid>
        <w:gridCol w:w="3024"/>
        <w:gridCol w:w="6768"/>
      </w:tblGrid>
      <w:tr>
        <w:trPr>
          <w:cantSplit/>
          <w:tblHeader/>
        </w:trPr>
        <w:tc>
          <w:tcPr>
            <w:tcW w:w="3024"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Possible host-side layer</w:t>
            </w:r>
          </w:p>
        </w:tc>
        <w:tc>
          <w:tcPr>
            <w:tcW w:w="6768"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What it could do</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Request policy</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Reject or transform an input before inference.</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Tool policy</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Expose read-only tools in one stage and mutation tools in another.</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Validator gate</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Require deterministic validation or fresh post-mutation evidence before continuing.</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Human approval</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Freeze a candidate and require a person to approve a privileged transition.</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Capability confinement</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Restrict reachable files, network destinations, credentials, databases, devices, or other resources.</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Output / release gate</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Screen or withhold final commit/release even if the model wants to proceed.</w:t>
            </w:r>
          </w:p>
        </w:tc>
      </w:tr>
    </w:tbl>
    <w:p>
      <w:pPr>
        <w:spacing w:lineRule="auto" w:line="259" w:before="0" w:after="0" w:beforeAutospacing="0" w:afterAutospacing="0"/>
      </w:pPr>
    </w:p>
    <w:tbl>
      <w:tblPr>
        <w:tblW w:w="0" w:type="auto"/>
        <w:jc w:val="center"/>
        <w:tblLayout w:type="autofit"/>
        <w:tblLook w:val="04A0"/>
      </w:tblPr>
      <w:tblGrid>
        <w:gridCol w:w="9994"/>
      </w:tblGrid>
      <w:tr>
        <w:trPr>
          <w:cantSplit/>
        </w:trPr>
        <w:tc>
          <w:tcPr>
            <w:tcW w:w="9994" w:type="dxa"/>
            <w:shd w:val="clear" w:color="auto" w:fill="FBF6E8"/>
            <w:tcMar>
              <w:top w:w="70" w:type="dxa"/>
              <w:left w:w="85" w:type="dxa"/>
              <w:bottom w:w="70" w:type="dxa"/>
              <w:right w:w="85" w:type="dxa"/>
            </w:tcMar>
            <w:vAlign w:val="center"/>
          </w:tcPr>
          <w:p>
            <w:pPr>
              <w:spacing w:after="60" w:beforeAutospacing="0" w:afterAutospacing="0"/>
            </w:pPr>
            <w:r>
              <w:rPr>
                <w:rFonts w:ascii="Aptos" w:hAnsi="Aptos"/>
                <w:b w:val="1"/>
                <w:color w:val="33485C"/>
                <w:sz w:val="19"/>
              </w:rPr>
              <w:t>What Jack does NOT claim</w:t>
            </w:r>
          </w:p>
          <w:p>
            <w:pPr>
              <w:spacing w:lineRule="auto" w:line="252" w:after="0" w:beforeAutospacing="0" w:afterAutospacing="0"/>
            </w:pPr>
            <w:r>
              <w:rPr>
                <w:rFonts w:ascii="Aptos" w:hAnsi="Aptos"/>
                <w:b w:val="0"/>
                <w:color w:val="28323C"/>
                <w:sz w:val="19"/>
              </w:rPr>
              <w:t>The release does not ship or certify one universal safety suite or filesystem sandbox. Reliable confinement of unrestricted shell execution requires a genuinely restricted/sandboxed executor, not command-string filtering. Safety is a programmable layer class, not an automatic guarantee.</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12. Failure-mode resistance: architecture, not magic</w:t>
      </w:r>
    </w:p>
    <w:p>
      <w:pPr>
        <w:spacing w:lineRule="auto" w:line="259" w:before="0" w:after="100" w:beforeAutospacing="0" w:afterAutospacing="0"/>
      </w:pPr>
      <w:r>
        <w:rPr>
          <w:rFonts w:ascii="Aptos" w:hAnsi="Aptos"/>
          <w:color w:val="28323C"/>
          <w:sz w:val="21"/>
        </w:rPr>
        <w:t>Jack is designed to attack classes of failure through runtime structure rather than one giant instruction. These are mechanisms and research hypotheses, not guarantees of semantic correctness.</w:t>
      </w:r>
    </w:p>
    <w:tbl>
      <w:tblPr>
        <w:tblW w:w="0" w:type="auto"/>
        <w:jc w:val="center"/>
        <w:tblLayout w:type="autofit"/>
        <w:tblLook w:val="04A0"/>
      </w:tblPr>
      <w:tblGrid>
        <w:gridCol w:w="3072"/>
        <w:gridCol w:w="4281"/>
        <w:gridCol w:w="3071"/>
      </w:tblGrid>
      <w:tr>
        <w:trPr>
          <w:cantSplit/>
          <w:tblHeader/>
        </w:trPr>
        <w:tc>
          <w:tcPr>
            <w:tcW w:w="2088"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Failure mode</w:t>
            </w:r>
          </w:p>
        </w:tc>
        <w:tc>
          <w:tcPr>
            <w:tcW w:w="4680"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Relevant Jack mechanism</w:t>
            </w:r>
          </w:p>
        </w:tc>
        <w:tc>
          <w:tcPr>
            <w:tcW w:w="3024"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What still must be measured</w:t>
            </w:r>
          </w:p>
        </w:tc>
      </w:tr>
      <w:tr>
        <w:trPr>
          <w:cantSplit/>
        </w:trPr>
        <w:tc>
          <w:tcPr>
            <w:tcW w:w="208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Hallucinated support</w:t>
            </w:r>
          </w:p>
        </w:tc>
        <w:tc>
          <w:tcPr>
            <w:tcW w:w="46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Agentic separates observed / not observed and narrow deterministic verification; model narration is not tool evidence.</w:t>
            </w:r>
          </w:p>
        </w:tc>
        <w:tc>
          <w:tcPr>
            <w:tcW w:w="30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Whether hallucination rate actually drops on a given model/task.</w:t>
            </w:r>
          </w:p>
        </w:tc>
      </w:tr>
      <w:tr>
        <w:trPr>
          <w:cantSplit/>
        </w:trPr>
        <w:tc>
          <w:tcPr>
            <w:tcW w:w="2088"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Confirmation bias</w:t>
            </w:r>
          </w:p>
        </w:tc>
        <w:tc>
          <w:tcPr>
            <w:tcW w:w="46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Deep Research adds concentrated adversarial friction; Agentic preserves PREMISE / INVALIDATION / HIDDEN ASSUMPTION pressure.</w:t>
            </w:r>
          </w:p>
        </w:tc>
        <w:tc>
          <w:tcPr>
            <w:tcW w:w="302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Whether the model finds the strongest invalidator rather than a superficial one.</w:t>
            </w:r>
          </w:p>
        </w:tc>
      </w:tr>
      <w:tr>
        <w:trPr>
          <w:cantSplit/>
        </w:trPr>
        <w:tc>
          <w:tcPr>
            <w:tcW w:w="208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Agreeability / desired-outcome laundering</w:t>
            </w:r>
          </w:p>
        </w:tc>
        <w:tc>
          <w:tcPr>
            <w:tcW w:w="46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User preference does not change truth conditions; challenge must test the answer without inventing new requirements.</w:t>
            </w:r>
          </w:p>
        </w:tc>
        <w:tc>
          <w:tcPr>
            <w:tcW w:w="30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Whether behavior resists user pressure more often in controlled tests.</w:t>
            </w:r>
          </w:p>
        </w:tc>
      </w:tr>
      <w:tr>
        <w:trPr>
          <w:cantSplit/>
        </w:trPr>
        <w:tc>
          <w:tcPr>
            <w:tcW w:w="2088"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Long-context state loss</w:t>
            </w:r>
          </w:p>
        </w:tc>
        <w:tc>
          <w:tcPr>
            <w:tcW w:w="46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Agentic converts messy raw cognition into high-semantic-density anchors; Debugging externalizes progress to disk.</w:t>
            </w:r>
          </w:p>
        </w:tc>
        <w:tc>
          <w:tcPr>
            <w:tcW w:w="3024" w:type="dxa"/>
            <w:shd w:val="clear" w:color="auto" w:fill="FFFFFF"/>
            <w:tcMar>
              <w:top w:w="80" w:type="dxa"/>
              <w:left w:w="100" w:type="dxa"/>
              <w:bottom w:w="80" w:type="dxa"/>
              <w:right w:w="100" w:type="dxa"/>
            </w:tcMar>
            <w:vAlign w:val="center"/>
          </w:tcPr>
          <w:p>
            <w:pPr>
              <w:spacing w:lineRule="auto" w:line="240" w:after="30" w:beforeAutospacing="0" w:afterAutospacing="0"/>
            </w:pPr>
            <w:r>
              <w:rPr>
                <w:b w:val="0"/>
                <w:sz w:val="20"/>
              </w:rPr>
              <w:t>Release case studies now show sustained cumulative work far beyond one live context without model-work compaction; controlled matched-model ablations are still needed to measure retention and quality effects.</w:t>
            </w:r>
          </w:p>
        </w:tc>
      </w:tr>
      <w:tr>
        <w:trPr>
          <w:cantSplit/>
        </w:trPr>
        <w:tc>
          <w:tcPr>
            <w:tcW w:w="208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Stale verification</w:t>
            </w:r>
          </w:p>
        </w:tc>
        <w:tc>
          <w:tcPr>
            <w:tcW w:w="46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Evidence epochs can stale pre-mutation evidence and require fresh post-mutation proof.</w:t>
            </w:r>
          </w:p>
        </w:tc>
        <w:tc>
          <w:tcPr>
            <w:tcW w:w="30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Whether the chosen check is actually sufficient for the semantic claim.</w:t>
            </w:r>
          </w:p>
        </w:tc>
      </w:tr>
      <w:tr>
        <w:trPr>
          <w:cantSplit/>
        </w:trPr>
        <w:tc>
          <w:tcPr>
            <w:tcW w:w="2088"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Recursive drift / weak finalization</w:t>
            </w:r>
          </w:p>
        </w:tc>
        <w:tc>
          <w:tcPr>
            <w:tcW w:w="46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Deep Research separates plan, friction, and final authority while preserving full active cognition through Synthesis.</w:t>
            </w:r>
          </w:p>
        </w:tc>
        <w:tc>
          <w:tcPr>
            <w:tcW w:w="302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Whether Y improves over native X for the matched model/task.</w:t>
            </w:r>
          </w:p>
        </w:tc>
      </w:tr>
      <w:tr>
        <w:tc>
          <w:tcPr>
            <w:tcW w:w="3331" w:type="dxa"/>
            <w:shd w:val="clear" w:color="auto" w:fill="F4F6F8"/>
            <w:tcMar>
              <w:top w:w="80" w:type="dxa"/>
              <w:left w:w="100" w:type="dxa"/>
              <w:bottom w:w="80" w:type="dxa"/>
              <w:right w:w="100" w:type="dxa"/>
            </w:tcMar>
            <w:vAlign w:val="center"/>
          </w:tcPr>
          <w:p>
            <w:r>
              <w:rPr>
                <w:b w:val="0"/>
                <w:sz w:val="20"/>
              </w:rPr>
              <w:t>Self-confirmation after answer freeze</w:t>
            </w:r>
          </w:p>
        </w:tc>
        <w:tc>
          <w:tcPr>
            <w:tcW w:w="3331" w:type="dxa"/>
            <w:shd w:val="clear" w:color="auto" w:fill="F4F6F8"/>
            <w:tcMar>
              <w:top w:w="80" w:type="dxa"/>
              <w:left w:w="100" w:type="dxa"/>
              <w:bottom w:w="80" w:type="dxa"/>
              <w:right w:w="100" w:type="dxa"/>
            </w:tcMar>
            <w:vAlign w:val="center"/>
          </w:tcPr>
          <w:p>
            <w:r>
              <w:rPr>
                <w:b w:val="0"/>
                <w:sz w:val="20"/>
              </w:rPr>
              <w:t>Agentic freezes A1, then gives Stage 2 full immediate cognition/tool evidence but zero answer authority. The audit block can record a concrete A1 mistake without silently rewriting the answer.</w:t>
            </w:r>
          </w:p>
        </w:tc>
        <w:tc>
          <w:tcPr>
            <w:tcW w:w="3331" w:type="dxa"/>
            <w:shd w:val="clear" w:color="auto" w:fill="F4F6F8"/>
            <w:tcMar>
              <w:top w:w="80" w:type="dxa"/>
              <w:left w:w="100" w:type="dxa"/>
              <w:bottom w:w="80" w:type="dxa"/>
              <w:right w:w="100" w:type="dxa"/>
            </w:tcMar>
            <w:vAlign w:val="center"/>
          </w:tcPr>
          <w:p>
            <w:r>
              <w:rPr>
                <w:b w:val="0"/>
                <w:sz w:val="20"/>
              </w:rPr>
              <w:t>How often the audit catches meaningful errors, and whether it reduces repeated mistakes across broader task families.</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13. The real platform: build your own layers</w:t>
      </w:r>
    </w:p>
    <w:p>
      <w:pPr>
        <w:spacing w:lineRule="auto" w:line="259" w:before="0" w:after="100" w:beforeAutospacing="0" w:afterAutospacing="0"/>
      </w:pPr>
      <w:r>
        <w:rPr>
          <w:rFonts w:ascii="Aptos" w:hAnsi="Aptos"/>
          <w:color w:val="28323C"/>
          <w:sz w:val="21"/>
        </w:rPr>
        <w:t>The shipped programs make the kernel concrete. They are not the end state. The larger design space is what becomes possible when stage topology, model/reasoning controls, tools, context, memory, evidence, disk state, safety, and commit authority are host-programmable.</w:t>
      </w:r>
    </w:p>
    <w:p>
      <w:r>
        <w:rPr>
          <w:rFonts w:ascii="Aptos" w:hAnsi="Aptos"/>
          <w:color w:val="28323C"/>
          <w:sz w:val="21"/>
        </w:rPr>
        <w:t>Customizable loops are a first-class use case for the kernel architecture. Jack can make loop structure itself programmable and host-governed: how many passes run, whether each pass is fresh or continuous, which temperatures/reasoning levels apply, what search space each pass sees, which tools are exposed, what state is committed, what is pruned, what is rehydrated, when the user or a validator may intervene, and exactly when the loop stops or synthesizes a final result. Code Debugging is one concrete demonstration of that broader loop-control capability.</w:t>
      </w:r>
    </w:p>
    <w:p>
      <w:pPr>
        <w:pStyle w:val="P4"/>
        <w:keepNext w:val="1"/>
        <w:spacing w:before="160" w:after="80" w:beforeAutospacing="0" w:afterAutospacing="0"/>
      </w:pPr>
      <w:r>
        <w:t>Examples of new programs developers can build</w:t>
      </w:r>
    </w:p>
    <w:tbl>
      <w:tblPr>
        <w:tblW w:w="0" w:type="auto"/>
        <w:jc w:val="center"/>
        <w:tblLayout w:type="autofit"/>
        <w:tblLook w:val="04A0"/>
      </w:tblPr>
      <w:tblGrid>
        <w:gridCol w:w="3024"/>
        <w:gridCol w:w="6768"/>
      </w:tblGrid>
      <w:tr>
        <w:trPr>
          <w:cantSplit/>
          <w:tblHeader/>
        </w:trPr>
        <w:tc>
          <w:tcPr>
            <w:tcW w:w="3024"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Program idea</w:t>
            </w:r>
          </w:p>
        </w:tc>
        <w:tc>
          <w:tcPr>
            <w:tcW w:w="6768"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Possible flow</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Adaptive inference</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Native attempt -&gt; validator/policy trigger -&gt; escalate to Deep Research only when needed.</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Software engineering</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Architect -&gt; implement -&gt; runtime test -&gt; Deep Research review/finalization -&gt; validator/human release gate.</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Research synthesis</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Search -&gt; evidence extraction -&gt; contradiction search -&gt; synthesis -&gt; provenance serialization.</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Formal reasoning</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Conjecture -&gt; proof plan -&gt; prover/tool stage -&gt; counterexample audit -&gt; calibrated finalization.</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Long-horizon operations</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Execute milestone -&gt; externalize audit state -&gt; prune transient context -&gt; rehydrate -&gt; continue.</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Human approval / change control</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Prepare candidate -&gt; freeze -&gt; read-only audit -&gt; human/policy release gate -&gt; permitted action.</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Permission-staged autonomy</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Discovery read/search tools -&gt; mutation tools -&gt; verification/checkpoint no tools -&gt; release gate.</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Model-fit routing</w:t>
            </w:r>
          </w:p>
        </w:tc>
        <w:tc>
          <w:tcPr>
            <w:tcW w:w="6768" w:type="dxa"/>
            <w:shd w:val="clear" w:color="auto" w:fill="FFFFFF"/>
            <w:tcMar>
              <w:top w:w="70" w:type="dxa"/>
              <w:left w:w="85" w:type="dxa"/>
              <w:bottom w:w="70" w:type="dxa"/>
              <w:right w:w="85" w:type="dxa"/>
            </w:tcMar>
            <w:vAlign w:val="center"/>
          </w:tcPr>
          <w:p>
            <w:pPr>
              <w:spacing w:after="30" w:beforeAutospacing="0" w:afterAutospacing="0"/>
            </w:pPr>
            <w:r>
              <w:rPr>
                <w:rFonts w:ascii="Aptos" w:hAnsi="Aptos"/>
                <w:b w:val="0"/>
                <w:color w:val="28323C"/>
                <w:sz w:val="18"/>
              </w:rPr>
              <w:t>Route capable Preserve-Thinking Qwen models to Agentic; use Deep Research for governed plan/friction/authority; use disk-backed loops when durable long-horizon state is the stronger control surface.</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Custom domain loop</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Use Jack to build customizable loops: choose pass count, temperature schedule, shared or stage-specific search space, tool authority, intake rules, durable-state format, pruning/rehydration policy, stop conditions, and final synthesis for research, proof, migration, compliance, review, data curation, or other long-horizon work.</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Safety stack</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Request gate -&gt; risk validator -&gt; tool allowlist -&gt; human approval -&gt; output/commit release gate.</w:t>
            </w:r>
          </w:p>
        </w:tc>
      </w:tr>
    </w:tbl>
    <w:p>
      <w:pPr>
        <w:spacing w:lineRule="auto" w:line="259" w:before="0" w:after="0" w:beforeAutospacing="0" w:afterAutospacing="0"/>
      </w:pPr>
    </w:p>
    <w:p>
      <w:pPr>
        <w:pStyle w:val="P4"/>
        <w:keepNext w:val="1"/>
        <w:spacing w:before="160" w:after="80" w:beforeAutospacing="0" w:afterAutospacing="0"/>
      </w:pPr>
      <w:r>
        <w:t>No end-user stage-graph DSL yet</w:t>
      </w:r>
    </w:p>
    <w:p>
      <w:pPr>
        <w:spacing w:lineRule="auto" w:line="259" w:before="0" w:after="100" w:beforeAutospacing="0" w:afterAutospacing="0"/>
      </w:pPr>
      <w:r>
        <w:rPr>
          <w:rFonts w:ascii="Aptos" w:hAnsi="Aptos"/>
          <w:color w:val="28323C"/>
          <w:sz w:val="21"/>
        </w:rPr>
        <w:t>The runtime ships fixed code-defined reference programs rather than a general end-user stage-graph language. The point of the architecture is that the underlying primitives are separable enough to support additional code-defined layers without redefining the agent or the model.</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14. Provenance-rich training and evaluation data</w:t>
      </w:r>
    </w:p>
    <w:p>
      <w:pPr>
        <w:spacing w:lineRule="auto" w:line="259" w:before="0" w:after="100" w:beforeAutospacing="0" w:afterAutospacing="0"/>
      </w:pPr>
      <w:r>
        <w:rPr>
          <w:rFonts w:ascii="Aptos" w:hAnsi="Aptos"/>
          <w:color w:val="28323C"/>
          <w:sz w:val="21"/>
        </w:rPr>
        <w:t>Programmable inference exposes structured trajectories that a simple prompt/final-answer dataset does not. Those trajectories can become supervision, evaluation, or research data as long as they are described as provenance-rich rather than automatically correct.</w:t>
      </w:r>
    </w:p>
    <w:p>
      <w:pPr>
        <w:pStyle w:val="P22"/>
        <w:spacing w:lineRule="auto" w:line="250" w:after="50" w:beforeAutospacing="0" w:afterAutospacing="0"/>
      </w:pPr>
      <w:r>
        <w:rPr>
          <w:rFonts w:ascii="Aptos" w:hAnsi="Aptos"/>
          <w:color w:val="28323C"/>
          <w:sz w:val="20"/>
        </w:rPr>
        <w:t>Deep Research X -&gt; Y transition data: Wrong -&gt; Correct, Correct -&gt; Correct, Correct -&gt; Wrong, Missing -&gt; Correctly Added, Unsupported Addition.</w:t>
      </w:r>
    </w:p>
    <w:p>
      <w:pPr>
        <w:pStyle w:val="P22"/>
        <w:spacing w:lineRule="auto" w:line="250" w:after="50" w:beforeAutospacing="0" w:afterAutospacing="0"/>
      </w:pPr>
      <w:r>
        <w:rPr>
          <w:rFonts w:ascii="Aptos" w:hAnsi="Aptos"/>
          <w:color w:val="28323C"/>
          <w:sz w:val="20"/>
        </w:rPr>
        <w:t>Friction provenance: which Antithesis questions changed Synthesis, which were rejected, and which strengthened understanding without becoming requirements.</w:t>
      </w:r>
    </w:p>
    <w:p>
      <w:pPr>
        <w:pStyle w:val="P22"/>
        <w:spacing w:lineRule="auto" w:line="250" w:after="50" w:beforeAutospacing="0" w:afterAutospacing="0"/>
      </w:pPr>
      <w:r>
        <w:rPr>
          <w:rFonts w:ascii="Aptos" w:hAnsi="Aptos"/>
          <w:color w:val="28323C"/>
          <w:sz w:val="20"/>
        </w:rPr>
        <w:t>Agentic turn triples: exact user request + exact frozen A1 + strongly semantic grounding/verification/challenge/audit anchors.</w:t>
      </w:r>
    </w:p>
    <w:p>
      <w:pPr>
        <w:pStyle w:val="P22"/>
        <w:spacing w:lineRule="auto" w:line="250" w:after="50" w:beforeAutospacing="0" w:afterAutospacing="0"/>
      </w:pPr>
      <w:r>
        <w:rPr>
          <w:rFonts w:ascii="Aptos" w:hAnsi="Aptos"/>
          <w:color w:val="28323C"/>
          <w:sz w:val="20"/>
        </w:rPr>
        <w:t>Tool-grounded trajectories with mutation/evidence provenance and verification scope.</w:t>
      </w:r>
    </w:p>
    <w:p>
      <w:pPr>
        <w:pStyle w:val="P22"/>
        <w:spacing w:lineRule="auto" w:line="250" w:after="50" w:beforeAutospacing="0" w:afterAutospacing="0"/>
      </w:pPr>
      <w:r>
        <w:rPr>
          <w:rFonts w:ascii="Aptos" w:hAnsi="Aptos"/>
          <w:color w:val="28323C"/>
          <w:sz w:val="20"/>
        </w:rPr>
        <w:t>Long-horizon pass datasets with dispositions, rehydration state, and fresh-evidence behavior.</w:t>
      </w:r>
    </w:p>
    <w:p>
      <w:pPr>
        <w:pStyle w:val="P22"/>
        <w:spacing w:lineRule="auto" w:line="250" w:after="50" w:beforeAutospacing="0" w:afterAutospacing="0"/>
      </w:pPr>
      <w:r>
        <w:rPr>
          <w:rFonts w:ascii="Aptos" w:hAnsi="Aptos"/>
          <w:color w:val="28323C"/>
          <w:sz w:val="20"/>
        </w:rPr>
        <w:t>Safety-layer trajectories with host-side allow/deny decisions, validator outcomes, human approvals, and release boundaries.</w:t>
      </w:r>
    </w:p>
    <w:p>
      <w:pPr>
        <w:pStyle w:val="P22"/>
        <w:spacing w:lineRule="auto" w:line="250" w:after="50" w:beforeAutospacing="0" w:afterAutospacing="0"/>
      </w:pPr>
      <w:r>
        <w:rPr>
          <w:rFonts w:ascii="Aptos" w:hAnsi="Aptos"/>
          <w:color w:val="28323C"/>
          <w:sz w:val="20"/>
        </w:rPr>
        <w:t>Forensic traces for failure analysis or evaluator design, explicitly labeled by their live-retention policy.</w:t>
      </w: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pPr>
              <w:spacing w:after="60" w:beforeAutospacing="0" w:afterAutospacing="0"/>
            </w:pPr>
            <w:r>
              <w:rPr>
                <w:rFonts w:ascii="Aptos" w:hAnsi="Aptos"/>
                <w:b w:val="1"/>
                <w:color w:val="33485C"/>
                <w:sz w:val="19"/>
              </w:rPr>
              <w:t>Provenance != truth</w:t>
            </w:r>
          </w:p>
          <w:p>
            <w:pPr>
              <w:spacing w:lineRule="auto" w:line="252" w:after="0" w:beforeAutospacing="0" w:afterAutospacing="0"/>
            </w:pPr>
            <w:r>
              <w:rPr>
                <w:rFonts w:ascii="Aptos" w:hAnsi="Aptos"/>
                <w:b w:val="0"/>
                <w:color w:val="28323C"/>
                <w:sz w:val="19"/>
              </w:rPr>
              <w:t>Jack can make stage identity, tool execution, mutation order, authority, and evidence freshness auditable. Semantic correctness still requires verification, evaluation, or human/model review.</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15. How to evaluate Jack without confusing the model with the kernel</w:t>
      </w:r>
    </w:p>
    <w:p>
      <w:pPr>
        <w:spacing w:lineRule="auto" w:line="259" w:before="0" w:after="100" w:beforeAutospacing="0" w:afterAutospacing="0"/>
      </w:pPr>
      <w:r>
        <w:rPr>
          <w:rFonts w:ascii="Aptos" w:hAnsi="Aptos"/>
          <w:color w:val="28323C"/>
          <w:sz w:val="21"/>
        </w:rPr>
        <w:t>A serious evaluation has to separate four layers. Otherwise a weak model's bad reasoning gets blamed on Jack, or a strong model's success gets credited to Jack without evidence.</w:t>
      </w:r>
    </w:p>
    <w:tbl>
      <w:tblPr>
        <w:tblW w:w="0" w:type="auto"/>
        <w:jc w:val="center"/>
        <w:tblLayout w:type="autofit"/>
        <w:tblLook w:val="04A0"/>
      </w:tblPr>
      <w:tblGrid>
        <w:gridCol w:w="2880"/>
        <w:gridCol w:w="6912"/>
      </w:tblGrid>
      <w:tr>
        <w:trPr>
          <w:cantSplit/>
          <w:tblHeader/>
        </w:trPr>
        <w:tc>
          <w:tcPr>
            <w:tcW w:w="2880"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Layer</w:t>
            </w:r>
          </w:p>
        </w:tc>
        <w:tc>
          <w:tcPr>
            <w:tcW w:w="6912"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Question</w:t>
            </w:r>
          </w:p>
        </w:tc>
      </w:tr>
      <w:tr>
        <w:trPr>
          <w:cantSplit/>
        </w:trPr>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Native model quality</w:t>
            </w:r>
          </w:p>
        </w:tc>
        <w:tc>
          <w:tcPr>
            <w:tcW w:w="691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What does the underlying model itself reason or say?</w:t>
            </w:r>
          </w:p>
        </w:tc>
      </w:tr>
      <w:tr>
        <w:trPr>
          <w:cantSplit/>
        </w:trPr>
        <w:tc>
          <w:tcPr>
            <w:tcW w:w="28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Reference-program behavior</w:t>
            </w:r>
          </w:p>
        </w:tc>
        <w:tc>
          <w:tcPr>
            <w:tcW w:w="6912" w:type="dxa"/>
            <w:shd w:val="clear" w:color="auto" w:fill="FFFFFF"/>
            <w:tcMar>
              <w:top w:w="80" w:type="dxa"/>
              <w:left w:w="100" w:type="dxa"/>
              <w:bottom w:w="80" w:type="dxa"/>
              <w:right w:w="100" w:type="dxa"/>
            </w:tcMar>
            <w:vAlign w:val="center"/>
          </w:tcPr>
          <w:p>
            <w:pPr>
              <w:spacing w:after="30" w:beforeAutospacing="0" w:afterAutospacing="0"/>
            </w:pPr>
            <w:r>
              <w:rPr>
                <w:b w:val="0"/>
                <w:sz w:val="20"/>
              </w:rPr>
              <w:t>Did Deep Research, Agentic, Code Debugging, or Code Debugging (Deep) run the intended cognitive program?</w:t>
            </w:r>
          </w:p>
        </w:tc>
      </w:tr>
      <w:tr>
        <w:trPr>
          <w:cantSplit/>
        </w:trPr>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Kernel enforcement</w:t>
            </w:r>
          </w:p>
        </w:tc>
        <w:tc>
          <w:tcPr>
            <w:tcW w:w="691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Did Jack correctly control topology, tools, context, evidence, freeze/commit, retention, pruning, resume, and authority?</w:t>
            </w:r>
          </w:p>
        </w:tc>
      </w:tr>
      <w:tr>
        <w:trPr>
          <w:cantSplit/>
        </w:trPr>
        <w:tc>
          <w:tcPr>
            <w:tcW w:w="28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Empirical quality effect</w:t>
            </w:r>
          </w:p>
        </w:tc>
        <w:tc>
          <w:tcPr>
            <w:tcW w:w="6912"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On the same model and task, is Jack-governed result Y better than native result X?</w:t>
            </w:r>
          </w:p>
        </w:tc>
      </w:tr>
    </w:tbl>
    <w:p>
      <w:pPr>
        <w:spacing w:lineRule="auto" w:line="259" w:before="0" w:after="0" w:beforeAutospacing="0" w:afterAutospacing="0"/>
      </w:pPr>
    </w:p>
    <w:p>
      <w:pPr>
        <w:pStyle w:val="P4"/>
        <w:keepNext w:val="1"/>
        <w:spacing w:before="160" w:after="80" w:beforeAutospacing="0" w:afterAutospacing="0"/>
      </w:pPr>
      <w:r>
        <w:t>Host conformance versus semantic quality</w:t>
      </w:r>
    </w:p>
    <w:p>
      <w:pPr>
        <w:spacing w:lineRule="auto" w:line="259" w:before="0" w:after="100" w:beforeAutospacing="0" w:afterAutospacing="0"/>
      </w:pPr>
      <w:r>
        <w:rPr>
          <w:rFonts w:ascii="Aptos" w:hAnsi="Aptos"/>
          <w:color w:val="28323C"/>
          <w:sz w:val="21"/>
        </w:rPr>
        <w:t>Regression tests can establish that a stage did or did not receive tools, that stage prompts were isolated, that the right user request was carried through a transition, that only the intended stage had answer authority, that the correct state was pruned or retained, or that a pass counter stopped. Those tests cannot prove that Antithesis asked a useful question, Synthesis interpreted it well, or a model understood tool evidence correctly.</w:t>
      </w:r>
    </w:p>
    <w:p>
      <w:pPr>
        <w:pStyle w:val="P4"/>
        <w:keepNext w:val="1"/>
        <w:spacing w:before="160" w:after="80" w:beforeAutospacing="0" w:afterAutospacing="0"/>
      </w:pPr>
      <w:r>
        <w:t>Matched-model Deep Research experiments</w:t>
      </w:r>
    </w:p>
    <w:p>
      <w:pPr>
        <w:spacing w:lineRule="auto" w:line="259" w:before="0" w:after="100" w:beforeAutospacing="0" w:afterAutospacing="0"/>
      </w:pPr>
      <w:r>
        <w:rPr>
          <w:rFonts w:ascii="Aptos" w:hAnsi="Aptos"/>
          <w:color w:val="28323C"/>
          <w:sz w:val="21"/>
        </w:rPr>
        <w:t>The scientific comparison is same underlying model, same task, native baseline X versus Jack-governed Y. The governing papers report small-sample diagnostics where both native and staged runs found correct core results, while Deep Research sometimes improved visible finalization fidelity or repaired a rigor gap that the model had already recognized in its native reasoning. Those observations are encouraging but are not benchmark claims.</w:t>
      </w:r>
    </w:p>
    <w:p>
      <w:pPr>
        <w:spacing w:lineRule="auto" w:line="259" w:before="0" w:after="100" w:beforeAutospacing="0" w:afterAutospacing="0"/>
      </w:pPr>
      <w:r>
        <w:rPr>
          <w:rFonts w:ascii="Aptos" w:hAnsi="Aptos"/>
          <w:color w:val="28323C"/>
          <w:sz w:val="21"/>
        </w:rPr>
        <w:t>September 2026 Antithesis profile-selection tests specifically examined the Stage-2 reasoning setting. A Thinking-Off run failed the intended separation because substantial hypothesis testing and self-correction spilled into the visible Antithesis output. Low and Medium both produced strong question-only Antithesis outputs when native reasoning was available. Because the Low and Medium runs received different stochastic Thesis trajectories, they do not establish that either profile is intrinsically superior. The release therefore selects Medium as the conservative, safer setting under uncertainty rather than claiming a benchmark win for Low or Medium.</w:t>
      </w:r>
    </w:p>
    <w:p>
      <w:pPr>
        <w:spacing w:lineRule="auto" w:line="259" w:before="0" w:after="100" w:beforeAutospacing="0" w:afterAutospacing="0"/>
      </w:pPr>
      <w:r>
        <w:rPr>
          <w:rFonts w:ascii="Aptos" w:hAnsi="Aptos"/>
          <w:color w:val="28323C"/>
          <w:sz w:val="21"/>
        </w:rPr>
        <w:t>The key hypothesis is not "Jack makes the model smarter." It is that structured additional cognition and deterministic authority can improve how existing model capability is utilized, challenged, executed, and committed.</w:t>
      </w:r>
    </w:p>
    <w:p>
      <w:pPr>
        <w:pStyle w:val="P4"/>
        <w:keepNext w:val="1"/>
        <w:spacing w:before="160" w:after="80" w:beforeAutospacing="0" w:afterAutospacing="0"/>
      </w:pPr>
      <w:r>
        <w:t>The stronger platform experiment</w:t>
      </w:r>
    </w:p>
    <w:p>
      <w:pPr>
        <w:spacing w:lineRule="auto" w:line="259" w:before="0" w:after="100" w:beforeAutospacing="0" w:afterAutospacing="0"/>
      </w:pPr>
      <w:r>
        <w:rPr>
          <w:rFonts w:ascii="Aptos" w:hAnsi="Aptos"/>
          <w:color w:val="28323C"/>
          <w:sz w:val="21"/>
        </w:rPr>
        <w:t>Build a new layer. Hold the model and task constant where possible, then test whether Jack makes that layer's state, authority, evidence, failure conditions, and commit boundaries explicit, observable, reproducible, and testable.</w:t>
      </w:r>
    </w:p>
    <w:p>
      <w:pPr>
        <w:pStyle w:val="P4"/>
        <w:keepNext w:val="1"/>
      </w:pPr>
      <w:r>
        <w:rPr>
          <w:b w:val="0"/>
          <w:i w:val="0"/>
        </w:rPr>
        <w:t>Recent Agentic case study</w:t>
      </w:r>
    </w:p>
    <w:p>
      <w:r>
        <w:rPr>
          <w:b w:val="0"/>
          <w:i w:val="0"/>
        </w:rPr>
        <w:t>The five-turn analog-clock run is the clearest release-era demonstration of Jack XML's intended role. Turn 3 intentionally compressed the visible A1 to two words while Stage 2 preserved the useful epistemic state. In Turn 5, the Stage-2 audit found a real factual error in the frozen A1's harness chronology and scoped it correctly without disturbing the valid artifact result. That is evidence that the semantic layer can do useful work beyond ordinary transcript retention.</w:t>
      </w:r>
    </w:p>
    <w:p>
      <w:pPr>
        <w:pStyle w:val="P4"/>
        <w:keepNext w:val="1"/>
      </w:pPr>
      <w:r>
        <w:rPr>
          <w:b w:val="0"/>
          <w:i w:val="0"/>
        </w:rPr>
        <w:t>What the case study does not prove</w:t>
      </w:r>
    </w:p>
    <w:p>
      <w:r>
        <w:rPr>
          <w:b w:val="0"/>
          <w:i w:val="0"/>
        </w:rPr>
        <w:t>It does not prove that XML syntax itself improves intelligence, that Agentic always beats a native baseline, or that every Stage-2 consolidation is correct. A clean causal test would hold model, task, tools, sampling, pruning, and artifacts constant and ablate only the retained Jack XML state. The release evidence supports the mechanism and specific observed outcomes; it is not a universal benchmark claim.</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16. Runtime and backend surface</w:t>
      </w:r>
    </w:p>
    <w:p>
      <w:pPr>
        <w:spacing w:lineRule="auto" w:line="259" w:before="0" w:after="100" w:beforeAutospacing="0" w:afterAutospacing="0"/>
      </w:pPr>
      <w:r>
        <w:t>Jack presents an OpenAI-compatible /v1/chat/completions surface to agents while routing to a configured local or OpenAI-compatible backend. The public v0.1.1 release listens by default at http://127.0.0.1:8001/v1. Orchestration Gateway v2 adds the public supervisory surface under http://127.0.0.1:8001/jack/orchestration. Every supervisor uses that orchestration surface for worker control. A local-model supervisor also uses Jack /v1 for its own cognition; a cloud-model supervisor keeps native cloud cognition. Primary Pi uses Jack /v1 for its model inference. Jack alone privately reaches the Primary-Pi bridge on 127.0.0.1:8013 using its separate control credential. LM Studio remains the default backend at http://127.0.0.1:1234/v1; built-in presets also cover Ollama, Jan.ai, raw llama.cpp llama-server, and compatible endpoints.</w:t>
      </w:r>
    </w:p>
    <w:p>
      <w:pPr>
        <w:pStyle w:val="P22"/>
        <w:spacing w:lineRule="auto" w:line="250" w:after="50" w:beforeAutospacing="0" w:afterAutospacing="0"/>
      </w:pPr>
      <w:r>
        <w:rPr>
          <w:rFonts w:ascii="Aptos" w:hAnsi="Aptos"/>
          <w:color w:val="28323C"/>
          <w:sz w:val="20"/>
        </w:rPr>
        <w:t>The caller-facing model ID is virtual and does not become authority over the actual backend model.</w:t>
      </w:r>
    </w:p>
    <w:p>
      <w:pPr>
        <w:pStyle w:val="P22"/>
        <w:spacing w:lineRule="auto" w:line="250" w:after="50" w:beforeAutospacing="0" w:afterAutospacing="0"/>
      </w:pPr>
      <w:r>
        <w:rPr>
          <w:rFonts w:ascii="Aptos" w:hAnsi="Aptos"/>
          <w:color w:val="28323C"/>
          <w:sz w:val="20"/>
        </w:rPr>
        <w:t>LM Studio can auto-detect the actually loaded model instance; ambiguous or stale model identity is rejected rather than silently trusted.</w:t>
      </w:r>
    </w:p>
    <w:p>
      <w:pPr>
        <w:pStyle w:val="P22"/>
        <w:spacing w:lineRule="auto" w:line="250" w:after="50" w:beforeAutospacing="0" w:afterAutospacing="0"/>
      </w:pPr>
      <w:r>
        <w:rPr>
          <w:rFonts w:ascii="Aptos" w:hAnsi="Aptos"/>
          <w:color w:val="28323C"/>
          <w:sz w:val="20"/>
        </w:rPr>
        <w:t>Backend control shapes differ. Qwen-oriented paths can set enable_thinking, preserve_thinking, and graded reasoning_effort when supported.</w:t>
      </w:r>
    </w:p>
    <w:p>
      <w:pPr>
        <w:pStyle w:val="P22"/>
        <w:spacing w:lineRule="auto" w:line="250" w:after="50" w:beforeAutospacing="0" w:afterAutospacing="0"/>
      </w:pPr>
      <w:r>
        <w:rPr>
          <w:rFonts w:ascii="Aptos" w:hAnsi="Aptos"/>
          <w:color w:val="28323C"/>
          <w:sz w:val="20"/>
        </w:rPr>
        <w:t>OpenAI-compatible transport alone does not prove that a backend faithfully preserves native thinking semantics.</w:t>
      </w:r>
    </w:p>
    <w:p>
      <w:pPr>
        <w:pStyle w:val="P22"/>
        <w:spacing w:lineRule="auto" w:line="250" w:after="50" w:beforeAutospacing="0" w:afterAutospacing="0"/>
      </w:pPr>
      <w:r>
        <w:rPr>
          <w:rFonts w:ascii="Aptos" w:hAnsi="Aptos"/>
          <w:color w:val="28323C"/>
          <w:sz w:val="20"/>
        </w:rPr>
        <w:t>The runtime keeps large runtime-identity/token/context telemetry out of model reasoning streams; optional forensic archives remain out of band.</w:t>
      </w:r>
    </w:p>
    <w:p>
      <w:pPr>
        <w:pStyle w:val="P4"/>
        <w:keepNext w:val="1"/>
      </w:pPr>
      <w:r>
        <w:rPr>
          <w:b w:val="0"/>
          <w:i w:val="0"/>
        </w:rPr>
        <w:t>Release endpoint map</w:t>
      </w:r>
    </w:p>
    <w:p>
      <w:pPr>
        <w:pStyle w:val="P22"/>
      </w:pPr>
      <w:r>
        <w:rPr>
          <w:b w:val="0"/>
          <w:i w:val="0"/>
        </w:rPr>
        <w:t>Agent -&gt; Jack: http://127.0.0.1:8001/v1 (virtual model ID: jack-kernel).</w:t>
      </w:r>
    </w:p>
    <w:p>
      <w:pPr>
        <w:pStyle w:val="P22"/>
      </w:pPr>
      <w:r>
        <w:t>Supervisor live observation -&gt; Jack: GET /jack/orchestration/events. Keep the SSE stream active during controlled work, retain the last processed seq, and use replay after reconnect. GET /jack/orchestration/status is used for readiness and terminal reconciliation, not as a replacement for live observation.</w:t>
      </w:r>
    </w:p>
    <w:p>
      <w:pPr>
        <w:pStyle w:val="P22"/>
      </w:pPr>
      <w:r>
        <w:t>Supervisor controlled work -&gt; Jack: POST /jack/orchestration/tasks, POST /jack/orchestration/tasks/cancel, and POST /jack/orchestration/session/new. Submit one controlled task at a time and do not overlap work while a prior run remains physically open.</w:t>
      </w:r>
    </w:p>
    <w:p>
      <w:pPr>
        <w:pStyle w:val="P22"/>
      </w:pPr>
      <w:r>
        <w:t>Jack -&gt; Primary Pi private bridge: http://127.0.0.1:8013. This route and its credential are private to Jack; no orchestration agent uses them directly. Local-model supervisors and Primary Pi also do not connect directly to the configured model backend.</w:t>
      </w:r>
    </w:p>
    <w:p>
      <w:pPr>
        <w:pStyle w:val="P22"/>
      </w:pPr>
      <w:r>
        <w:rPr>
          <w:b w:val="0"/>
          <w:i w:val="0"/>
        </w:rPr>
        <w:t>LM Studio backend: http://127.0.0.1:1234/v1.</w:t>
      </w:r>
    </w:p>
    <w:p>
      <w:pPr>
        <w:pStyle w:val="P22"/>
      </w:pPr>
      <w:r>
        <w:rPr>
          <w:b w:val="0"/>
          <w:i w:val="0"/>
        </w:rPr>
        <w:t>Ollama backend: http://127.0.0.1:11434/v1.</w:t>
      </w:r>
    </w:p>
    <w:p>
      <w:pPr>
        <w:pStyle w:val="P22"/>
      </w:pPr>
      <w:r>
        <w:rPr>
          <w:b w:val="0"/>
          <w:i w:val="0"/>
        </w:rPr>
        <w:t>Jan.ai backend: http://127.0.0.1:1337/v1.</w:t>
      </w:r>
    </w:p>
    <w:p>
      <w:pPr>
        <w:pStyle w:val="P22"/>
      </w:pPr>
      <w:r>
        <w:rPr>
          <w:b w:val="0"/>
          <w:i w:val="0"/>
        </w:rPr>
        <w:t>llama.cpp llama-server backend: http://127.0.0.1:8080/v1.</w:t>
      </w:r>
    </w:p>
    <w:p>
      <w:pPr>
        <w:pStyle w:val="P22"/>
      </w:pPr>
      <w:r>
        <w:rPr>
          <w:b w:val="0"/>
          <w:i w:val="0"/>
        </w:rPr>
        <w:t>Custom OpenAI-compatible / vLLM backend preset: http://127.0.0.1:8000/v1.</w:t>
      </w:r>
    </w:p>
    <w:p>
      <w:r>
        <w:rPr>
          <w:b w:val="0"/>
          <w:i w:val="0"/>
        </w:rPr>
        <w:t>The default topology is therefore agent -&gt; Jack :8001 -&gt; backend. A vLLM backend may remain on :8000; the ports serve different sides of the mediation boundary.</w:t>
      </w:r>
    </w:p>
    <w:p>
      <w:pPr>
        <w:pStyle w:val="P4"/>
        <w:keepNext w:val="1"/>
      </w:pPr>
      <w:r>
        <w:rPr>
          <w:b w:val="0"/>
          <w:i w:val="0"/>
        </w:rPr>
        <w:t>Pi integration and context synchronization</w:t>
      </w:r>
    </w:p>
    <w:p>
      <w:r>
        <w:t>The release includes Pi/jack-kernel.ts and Pi/install-jack-kernel-extension.ps1 for provider/context synchronization, plus Pi/pi-control-bridge.ts and Pi/install-pi-control-bridge-v2.ps1 for the current validated run-bound worker-control path. The context extension registers the jack-kernel provider from Jack’s live model metadata and defaults to the Jack server root at http://127.0.0.1:8001. The control bridge is installed into Primary Pi. A local supervisory client remains separate from Primary Pi and never receives the bridge token; other compatible supervisors may use local or cloud cognition according to the canonical Gateway v2 Technical Specification.</w:t>
      </w:r>
    </w:p>
    <w:p>
      <w:r>
        <w:rPr>
          <w:rFonts w:ascii="Consolas" w:hAnsi="Consolas"/>
          <w:b w:val="0"/>
          <w:i w:val="0"/>
          <w:sz w:val="20"/>
        </w:rPr>
        <w:t>powershell.exe -NoProfile -ExecutionPolicy Bypass -File ".\Pi\install-jack-kernel-extension.ps1"</w:t>
      </w:r>
    </w:p>
    <w:p>
      <w:r>
        <w:rPr>
          <w:b w:val="0"/>
          <w:i w:val="0"/>
        </w:rPr>
        <w:t>If %USERPROFILE%\.pi\agent\jack-kernel.json exists, its url value overrides the extension default. A stale file that still points to 8000 should be changed to http://127.0.0.1:8001. Do not perform a global 8000-&gt;8001 replacement because 8000 is still a legitimate backend port.</w:t>
      </w:r>
    </w:p>
    <w:p>
      <w:r>
        <w:rPr>
          <w:b w:val="0"/>
          <w:i w:val="0"/>
        </w:rPr>
        <w:t>Jack exposes context metadata through GET /v1/models and GET /health, and also provides an LM-Studio-compatible GET /api/v1/models surface used by the Pi integration. The Pi ticker itself is client-side and may display more than 100% of the backend window before Jack prunes/projects the next inference.</w:t>
      </w:r>
    </w:p>
    <w:p>
      <w:pPr>
        <w:pStyle w:val="P4"/>
        <w:keepNext w:val="1"/>
        <w:pBdr>
          <w:top w:val="none" w:sz="0" w:space="0" w:shadow="0" w:frame="0" w:color="auto"/>
          <w:left w:val="none" w:sz="0" w:space="0" w:shadow="0" w:frame="0" w:color="auto"/>
          <w:bottom w:val="single" w:sz="12" w:space="3" w:shadow="0" w:frame="0" w:color="A87E25"/>
          <w:right w:val="none" w:sz="0" w:space="0" w:shadow="0" w:frame="0" w:color="auto"/>
          <w:between w:val="none" w:sz="0" w:space="0" w:shadow="0" w:frame="0" w:color="auto"/>
        </w:pBdr>
        <w:spacing w:before="240" w:after="120" w:beforeAutospacing="0" w:afterAutospacing="0"/>
      </w:pPr>
      <w:r>
        <w:t>Current reference profiles</w:t>
      </w:r>
    </w:p>
    <w:p>
      <w:pPr>
        <w:spacing w:lineRule="auto" w:line="259" w:before="0" w:after="0" w:beforeAutospacing="0" w:afterAutospacing="0"/>
      </w:pPr>
    </w:p>
    <w:tbl>
      <w:tblPr>
        <w:tblW w:w="0" w:type="auto"/>
        <w:jc w:val="center"/>
        <w:tblLayout w:type="autofit"/>
        <w:tblLook w:val="04A0"/>
      </w:tblPr>
      <w:tblGrid>
        <w:gridCol w:w="2107"/>
        <w:gridCol w:w="2497"/>
        <w:gridCol w:w="1342"/>
        <w:gridCol w:w="1701"/>
        <w:gridCol w:w="2777"/>
      </w:tblGrid>
      <w:tr>
        <w:trPr>
          <w:cantSplit/>
          <w:tblHeader/>
        </w:trPr>
        <w:tc>
          <w:tcPr>
            <w:tcW w:w="2232"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Mode / stage</w:t>
            </w:r>
          </w:p>
        </w:tc>
        <w:tc>
          <w:tcPr>
            <w:tcW w:w="2664"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Reasoning control</w:t>
            </w:r>
          </w:p>
        </w:tc>
        <w:tc>
          <w:tcPr>
            <w:tcW w:w="1224"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Temperature</w:t>
            </w:r>
          </w:p>
        </w:tc>
        <w:tc>
          <w:tcPr>
            <w:tcW w:w="1728"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Tools</w:t>
            </w:r>
          </w:p>
        </w:tc>
        <w:tc>
          <w:tcPr>
            <w:tcW w:w="2880"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Authority / retention</w:t>
            </w:r>
          </w:p>
        </w:tc>
      </w:tr>
      <w:tr>
        <w:trPr>
          <w:cantSplit/>
        </w:trPr>
        <w:tc>
          <w:tcPr>
            <w:tcW w:w="223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Off</w:t>
            </w:r>
          </w:p>
        </w:tc>
        <w:tc>
          <w:tcPr>
            <w:tcW w:w="266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native thinking OFF</w:t>
            </w:r>
          </w:p>
        </w:tc>
        <w:tc>
          <w:tcPr>
            <w:tcW w:w="12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0.70</w:t>
            </w:r>
          </w:p>
        </w:tc>
        <w:tc>
          <w:tcPr>
            <w:tcW w:w="172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when supplied</w:t>
            </w:r>
          </w:p>
        </w:tc>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Direct native answer.</w:t>
            </w:r>
          </w:p>
        </w:tc>
      </w:tr>
      <w:tr>
        <w:trPr>
          <w:cantSplit/>
        </w:trPr>
        <w:tc>
          <w:tcPr>
            <w:tcW w:w="223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Medium</w:t>
            </w:r>
          </w:p>
        </w:tc>
        <w:tc>
          <w:tcPr>
            <w:tcW w:w="266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native Medium</w:t>
            </w:r>
          </w:p>
        </w:tc>
        <w:tc>
          <w:tcPr>
            <w:tcW w:w="12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1.00</w:t>
            </w:r>
          </w:p>
        </w:tc>
        <w:tc>
          <w:tcPr>
            <w:tcW w:w="172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when supplied</w:t>
            </w:r>
          </w:p>
        </w:tc>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Direct native answer.</w:t>
            </w:r>
          </w:p>
        </w:tc>
      </w:tr>
      <w:tr>
        <w:trPr>
          <w:cantSplit/>
        </w:trPr>
        <w:tc>
          <w:tcPr>
            <w:tcW w:w="2232"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X-High</w:t>
            </w:r>
          </w:p>
        </w:tc>
        <w:tc>
          <w:tcPr>
            <w:tcW w:w="266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native X-High</w:t>
            </w:r>
          </w:p>
        </w:tc>
        <w:tc>
          <w:tcPr>
            <w:tcW w:w="122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1.00</w:t>
            </w:r>
          </w:p>
        </w:tc>
        <w:tc>
          <w:tcPr>
            <w:tcW w:w="1728"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when supplied</w:t>
            </w:r>
          </w:p>
        </w:tc>
        <w:tc>
          <w:tcPr>
            <w:tcW w:w="28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Direct native answer / matched baseline.</w:t>
            </w:r>
          </w:p>
        </w:tc>
      </w:tr>
      <w:tr>
        <w:trPr>
          <w:cantSplit/>
        </w:trPr>
        <w:tc>
          <w:tcPr>
            <w:tcW w:w="223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Deep Research — Thesis</w:t>
            </w:r>
          </w:p>
        </w:tc>
        <w:tc>
          <w:tcPr>
            <w:tcW w:w="266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X-High + Preserve Thinking</w:t>
            </w:r>
          </w:p>
        </w:tc>
        <w:tc>
          <w:tcPr>
            <w:tcW w:w="12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0.85</w:t>
            </w:r>
          </w:p>
        </w:tc>
        <w:tc>
          <w:tcPr>
            <w:tcW w:w="172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none</w:t>
            </w:r>
          </w:p>
        </w:tc>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Plan only; no final-answer authority; native R1 pruned later.</w:t>
            </w:r>
          </w:p>
        </w:tc>
      </w:tr>
      <w:tr>
        <w:trPr>
          <w:cantSplit/>
        </w:trPr>
        <w:tc>
          <w:tcPr>
            <w:tcW w:w="2232"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Deep Research — Antithesis</w:t>
            </w:r>
          </w:p>
        </w:tc>
        <w:tc>
          <w:tcPr>
            <w:tcW w:w="266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Medium + Preserve Thinking</w:t>
            </w:r>
          </w:p>
        </w:tc>
        <w:tc>
          <w:tcPr>
            <w:tcW w:w="122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0.70</w:t>
            </w:r>
          </w:p>
        </w:tc>
        <w:tc>
          <w:tcPr>
            <w:tcW w:w="1728"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none</w:t>
            </w:r>
          </w:p>
        </w:tc>
        <w:tc>
          <w:tcPr>
            <w:tcW w:w="28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Advisory friction; zero final-answer authority; native R2 pruned later.</w:t>
            </w:r>
          </w:p>
        </w:tc>
      </w:tr>
      <w:tr>
        <w:trPr>
          <w:cantSplit/>
        </w:trPr>
        <w:tc>
          <w:tcPr>
            <w:tcW w:w="223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Deep Research — Synthesis</w:t>
            </w:r>
          </w:p>
        </w:tc>
        <w:tc>
          <w:tcPr>
            <w:tcW w:w="266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X-High + Preserve Thinking</w:t>
            </w:r>
          </w:p>
        </w:tc>
        <w:tc>
          <w:tcPr>
            <w:tcW w:w="12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0.70</w:t>
            </w:r>
          </w:p>
        </w:tc>
        <w:tc>
          <w:tcPr>
            <w:tcW w:w="172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caller tools when supplied</w:t>
            </w:r>
          </w:p>
        </w:tc>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Sole answer/execution authority; Stage-3 reasoning/tools/final retained.</w:t>
            </w:r>
          </w:p>
        </w:tc>
      </w:tr>
      <w:tr>
        <w:trPr>
          <w:cantSplit/>
        </w:trPr>
        <w:tc>
          <w:tcPr>
            <w:tcW w:w="2232"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Agentic — Stage 1</w:t>
            </w:r>
          </w:p>
        </w:tc>
        <w:tc>
          <w:tcPr>
            <w:tcW w:w="266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X-High + Preserve Thinking</w:t>
            </w:r>
          </w:p>
        </w:tc>
        <w:tc>
          <w:tcPr>
            <w:tcW w:w="122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0.70</w:t>
            </w:r>
          </w:p>
        </w:tc>
        <w:tc>
          <w:tcPr>
            <w:tcW w:w="1728"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caller tools when supplied</w:t>
            </w:r>
          </w:p>
        </w:tc>
        <w:tc>
          <w:tcPr>
            <w:tcW w:w="28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Substantive native answer A1; exact A1 frozen.</w:t>
            </w:r>
          </w:p>
        </w:tc>
      </w:tr>
      <w:tr>
        <w:trPr>
          <w:cantSplit/>
        </w:trPr>
        <w:tc>
          <w:tcPr>
            <w:tcW w:w="223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Agentic — Stage 2</w:t>
            </w:r>
          </w:p>
        </w:tc>
        <w:tc>
          <w:tcPr>
            <w:tcW w:w="266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X-High + Preserve Thinking</w:t>
            </w:r>
          </w:p>
        </w:tc>
        <w:tc>
          <w:tcPr>
            <w:tcW w:w="12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0.50</w:t>
            </w:r>
          </w:p>
        </w:tc>
        <w:tc>
          <w:tcPr>
            <w:tcW w:w="172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none</w:t>
            </w:r>
          </w:p>
        </w:tc>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Zero answer authority; produces semantic Jack XML; raw cognition/tool protocol retired after commit.</w:t>
            </w:r>
          </w:p>
        </w:tc>
      </w:tr>
      <w:tr>
        <w:trPr>
          <w:cantSplit/>
        </w:trPr>
        <w:tc>
          <w:tcPr>
            <w:tcW w:w="2232" w:type="dxa"/>
            <w:shd w:val="clear" w:color="auto" w:fill="FFFFFF"/>
            <w:tcMar>
              <w:top w:w="80" w:type="dxa"/>
              <w:left w:w="100" w:type="dxa"/>
              <w:bottom w:w="80" w:type="dxa"/>
              <w:right w:w="100" w:type="dxa"/>
            </w:tcMar>
            <w:vAlign w:val="center"/>
          </w:tcPr>
          <w:p>
            <w:pPr>
              <w:spacing w:after="30" w:beforeAutospacing="0" w:afterAutospacing="0"/>
            </w:pPr>
            <w:r>
              <w:rPr>
                <w:b w:val="0"/>
                <w:sz w:val="20"/>
              </w:rPr>
              <w:t>Code Debugging - intake</w:t>
            </w:r>
          </w:p>
        </w:tc>
        <w:tc>
          <w:tcPr>
            <w:tcW w:w="2664" w:type="dxa"/>
            <w:shd w:val="clear" w:color="auto" w:fill="FFFFFF"/>
            <w:tcMar>
              <w:top w:w="80" w:type="dxa"/>
              <w:left w:w="100" w:type="dxa"/>
              <w:bottom w:w="80" w:type="dxa"/>
              <w:right w:w="100" w:type="dxa"/>
            </w:tcMar>
            <w:vAlign w:val="center"/>
          </w:tcPr>
          <w:p>
            <w:pPr>
              <w:spacing w:after="30" w:beforeAutospacing="0" w:afterAutospacing="0"/>
            </w:pPr>
            <w:r>
              <w:rPr>
                <w:b w:val="0"/>
                <w:sz w:val="20"/>
              </w:rPr>
              <w:t>Medium / X-High by selected debugging mode</w:t>
            </w:r>
          </w:p>
        </w:tc>
        <w:tc>
          <w:tcPr>
            <w:tcW w:w="1224" w:type="dxa"/>
            <w:shd w:val="clear" w:color="auto" w:fill="FFFFFF"/>
            <w:tcMar>
              <w:top w:w="80" w:type="dxa"/>
              <w:left w:w="100" w:type="dxa"/>
              <w:bottom w:w="80" w:type="dxa"/>
              <w:right w:w="100" w:type="dxa"/>
            </w:tcMar>
            <w:vAlign w:val="center"/>
          </w:tcPr>
          <w:p>
            <w:pPr>
              <w:spacing w:after="30" w:beforeAutospacing="0" w:afterAutospacing="0"/>
            </w:pPr>
            <w:r>
              <w:rPr>
                <w:b w:val="0"/>
                <w:sz w:val="20"/>
              </w:rPr>
              <w:t>0.70</w:t>
            </w:r>
          </w:p>
        </w:tc>
        <w:tc>
          <w:tcPr>
            <w:tcW w:w="1728" w:type="dxa"/>
            <w:shd w:val="clear" w:color="auto" w:fill="FFFFFF"/>
            <w:tcMar>
              <w:top w:w="80" w:type="dxa"/>
              <w:left w:w="100" w:type="dxa"/>
              <w:bottom w:w="80" w:type="dxa"/>
              <w:right w:w="100" w:type="dxa"/>
            </w:tcMar>
            <w:vAlign w:val="center"/>
          </w:tcPr>
          <w:p>
            <w:pPr>
              <w:spacing w:after="30" w:beforeAutospacing="0" w:afterAutospacing="0"/>
            </w:pPr>
            <w:r>
              <w:rPr>
                <w:b w:val="0"/>
                <w:sz w:val="20"/>
              </w:rPr>
              <w:t>none</w:t>
            </w:r>
          </w:p>
        </w:tc>
        <w:tc>
          <w:tcPr>
            <w:tcW w:w="2880" w:type="dxa"/>
            <w:shd w:val="clear" w:color="auto" w:fill="FFFFFF"/>
            <w:tcMar>
              <w:top w:w="80" w:type="dxa"/>
              <w:left w:w="100" w:type="dxa"/>
              <w:bottom w:w="80" w:type="dxa"/>
              <w:right w:w="100" w:type="dxa"/>
            </w:tcMar>
            <w:vAlign w:val="center"/>
          </w:tcPr>
          <w:p>
            <w:pPr>
              <w:spacing w:after="30" w:beforeAutospacing="0" w:afterAutospacing="0"/>
            </w:pPr>
            <w:r>
              <w:rPr>
                <w:b w:val="0"/>
                <w:sz w:val="20"/>
              </w:rPr>
              <w:t>Optional streamed diagnostic intake; only user-origin input becomes durable Pass 0.</w:t>
            </w:r>
          </w:p>
        </w:tc>
      </w:tr>
      <w:tr>
        <w:trPr>
          <w:cantSplit/>
        </w:trPr>
        <w:tc>
          <w:tcPr>
            <w:tcW w:w="2232" w:type="dxa"/>
            <w:shd w:val="clear" w:color="auto" w:fill="F4F6F8"/>
            <w:tcMar>
              <w:top w:w="80" w:type="dxa"/>
              <w:left w:w="100" w:type="dxa"/>
              <w:bottom w:w="80" w:type="dxa"/>
              <w:right w:w="100" w:type="dxa"/>
            </w:tcMar>
            <w:vAlign w:val="center"/>
          </w:tcPr>
          <w:p>
            <w:pPr>
              <w:spacing w:after="30" w:beforeAutospacing="0" w:afterAutospacing="0"/>
            </w:pPr>
            <w:r>
              <w:rPr>
                <w:b w:val="0"/>
                <w:sz w:val="20"/>
              </w:rPr>
              <w:t>Code Debugging - Passes 1-5 / final</w:t>
            </w:r>
          </w:p>
        </w:tc>
        <w:tc>
          <w:tcPr>
            <w:tcW w:w="2664" w:type="dxa"/>
            <w:shd w:val="clear" w:color="auto" w:fill="F4F6F8"/>
            <w:tcMar>
              <w:top w:w="80" w:type="dxa"/>
              <w:left w:w="100" w:type="dxa"/>
              <w:bottom w:w="80" w:type="dxa"/>
              <w:right w:w="100" w:type="dxa"/>
            </w:tcMar>
            <w:vAlign w:val="center"/>
          </w:tcPr>
          <w:p>
            <w:pPr>
              <w:spacing w:after="30" w:beforeAutospacing="0" w:afterAutospacing="0"/>
            </w:pPr>
            <w:r>
              <w:rPr>
                <w:b w:val="0"/>
                <w:sz w:val="20"/>
              </w:rPr>
              <w:t>Medium for Code Debugging; X-High for Code Debugging (Deep); fresh each pass</w:t>
            </w:r>
          </w:p>
        </w:tc>
        <w:tc>
          <w:tcPr>
            <w:tcW w:w="1224" w:type="dxa"/>
            <w:shd w:val="clear" w:color="auto" w:fill="F4F6F8"/>
            <w:tcMar>
              <w:top w:w="80" w:type="dxa"/>
              <w:left w:w="100" w:type="dxa"/>
              <w:bottom w:w="80" w:type="dxa"/>
              <w:right w:w="100" w:type="dxa"/>
            </w:tcMar>
            <w:vAlign w:val="center"/>
          </w:tcPr>
          <w:p>
            <w:pPr>
              <w:spacing w:after="30" w:beforeAutospacing="0" w:afterAutospacing="0"/>
            </w:pPr>
            <w:r>
              <w:rPr>
                <w:b w:val="0"/>
                <w:sz w:val="20"/>
              </w:rPr>
              <w:t>1.00 / 0.80 / 0.70 / 0.60 / 0.50; final 1.00</w:t>
            </w:r>
          </w:p>
        </w:tc>
        <w:tc>
          <w:tcPr>
            <w:tcW w:w="1728" w:type="dxa"/>
            <w:shd w:val="clear" w:color="auto" w:fill="F4F6F8"/>
            <w:tcMar>
              <w:top w:w="80" w:type="dxa"/>
              <w:left w:w="100" w:type="dxa"/>
              <w:bottom w:w="80" w:type="dxa"/>
              <w:right w:w="100" w:type="dxa"/>
            </w:tcMar>
            <w:vAlign w:val="center"/>
          </w:tcPr>
          <w:p>
            <w:pPr>
              <w:spacing w:after="30" w:beforeAutospacing="0" w:afterAutospacing="0"/>
            </w:pPr>
            <w:r>
              <w:rPr>
                <w:b w:val="0"/>
                <w:sz w:val="20"/>
              </w:rPr>
              <w:t>Passes: inspection/non-mutating; direct mutation tools excluded where identifiable; final: no tools</w:t>
            </w:r>
          </w:p>
        </w:tc>
        <w:tc>
          <w:tcPr>
            <w:tcW w:w="2880" w:type="dxa"/>
            <w:shd w:val="clear" w:color="auto" w:fill="F4F6F8"/>
            <w:tcMar>
              <w:top w:w="80" w:type="dxa"/>
              <w:left w:w="100" w:type="dxa"/>
              <w:bottom w:w="80" w:type="dxa"/>
              <w:right w:w="100" w:type="dxa"/>
            </w:tcMar>
            <w:vAlign w:val="center"/>
          </w:tcPr>
          <w:p>
            <w:pPr>
              <w:spacing w:after="30" w:beforeAutospacing="0" w:afterAutospacing="0"/>
            </w:pPr>
            <w:r>
              <w:rPr>
                <w:b w:val="0"/>
                <w:sz w:val="20"/>
              </w:rPr>
              <w:t>Report-only audits. Exact Pass 0 enters every pass; Passes 2-5 get compact host-derived duplicate-avoidance state only. Full handoffs stay on disk for final synthesis.</w:t>
            </w:r>
          </w:p>
        </w:tc>
      </w:tr>
    </w:tbl>
    <w:p>
      <w:pPr>
        <w:spacing w:lineRule="auto" w:line="259" w:before="0" w:after="0" w:beforeAutospacing="0" w:afterAutospacing="0"/>
      </w:pPr>
    </w:p>
    <w:p>
      <w:pPr>
        <w:spacing w:lineRule="auto" w:line="259" w:before="0" w:after="100" w:beforeAutospacing="0" w:afterAutospacing="0"/>
      </w:pPr>
      <w:r>
        <w:t>Deep Research host-side max_tokens runaway ceilings are 100000 / 20000 / 100000 for Thesis / Antithesis / Synthesis. These are not target lengths and are not model-visible cognitive instructions. Code Debugging uses the same topology in both public profiles; only Medium versus X-High reasoning effort changes.</w:t>
      </w:r>
    </w:p>
    <w:p>
      <w:pPr>
        <w:pStyle w:val="P4"/>
        <w:keepNext w:val="1"/>
      </w:pPr>
      <w:r>
        <w:rPr>
          <w:b w:val="0"/>
          <w:i w:val="0"/>
        </w:rPr>
        <w:t>Common release problems</w:t>
      </w:r>
    </w:p>
    <w:p>
      <w:pPr>
        <w:pStyle w:val="P22"/>
      </w:pPr>
      <w:r>
        <w:rPr>
          <w:b w:val="0"/>
          <w:i w:val="0"/>
        </w:rPr>
        <w:t>Agent cannot connect: confirm Jack is running and the agent base URL is http://127.0.0.1:8001/v1, not the backend URL.</w:t>
      </w:r>
    </w:p>
    <w:p>
      <w:pPr>
        <w:pStyle w:val="P22"/>
      </w:pPr>
      <w:r>
        <w:rPr>
          <w:b w:val="0"/>
          <w:i w:val="0"/>
        </w:rPr>
        <w:t>Backend reports no model: load a model first or configure the backend model explicitly. Jack rejects ambiguous/stale identity rather than silently pretending a model is loaded.</w:t>
      </w:r>
    </w:p>
    <w:p>
      <w:pPr>
        <w:pStyle w:val="P22"/>
      </w:pPr>
      <w:r>
        <w:rPr>
          <w:b w:val="0"/>
          <w:i w:val="0"/>
        </w:rPr>
        <w:t>Pi still points to 8000: rerun the bundled Pi installer and inspect %USERPROFILE%\.pi\agent\jack-kernel.json for an explicit old override.</w:t>
      </w:r>
    </w:p>
    <w:p>
      <w:pPr>
        <w:pStyle w:val="P22"/>
      </w:pPr>
      <w:r>
        <w:rPr>
          <w:b w:val="0"/>
          <w:i w:val="0"/>
        </w:rPr>
        <w:t>Pi context meter exceeds 100%: this can be expected in long Jack-governed sessions because Pi measures before Jack's inference-time pruning. Check Jack/backend context telemetry when diagnosing an actual overflow.</w:t>
      </w:r>
    </w:p>
    <w:p>
      <w:pPr>
        <w:pStyle w:val="P22"/>
      </w:pPr>
      <w:r>
        <w:rPr>
          <w:b w:val="0"/>
          <w:i w:val="0"/>
        </w:rPr>
        <w:t>A tool is unavailable in a stage: first check the program contract. Deep Research Thesis/Antithesis, Agentic Stage 2, Debugging intake, and the Debugging final reporter intentionally have no tool authority.</w:t>
      </w:r>
    </w:p>
    <w:p>
      <w:pPr>
        <w:pStyle w:val="P22"/>
      </w:pPr>
      <w:r>
        <w:rPr>
          <w:b w:val="0"/>
          <w:i w:val="0"/>
        </w:rPr>
        <w:t>Code Debugging did not patch the project: correct behavior. It is report-only; a separate work agent should implement the repair specification.</w:t>
      </w:r>
    </w:p>
    <w:p>
      <w:pPr>
        <w:pStyle w:val="P22"/>
      </w:pPr>
      <w:r>
        <w:rPr>
          <w:b w:val="0"/>
          <w:i w:val="0"/>
        </w:rPr>
        <w:t>Agentic Stage 2 found an error but did not fix A1: correct behavior. A1 is frozen and Stage 2 has zero answer authority; the audit records the error for future cognition.</w:t>
      </w:r>
    </w:p>
    <w:p>
      <w:pPr>
        <w:pStyle w:val="P22"/>
      </w:pPr>
      <w:r>
        <w:t>Orchestration returns HTTP 502 with “Pi control bridge is unavailable”: Primary Pi or its private bridge is not reachable. Restore Primary Pi; do not bypass Jack by pointing the supervisor at port 8013.</w:t>
      </w:r>
    </w:p>
    <w:p>
      <w:pPr>
        <w:pStyle w:val="P22"/>
      </w:pPr>
      <w:r>
        <w:t>Orchestration replay returns HTTP 409 orchestration_replay_gap: the requested sequence predates the bounded replay buffer. Treat that historical interval as incomplete rather than silently resuming from a guessed position. If an SSE reader times out or disconnects without a replay gap, reconnect from the last processed seq; do not treat the reader timeout itself as worker completion or failure.</w:t>
      </w:r>
    </w:p>
    <w:p>
      <w:pPr>
        <w:pStyle w:val="P22"/>
      </w:pPr>
      <w:r>
        <w:t>Local-model supervisor and worker appear serialized even though the backend has multiple slots: verify Jack launcher Advanced -&gt; Maximum concurrent Kernel requests is saved as 2. A parent-shell environment variable alone can be overwritten by launcher configuration. A cloud-model supervisor does not consume a Jack local-inference slot for its own cognition.</w:t>
      </w:r>
    </w:p>
    <w:p>
      <w:pPr>
        <w:pStyle w:val="P4"/>
        <w:keepNext w:val="1"/>
      </w:pPr>
      <w:r>
        <w:rPr>
          <w:b w:val="0"/>
          <w:i w:val="0"/>
        </w:rPr>
        <w:t>Useful files in the release</w:t>
      </w:r>
    </w:p>
    <w:p>
      <w:pPr>
        <w:pStyle w:val="P22"/>
      </w:pPr>
      <w:r>
        <w:rPr>
          <w:b w:val="0"/>
          <w:i w:val="0"/>
        </w:rPr>
        <w:t>jack_kernel.py - runtime and configuration interface.</w:t>
      </w:r>
    </w:p>
    <w:p>
      <w:pPr>
        <w:pStyle w:val="P22"/>
      </w:pPr>
      <w:r>
        <w:rPr>
          <w:b w:val="0"/>
          <w:i w:val="0"/>
        </w:rPr>
        <w:t>start.bat - Windows launcher.</w:t>
      </w:r>
    </w:p>
    <w:p>
      <w:pPr>
        <w:pStyle w:val="P22"/>
      </w:pPr>
      <w:r>
        <w:rPr>
          <w:b w:val="0"/>
          <w:i w:val="0"/>
        </w:rPr>
        <w:t>requirements.txt - Python dependencies.</w:t>
      </w:r>
    </w:p>
    <w:p>
      <w:pPr>
        <w:pStyle w:val="P22"/>
      </w:pPr>
      <w:r>
        <w:rPr>
          <w:b w:val="0"/>
          <w:i w:val="0"/>
        </w:rPr>
        <w:t>README.md - repository front door and concise release documentation.</w:t>
      </w:r>
    </w:p>
    <w:p>
      <w:pPr>
        <w:pStyle w:val="P22"/>
      </w:pPr>
      <w:r>
        <w:t>00_Jack_Kernel_Plain_English_Master_Guide_v0.1.1.docx - repository-front-door copy of this guide; README links it first so new readers see the plain-English architecture before the deeper technical material.</w:t>
      </w:r>
    </w:p>
    <w:p>
      <w:pPr>
        <w:pStyle w:val="P22"/>
      </w:pPr>
      <w:r>
        <w:t>Documentation/Jack_Kernel_Runtime_Specification_v0.1.1.docx - normative Jack Kernel runtime/conformance specification.</w:t>
      </w:r>
    </w:p>
    <w:p>
      <w:pPr>
        <w:pStyle w:val="P22"/>
      </w:pPr>
      <w:r>
        <w:t>Documentation/Research/Jack_Kernel_Long_Horizon_Cognition_Technical_Whitepaper_v0.1.1.docx - research/architecture paper; not the normative runtime specification.</w:t>
      </w:r>
    </w:p>
    <w:p>
      <w:pPr>
        <w:pStyle w:val="P22"/>
      </w:pPr>
      <w:r>
        <w:t>Pi/pi-control-bridge.ts - current validated run-bound Primary-Pi control bridge for Orchestration Gateway v2 (Windows CRLF SHA-256 E758883F3C18CBEFBF5590C720DBEDF7AB8E85D3314B5EA77E277B1A8C3BD3E4; canonical repository LF SHA-256 723338D4F67295AEC5B75886EFEF7843C1A44D01934BF9CBB7C2304B4603F92C).</w:t>
      </w:r>
    </w:p>
    <w:p>
      <w:pPr>
        <w:pStyle w:val="P22"/>
      </w:pPr>
      <w:r>
        <w:t>Pi/install-pi-control-bridge-v2.ps1 - installer/backup helper for the current validated worker-control bridge.</w:t>
      </w:r>
    </w:p>
    <w:p>
      <w:pPr>
        <w:pStyle w:val="P22"/>
      </w:pPr>
      <w:r>
        <w:t>Documentation/Orchestration/ORCHESTRATION_GATEWAY_V2_TECHNICAL_SPEC.md - canonical orchestration protocol, lifecycle, authority, and supervisor compatibility contract.</w:t>
      </w:r>
    </w:p>
    <w:p>
      <w:pPr>
        <w:pStyle w:val="P22"/>
      </w:pPr>
      <w:r>
        <w:t>Documentation/Orchestration/Historical/ORCHESTRATION_GATEWAY_V2_ACCEPTANCE_REPORT_2026-09-12.md - dated historical Gateway v2 acceptance evidence; not current runtime identity authority.</w:t>
      </w:r>
    </w:p>
    <w:p>
      <w:pPr>
        <w:pStyle w:val="P22"/>
      </w:pPr>
      <w:r>
        <w:t>Documentation/Orchestration/ORCHESTRATOR_INSTRUCTIONS.md - operational procedure for readiness, task submission, mandatory live SSE supervision, replay/reconnect, silence-not-settlement handling, cancellation, session replacement, and no-bypass failure behavior.</w:t>
      </w:r>
    </w:p>
    <w:p>
      <w:pPr>
        <w:pStyle w:val="P22"/>
      </w:pPr>
      <w:r>
        <w:rPr>
          <w:b w:val="0"/>
          <w:i w:val="0"/>
        </w:rPr>
        <w:t>Pi/ - optional Pi provider/context synchronization plus the accepted private Primary-Pi control bridge.</w:t>
      </w:r>
    </w:p>
    <w:p>
      <w:pPr>
        <w:pStyle w:val="P22"/>
      </w:pPr>
      <w:r>
        <w:rPr>
          <w:b w:val="0"/>
          <w:i w:val="0"/>
        </w:rPr>
        <w:t>Debugging/Instructions.md - machine-facing Code Debugging contract.</w:t>
      </w:r>
    </w:p>
    <w:p>
      <w:pPr>
        <w:pStyle w:val="P22"/>
      </w:pPr>
      <w:r>
        <w:rPr>
          <w:b w:val="0"/>
          <w:i w:val="0"/>
        </w:rPr>
        <w:t>Debugging/User_Instructions.md - debugging-specific user examples and workflow guidance.</w:t>
      </w:r>
    </w:p>
    <w:p>
      <w:pPr>
        <w:pStyle w:val="P22"/>
      </w:pPr>
      <w:r>
        <w:rPr>
          <w:b w:val="0"/>
          <w:i w:val="0"/>
        </w:rPr>
        <w:t>Debugging/Reports/ - unique durable report per debugging invocation.</w:t>
      </w:r>
    </w:p>
    <w:p>
      <w:pPr>
        <w:pStyle w:val="P22"/>
      </w:pPr>
      <w:r>
        <w:rPr>
          <w:b w:val="0"/>
          <w:i w:val="0"/>
        </w:rPr>
        <w:t>LICENSE / NOTICE / COMMERCIAL_LICENSE.md - distribution and licensing terms/notices.</w:t>
      </w:r>
    </w:p>
    <w:p>
      <w:r>
        <w:rPr>
          <w:b w:val="0"/>
          <w:i w:val="1"/>
        </w:rPr>
        <w:t>This Plain-English Master Guide is the general help document. Debugging/User_Instructions.md is intentionally narrower and applies only to the Code Debugging program.</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17. What Jack can prove — and what it cannot</w:t>
      </w:r>
    </w:p>
    <w:tbl>
      <w:tblPr>
        <w:tblW w:w="0" w:type="auto"/>
        <w:jc w:val="center"/>
        <w:tblLayout w:type="autofit"/>
        <w:tblLook w:val="04A0"/>
      </w:tblPr>
      <w:tblGrid>
        <w:gridCol w:w="4896"/>
        <w:gridCol w:w="4896"/>
      </w:tblGrid>
      <w:tr>
        <w:trPr>
          <w:cantSplit/>
          <w:tblHeader/>
        </w:trPr>
        <w:tc>
          <w:tcPr>
            <w:tcW w:w="4896"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Jack can make this host behavior auditable</w:t>
            </w:r>
          </w:p>
        </w:tc>
        <w:tc>
          <w:tcPr>
            <w:tcW w:w="4896"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Jack cannot guarantee this semantic outcome</w:t>
            </w:r>
          </w:p>
        </w:tc>
      </w:tr>
      <w:tr>
        <w:trPr>
          <w:cantSplit/>
        </w:trPr>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Which stage ran and in what order.</w:t>
            </w:r>
          </w:p>
        </w:tc>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the model reasoned correctly.</w:t>
            </w:r>
          </w:p>
        </w:tc>
      </w:tr>
      <w:tr>
        <w:trPr>
          <w:cantSplit/>
        </w:trPr>
        <w:tc>
          <w:tcPr>
            <w:tcW w:w="48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Which stage received tools.</w:t>
            </w:r>
          </w:p>
        </w:tc>
        <w:tc>
          <w:tcPr>
            <w:tcW w:w="48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the model chose the right tool or interpreted the result correctly.</w:t>
            </w:r>
          </w:p>
        </w:tc>
      </w:tr>
      <w:tr>
        <w:trPr>
          <w:cantSplit/>
        </w:trPr>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Which user request a stage was targeting.</w:t>
            </w:r>
          </w:p>
        </w:tc>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Antithesis found the strongest hidden assumption.</w:t>
            </w:r>
          </w:p>
        </w:tc>
      </w:tr>
      <w:tr>
        <w:trPr>
          <w:cantSplit/>
        </w:trPr>
        <w:tc>
          <w:tcPr>
            <w:tcW w:w="48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What output was frozen or committed.</w:t>
            </w:r>
          </w:p>
        </w:tc>
        <w:tc>
          <w:tcPr>
            <w:tcW w:w="48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the committed answer is factually correct.</w:t>
            </w:r>
          </w:p>
        </w:tc>
      </w:tr>
      <w:tr>
        <w:trPr>
          <w:cantSplit/>
        </w:trPr>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What context was preserved, pruned, or rehydrated.</w:t>
            </w:r>
          </w:p>
        </w:tc>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semantic consolidation preserved every useful fact.</w:t>
            </w:r>
          </w:p>
        </w:tc>
      </w:tr>
      <w:tr>
        <w:trPr>
          <w:cantSplit/>
        </w:trPr>
        <w:tc>
          <w:tcPr>
            <w:tcW w:w="48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Whether verification belongs to a current or stale artifact state.</w:t>
            </w:r>
          </w:p>
        </w:tc>
        <w:tc>
          <w:tcPr>
            <w:tcW w:w="48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the chosen verification was sufficient for the user's real-world claim.</w:t>
            </w:r>
          </w:p>
        </w:tc>
      </w:tr>
      <w:tr>
        <w:trPr>
          <w:cantSplit/>
        </w:trPr>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Whether a host gate allowed/denied a transition.</w:t>
            </w:r>
          </w:p>
        </w:tc>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a deployment safety policy is complete.</w:t>
            </w:r>
          </w:p>
        </w:tc>
      </w:tr>
    </w:tbl>
    <w:p>
      <w:pPr>
        <w:spacing w:lineRule="auto" w:line="259" w:before="0" w:after="0" w:beforeAutospacing="0" w:afterAutospacing="0"/>
      </w:pPr>
    </w:p>
    <w:p>
      <w:pPr>
        <w:spacing w:lineRule="auto" w:line="259" w:before="0" w:after="100" w:beforeAutospacing="0" w:afterAutospacing="0"/>
      </w:pPr>
      <w:r>
        <w:t>Jack remains research software. Its deterministic guarantees apply to the host-governed surfaces the runtime actually owns. Gateway v2 validation establishes routing, identity, replay, cancellation/settlement, concurrency, and deterministic downstream-failure properties for the supervisor-to-worker boundary. The surgical-resilience validation additionally establishes payload-preserving evidence provenance, retry-payload persistence after compatibility adjustment, additive fail-soft runtime-component identity, retry-epoch separation of historical versus current assistant failures, and recoverable tool-failure diagnostics. None of this proves semantic correctness of model decisions, guarantees that a supervisor will issue good instructions, turns replay into a durable forensic archive, or proves universal interception of every privileged action inside Primary Pi.</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18. Distribution and licensing</w:t>
      </w:r>
    </w:p>
    <w:p>
      <w:pPr>
        <w:spacing w:lineRule="auto" w:line="259" w:before="0" w:after="100" w:beforeAutospacing="0" w:afterAutospacing="0"/>
      </w:pPr>
      <w:r>
        <w:rPr>
          <w:rFonts w:ascii="Aptos" w:hAnsi="Aptos"/>
          <w:color w:val="28323C"/>
          <w:sz w:val="21"/>
        </w:rPr>
        <w:t>The repository distribution uses the official PolyForm Noncommercial License 1.0.0. The license permits qualifying noncommercial use under its terms. Commercial use requires a separate written commercial license from the licensor.</w:t>
      </w:r>
    </w:p>
    <w:p>
      <w:pPr>
        <w:spacing w:lineRule="auto" w:line="259" w:before="0" w:after="100" w:beforeAutospacing="0" w:afterAutospacing="0"/>
      </w:pPr>
      <w:r>
        <w:rPr>
          <w:rFonts w:ascii="Aptos" w:hAnsi="Aptos"/>
          <w:color w:val="28323C"/>
          <w:sz w:val="21"/>
        </w:rPr>
        <w:t>This guide is technical documentation, not a license agreement. If documentation wording conflicts with the repository LICENSE or a signed commercial agreement, the applicable license controls.</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19. The project in one sentence, one paragraph, and one diagram</w:t>
      </w:r>
    </w:p>
    <w:p>
      <w:pPr>
        <w:pStyle w:val="P4"/>
        <w:keepNext w:val="1"/>
        <w:spacing w:before="160" w:after="80" w:beforeAutospacing="0" w:afterAutospacing="0"/>
      </w:pPr>
      <w:r>
        <w:t>One sentence</w:t>
      </w:r>
    </w:p>
    <w:tbl>
      <w:tblPr>
        <w:tblW w:w="0" w:type="auto"/>
        <w:jc w:val="center"/>
        <w:tblLayout w:type="autofit"/>
        <w:tblLook w:val="04A0"/>
      </w:tblPr>
      <w:tblGrid>
        <w:gridCol w:w="9994"/>
      </w:tblGrid>
      <w:tr>
        <w:trPr>
          <w:cantSplit/>
        </w:trPr>
        <w:tc>
          <w:tcPr>
            <w:tcW w:w="9994" w:type="dxa"/>
            <w:shd w:val="clear" w:color="auto" w:fill="F4F6F8"/>
            <w:tcMar>
              <w:top w:w="70" w:type="dxa"/>
              <w:left w:w="85" w:type="dxa"/>
              <w:bottom w:w="70" w:type="dxa"/>
              <w:right w:w="85" w:type="dxa"/>
            </w:tcMar>
            <w:vAlign w:val="center"/>
          </w:tcPr>
          <w:p>
            <w:pPr>
              <w:jc w:val="center"/>
            </w:pPr>
            <w:r>
              <w:rPr>
                <w:rFonts w:ascii="Aptos" w:hAnsi="Aptos"/>
                <w:color w:val="28323C"/>
                <w:sz w:val="19"/>
              </w:rPr>
              <w:t>Jack Kernel is a programmable inference operating layer for controlling cognition, context, tools, memory, evidence, and authority around an LLM.</w:t>
            </w:r>
          </w:p>
        </w:tc>
      </w:tr>
    </w:tbl>
    <w:p>
      <w:pPr>
        <w:spacing w:lineRule="auto" w:line="259" w:before="0" w:after="0" w:beforeAutospacing="0" w:afterAutospacing="0"/>
      </w:pPr>
    </w:p>
    <w:p>
      <w:pPr>
        <w:pStyle w:val="P4"/>
        <w:keepNext w:val="1"/>
        <w:spacing w:before="160" w:after="80" w:beforeAutospacing="0" w:afterAutospacing="0"/>
      </w:pPr>
      <w:r>
        <w:t>One paragraph</w:t>
      </w:r>
    </w:p>
    <w:p>
      <w:pPr>
        <w:spacing w:lineRule="auto" w:line="259" w:before="0" w:after="100" w:beforeAutospacing="0" w:afterAutospacing="0"/>
      </w:pPr>
      <w:r>
        <w:t>The application or agent decides what work to do. The model supplies probabilistic cognition. Jack governs the host-owned inference environment and authority boundaries around that cognition. Deep Research shows custom staged reasoning with X-High Thesis, Medium Antithesis, X-High Synthesis, full active-turn Preserve Thinking, and final Synthesis authority. Agentic uses full native cognition at the highest-value immediate horizon and a second X-High stage to consolidate exact user intent, fresh cognition, tool evidence, and frozen A1 into durable Jack XML attention state. Code Debugging demonstrates fresh-pass, report-only forensic loops with deterministic retention. Orchestration Gateway v2 extends the same doctrine to supervisor-to-worker control: every supervisor controls the worker through Jack; local-model supervisors and Primary Pi reach the local model through Jack; cloud-model supervisors keep native cloud cognition; live SSE/replay provides execution history; deterministic state establishes identity and physical settlement; and model-readable evidence facts remain distinct from host-reserved receipt authority. The reference programs and reference Jack Orchestrator remain examples, not the platform boundary.</w:t>
      </w:r>
    </w:p>
    <w:p>
      <w:pPr>
        <w:pStyle w:val="P4"/>
        <w:keepNext w:val="1"/>
        <w:spacing w:before="160" w:after="80" w:beforeAutospacing="0" w:afterAutospacing="0"/>
      </w:pPr>
      <w:r>
        <w:t>One diagram</w:t>
      </w:r>
    </w:p>
    <w:tbl>
      <w:tblPr>
        <w:tblW w:w="0" w:type="auto"/>
        <w:jc w:val="center"/>
        <w:tblLayout w:type="autofit"/>
        <w:tblLook w:val="04A0"/>
      </w:tblPr>
      <w:tblGrid>
        <w:gridCol w:w="3331"/>
        <w:gridCol w:w="3331"/>
        <w:gridCol w:w="3331"/>
      </w:tblGrid>
      <w:tr>
        <w:trPr>
          <w:cantSplit/>
        </w:trPr>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AGENT</w:t>
            </w:r>
          </w:p>
          <w:p>
            <w:pPr>
              <w:spacing w:after="0" w:beforeAutospacing="0" w:afterAutospacing="0"/>
              <w:jc w:val="center"/>
            </w:pPr>
            <w:r>
              <w:rPr>
                <w:rFonts w:ascii="Aptos" w:hAnsi="Aptos"/>
                <w:b w:val="0"/>
                <w:color w:val="FFFFFF"/>
                <w:sz w:val="19"/>
              </w:rPr>
              <w:t>What should we do?</w:t>
            </w:r>
          </w:p>
        </w:tc>
        <w:tc>
          <w:tcPr>
            <w:tcW w:w="3331" w:type="dxa"/>
            <w:shd w:val="clear" w:color="auto" w:fill="202A35"/>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JACK KERNEL</w:t>
            </w:r>
          </w:p>
          <w:p>
            <w:pPr>
              <w:spacing w:after="0" w:beforeAutospacing="0" w:afterAutospacing="0"/>
              <w:jc w:val="center"/>
            </w:pPr>
            <w:r>
              <w:rPr>
                <w:rFonts w:ascii="Aptos" w:hAnsi="Aptos"/>
                <w:b w:val="0"/>
                <w:color w:val="FFFFFF"/>
                <w:sz w:val="19"/>
              </w:rPr>
              <w:t>How should cognition be governed?</w:t>
            </w:r>
          </w:p>
        </w:tc>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LLM</w:t>
            </w:r>
          </w:p>
          <w:p>
            <w:pPr>
              <w:spacing w:after="0" w:beforeAutospacing="0" w:afterAutospacing="0"/>
              <w:jc w:val="center"/>
            </w:pPr>
            <w:r>
              <w:rPr>
                <w:rFonts w:ascii="Aptos" w:hAnsi="Aptos"/>
                <w:b w:val="0"/>
                <w:color w:val="FFFFFF"/>
                <w:sz w:val="19"/>
              </w:rPr>
              <w:t>Generate cognition</w:t>
            </w:r>
          </w:p>
        </w:tc>
      </w:tr>
    </w:tbl>
    <w:p>
      <w:pPr>
        <w:spacing w:lineRule="auto" w:line="259" w:before="0" w:after="0" w:beforeAutospacing="0" w:afterAutospacing="0"/>
      </w:pPr>
    </w:p>
    <w:tbl>
      <w:tblPr>
        <w:tblW w:w="0" w:type="auto"/>
        <w:jc w:val="center"/>
        <w:tblLayout w:type="autofit"/>
        <w:tblLook w:val="04A0"/>
      </w:tblPr>
      <w:tblGrid>
        <w:gridCol w:w="3331"/>
        <w:gridCol w:w="3331"/>
        <w:gridCol w:w="3331"/>
      </w:tblGrid>
      <w:tr>
        <w:trPr>
          <w:cantSplit/>
        </w:trPr>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CUSTOM PROGRAM</w:t>
            </w:r>
          </w:p>
          <w:p>
            <w:pPr>
              <w:spacing w:after="0" w:beforeAutospacing="0" w:afterAutospacing="0"/>
              <w:jc w:val="center"/>
            </w:pPr>
            <w:r>
              <w:rPr>
                <w:rFonts w:ascii="Aptos" w:hAnsi="Aptos"/>
                <w:b w:val="0"/>
                <w:color w:val="FFFFFF"/>
                <w:sz w:val="19"/>
              </w:rPr>
              <w:t>Deep Research / Agentic / Debugging / your own</w:t>
            </w:r>
          </w:p>
        </w:tc>
        <w:tc>
          <w:tcPr>
            <w:tcW w:w="3331" w:type="dxa"/>
            <w:shd w:val="clear" w:color="auto" w:fill="202A35"/>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PROGRAMMABLE CONTROLS</w:t>
            </w:r>
          </w:p>
          <w:p>
            <w:pPr>
              <w:spacing w:after="0" w:beforeAutospacing="0" w:afterAutospacing="0"/>
              <w:jc w:val="center"/>
            </w:pPr>
            <w:r>
              <w:rPr>
                <w:rFonts w:ascii="Aptos" w:hAnsi="Aptos"/>
                <w:b w:val="0"/>
                <w:color w:val="FFFFFF"/>
                <w:sz w:val="19"/>
              </w:rPr>
              <w:t>Stages + context + tools + memory + evidence + gates</w:t>
            </w:r>
          </w:p>
        </w:tc>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AUTHORITATIVE RESULT</w:t>
            </w:r>
          </w:p>
          <w:p>
            <w:pPr>
              <w:spacing w:after="0" w:beforeAutospacing="0" w:afterAutospacing="0"/>
              <w:jc w:val="center"/>
            </w:pPr>
            <w:r>
              <w:rPr>
                <w:rFonts w:ascii="Aptos" w:hAnsi="Aptos"/>
                <w:b w:val="0"/>
                <w:color w:val="FFFFFF"/>
                <w:sz w:val="19"/>
              </w:rPr>
              <w:t>Host-governed commit</w:t>
            </w:r>
          </w:p>
        </w:tc>
      </w:tr>
    </w:tbl>
    <w:p>
      <w:pPr>
        <w:spacing w:lineRule="auto" w:line="259" w:before="0" w:after="0" w:beforeAutospacing="0" w:afterAutospacing="0"/>
      </w:pP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r>
              <w:rPr>
                <w:rFonts w:ascii="Aptos" w:hAnsi="Aptos"/>
                <w:b w:val="1"/>
                <w:color w:val="33485C"/>
                <w:sz w:val="19"/>
              </w:rPr>
              <w:t>The point of the architecture</w:t>
            </w:r>
          </w:p>
          <w:p>
            <w:r>
              <w:rPr>
                <w:rFonts w:ascii="Aptos" w:hAnsi="Aptos"/>
                <w:b w:val="0"/>
                <w:color w:val="28323C"/>
                <w:sz w:val="19"/>
              </w:rPr>
              <w:t>Do not judge Jack only by whether one shipped mode beats another. The more important question is what new code-defined inference layers become possible once topology, reasoning controls, tools, context, memory lifetime, evidence, safety, disk state, and commit authority are programmable and host-authoritative.</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Appendix A. Plain-English glossary</w:t>
      </w:r>
    </w:p>
    <w:tbl>
      <w:tblPr>
        <w:tblW w:w="0" w:type="auto"/>
        <w:jc w:val="center"/>
        <w:tblLayout w:type="autofit"/>
        <w:tblLook w:val="04A0"/>
      </w:tblPr>
      <w:tblGrid>
        <w:gridCol w:w="4243"/>
        <w:gridCol w:w="6181"/>
      </w:tblGrid>
      <w:tr>
        <w:trPr>
          <w:cantSplit/>
          <w:tblHeader/>
        </w:trPr>
        <w:tc>
          <w:tcPr>
            <w:tcW w:w="2376"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Term</w:t>
            </w:r>
          </w:p>
        </w:tc>
        <w:tc>
          <w:tcPr>
            <w:tcW w:w="7416"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Meaning in Jack</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A1</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The exact Stage-1 answer generated and frozen in Agentic.</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Answer authority</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Which stage is allowed to become the user-facing committed answer.</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Commit</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The host-authoritative point where output/state becomes durable or final.</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Context projection</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The exact subset/order of history, reasoning, tools, XML, and evidence shown to a stage.</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Deep Research</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b w:val="0"/>
                <w:sz w:val="20"/>
              </w:rPr>
              <w:t>Public three-stage Thesis -&gt; Antithesis -&gt; authoritative Synthesis program.</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Evidence epoch</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 way to associate verification with a particular artifact state so later mutations can stale earlier proof.</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Freeze</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Prevent later cognition from rewriting a specific committed candidate, such as Agentic A1.</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Jack XML</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Strongly semantic Agentic attention state: grounding, verification, challenge, audit.</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Preserve Thinking</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Backend capability that carries native reasoning across adjacent calls inside an active transaction.</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Rehydration</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Rereading durable state into a new stage/pass after transient cognition has been pruned.</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R1 / R2 / R3</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Native reasoning associated with Deep Research Thesis / Antithesis / Synthesis.</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Sage of Friction</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The narrow Antithesis role: introduce strong material adversarial questions without taking answer authority.</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Tool receipt / host result</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Actual result returned by the host tool layer; execution evidence distinct from model narration.</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Turn capsule</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Agentic durable completed turn: exact user + semantic Jack XML + exact frozen A1.</w:t>
            </w:r>
          </w:p>
        </w:tc>
      </w:tr>
      <w:tr>
        <w:tc>
          <w:tcPr>
            <w:tcW w:w="4997" w:type="dxa"/>
            <w:shd w:val="clear" w:color="auto" w:fill="F4F6F8"/>
            <w:tcMar>
              <w:top w:w="80" w:type="dxa"/>
              <w:left w:w="100" w:type="dxa"/>
              <w:bottom w:w="80" w:type="dxa"/>
              <w:right w:w="100" w:type="dxa"/>
            </w:tcMar>
            <w:vAlign w:val="center"/>
          </w:tcPr>
          <w:p>
            <w:r>
              <w:rPr>
                <w:b w:val="0"/>
                <w:sz w:val="20"/>
              </w:rPr>
              <w:t>Code Debugging (Deep)</w:t>
            </w:r>
          </w:p>
        </w:tc>
        <w:tc>
          <w:tcPr>
            <w:tcW w:w="4997" w:type="dxa"/>
            <w:shd w:val="clear" w:color="auto" w:fill="F4F6F8"/>
            <w:tcMar>
              <w:top w:w="80" w:type="dxa"/>
              <w:left w:w="100" w:type="dxa"/>
              <w:bottom w:w="80" w:type="dxa"/>
              <w:right w:w="100" w:type="dxa"/>
            </w:tcMar>
            <w:vAlign w:val="center"/>
          </w:tcPr>
          <w:p>
            <w:r>
              <w:rPr>
                <w:b w:val="0"/>
                <w:sz w:val="20"/>
              </w:rPr>
              <w:t>The X-High reasoning profile of the same five-pass Code Debugging topology. The standard Code Debugging profile uses Medium reasoning.</w:t>
            </w:r>
          </w:p>
        </w:tc>
      </w:tr>
      <w:tr>
        <w:tc>
          <w:tcPr>
            <w:tcW w:w="4997" w:type="dxa"/>
            <w:shd w:val="clear" w:color="auto" w:fill="FFFFFF"/>
            <w:tcMar>
              <w:top w:w="80" w:type="dxa"/>
              <w:left w:w="100" w:type="dxa"/>
              <w:bottom w:w="80" w:type="dxa"/>
              <w:right w:w="100" w:type="dxa"/>
            </w:tcMar>
            <w:vAlign w:val="center"/>
          </w:tcPr>
          <w:p>
            <w:r>
              <w:rPr>
                <w:b w:val="0"/>
                <w:sz w:val="20"/>
              </w:rPr>
              <w:t>Pass 0</w:t>
            </w:r>
          </w:p>
        </w:tc>
        <w:tc>
          <w:tcPr>
            <w:tcW w:w="4997" w:type="dxa"/>
            <w:shd w:val="clear" w:color="auto" w:fill="FFFFFF"/>
            <w:tcMar>
              <w:top w:w="80" w:type="dxa"/>
              <w:left w:w="100" w:type="dxa"/>
              <w:bottom w:w="80" w:type="dxa"/>
              <w:right w:w="100" w:type="dxa"/>
            </w:tcMar>
            <w:vAlign w:val="center"/>
          </w:tcPr>
          <w:p>
            <w:r>
              <w:rPr>
                <w:b w:val="0"/>
                <w:sz w:val="20"/>
              </w:rPr>
              <w:t>The exact user-origin debugging intake re-projected into every fresh Code Debugging pass.</w:t>
            </w:r>
          </w:p>
        </w:tc>
      </w:tr>
      <w:tr>
        <w:tc>
          <w:tcPr>
            <w:tcW w:w="4997" w:type="dxa"/>
            <w:shd w:val="clear" w:color="auto" w:fill="F4F6F8"/>
            <w:tcMar>
              <w:top w:w="80" w:type="dxa"/>
              <w:left w:w="100" w:type="dxa"/>
              <w:bottom w:w="80" w:type="dxa"/>
              <w:right w:w="100" w:type="dxa"/>
            </w:tcMar>
            <w:vAlign w:val="center"/>
          </w:tcPr>
          <w:p>
            <w:r>
              <w:rPr>
                <w:b w:val="0"/>
                <w:sz w:val="20"/>
              </w:rPr>
              <w:t>Prior-finding registry</w:t>
            </w:r>
          </w:p>
        </w:tc>
        <w:tc>
          <w:tcPr>
            <w:tcW w:w="4997" w:type="dxa"/>
            <w:shd w:val="clear" w:color="auto" w:fill="F4F6F8"/>
            <w:tcMar>
              <w:top w:w="80" w:type="dxa"/>
              <w:left w:w="100" w:type="dxa"/>
              <w:bottom w:w="80" w:type="dxa"/>
              <w:right w:w="100" w:type="dxa"/>
            </w:tcMar>
            <w:vAlign w:val="center"/>
          </w:tcPr>
          <w:p>
            <w:r>
              <w:rPr>
                <w:b w:val="0"/>
                <w:sz w:val="20"/>
              </w:rPr>
              <w:t>Compact host-derived duplicate-avoidance state given to Debugging Passes 2-5; it carries established prior outcomes without rehydrating prior full handoffs.</w:t>
            </w:r>
          </w:p>
        </w:tc>
      </w:tr>
      <w:tr>
        <w:tc>
          <w:tcPr>
            <w:tcW w:w="4997" w:type="dxa"/>
            <w:shd w:val="clear" w:color="auto" w:fill="FFFFFF"/>
            <w:tcMar>
              <w:top w:w="80" w:type="dxa"/>
              <w:left w:w="100" w:type="dxa"/>
              <w:bottom w:w="80" w:type="dxa"/>
              <w:right w:w="100" w:type="dxa"/>
            </w:tcMar>
            <w:vAlign w:val="center"/>
          </w:tcPr>
          <w:p>
            <w:r>
              <w:rPr>
                <w:b w:val="0"/>
                <w:sz w:val="20"/>
              </w:rPr>
              <w:t>Cumulative cognition</w:t>
            </w:r>
          </w:p>
        </w:tc>
        <w:tc>
          <w:tcPr>
            <w:tcW w:w="4997" w:type="dxa"/>
            <w:shd w:val="clear" w:color="auto" w:fill="FFFFFF"/>
            <w:tcMar>
              <w:top w:w="80" w:type="dxa"/>
              <w:left w:w="100" w:type="dxa"/>
              <w:bottom w:w="80" w:type="dxa"/>
              <w:right w:w="100" w:type="dxa"/>
            </w:tcMar>
            <w:vAlign w:val="center"/>
          </w:tcPr>
          <w:p>
            <w:r>
              <w:rPr>
                <w:b w:val="0"/>
                <w:sz w:val="20"/>
              </w:rPr>
              <w:t>Total work performed across a long-running session. It is not the same thing as the model-facing active context or the backend context-window size.</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Appendix B. Source documents consolidated into this guide</w:t>
      </w:r>
    </w:p>
    <w:p>
      <w:pPr>
        <w:pStyle w:val="P22"/>
        <w:spacing w:lineRule="auto" w:line="250" w:after="50" w:beforeAutospacing="0" w:afterAutospacing="0"/>
      </w:pPr>
      <w:r>
        <w:t>Jack Kernel v0.1.1 Runtime Specification, current normative implementation/conformance authority for inference modes, provenance, retry behavior, runtime identity, and the public control plane.</w:t>
      </w:r>
    </w:p>
    <w:p>
      <w:pPr>
        <w:pStyle w:val="P22"/>
        <w:spacing w:lineRule="auto" w:line="250" w:after="50" w:beforeAutospacing="0" w:afterAutospacing="0"/>
      </w:pPr>
      <w:r>
        <w:t>Jack Kernel v0.1.1 Long-Horizon Cognition Technical Whitepaper, retained as the research/architecture treatment of programmable cognition and long-horizon state rather than as an alternate operating manual.</w:t>
      </w:r>
    </w:p>
    <w:p>
      <w:pPr>
        <w:pStyle w:val="P22"/>
        <w:spacing w:lineRule="auto" w:line="250" w:after="50" w:beforeAutospacing="0" w:afterAutospacing="0"/>
      </w:pPr>
      <w:r>
        <w:rPr>
          <w:rFonts w:ascii="Aptos" w:hAnsi="Aptos"/>
          <w:color w:val="28323C"/>
          <w:sz w:val="20"/>
        </w:rPr>
        <w:t>Jack Kernel README, used for current public naming, current profile values, runtime-cleanup behavior, and the creator note.</w:t>
      </w:r>
    </w:p>
    <w:p>
      <w:pPr>
        <w:pStyle w:val="P22"/>
      </w:pPr>
      <w:r>
        <w:rPr>
          <w:b w:val="0"/>
          <w:i w:val="0"/>
        </w:rPr>
        <w:t>Jack Kernel v.0.1.1 public README and current public runtime, used for the release endpoint, public profile values, Pi integration, and Code Debugging mode split.</w:t>
      </w:r>
    </w:p>
    <w:p>
      <w:pPr>
        <w:pStyle w:val="P22"/>
      </w:pPr>
      <w:r>
        <w:t>Orchestration Gateway v2 Technical Specification, canonical source for run-bound identity, event envelopes, replay, cancellation, settlement, downstream failure, and cloud/local supervisor compatibility.</w:t>
      </w:r>
    </w:p>
    <w:p>
      <w:pPr>
        <w:pStyle w:val="P22"/>
      </w:pPr>
      <w:r>
        <w:t>Historical Orchestration Gateway v2 Acceptance Report (2026-09-12), preserved as dated evidence of the bridge and boundary tested at that time; not current bridge-identity authority.</w:t>
      </w:r>
    </w:p>
    <w:p>
      <w:pPr>
        <w:pStyle w:val="P22"/>
      </w:pPr>
      <w:r>
        <w:t>Orchestrator Instructions, canonical operating procedure for readiness, active SSE supervision, replay/reconnect, silence-not-settlement handling, cognitive cancellation judgment, deterministic cancellation disposal, session replacement, and no-bypass failure behavior.</w:t>
      </w:r>
    </w:p>
    <w:p>
      <w:pPr>
        <w:pStyle w:val="P22"/>
      </w:pPr>
      <w:r>
        <w:rPr>
          <w:b w:val="0"/>
          <w:i w:val="0"/>
        </w:rPr>
        <w:t>Semantic State After Native Reasoning - five-turn Agentic case study (September 10, 2026), used for the release-era Jack XML preservation and frozen-answer audit observations.</w:t>
      </w:r>
    </w:p>
    <w:p>
      <w:pPr>
        <w:pStyle w:val="P22"/>
      </w:pPr>
      <w:r>
        <w:rPr>
          <w:b w:val="0"/>
          <w:i w:val="0"/>
        </w:rPr>
        <w:t>Jack Kernel Code Debugging Demonstration - 1.48M cumulative-token / zero-model-work-compaction case study (September 10, 2026), used for the long-horizon context-lifetime example.</w:t>
      </w:r>
    </w:p>
    <w:p>
      <w:pPr>
        <w:spacing w:lineRule="auto" w:line="259" w:before="0" w:after="100" w:beforeAutospacing="0" w:afterAutospacing="0"/>
      </w:pPr>
      <w:r>
        <w:t>This master guide intentionally replaces paper-style repetition with one layered explanation: practical setup first, plain-English architecture second, exact boundaries and profile details after that. It is not a substitute for the normative Runtime Specification when exact implementation conformance is being audited, and case-study observations should not be mistaken for universal benchmark results.</w:t>
      </w:r>
    </w:p>
    <w:sectPr>
      <w:headerReference w:type="default" r:id="RelHdr1"/>
      <w:footerReference w:type="default" r:id="RelFtr1"/>
      <w:type w:val="nextPage"/>
      <w:pgMar w:left="1008" w:right="1008" w:top="936" w:bottom="893" w:header="403" w:footer="403" w:gutter="0"/>
      <w:cols w:equalWidth="1" w:space="720"/>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2"/>
    </w:pPr>
  </w:p>
  <w:tbl>
    <w:tblPr>
      <w:tblW w:w="0" w:type="auto"/>
      <w:jc w:val="center"/>
      <w:tblLook w:val="04A0"/>
    </w:tblPr>
    <w:tblGrid>
      <w:gridCol w:w="3264"/>
      <w:gridCol w:w="3264"/>
      <w:gridCol w:w="3264"/>
    </w:tblGrid>
    <w:tr>
      <w:tc>
        <w:tcPr>
          <w:tcW w:w="3264" w:type="dxa"/>
          <w:tcMar>
            <w:top w:w="30" w:type="dxa"/>
            <w:left w:w="0" w:type="dxa"/>
            <w:bottom w:w="30" w:type="dxa"/>
            <w:right w:w="0" w:type="dxa"/>
          </w:tcMar>
        </w:tcPr>
        <w:p>
          <w:pPr>
            <w:jc w:val="left"/>
          </w:pPr>
          <w:r>
            <w:rPr>
              <w:b w:val="0"/>
            </w:rPr>
            <w:t>Jack Kernel v.0.1.1</w:t>
          </w:r>
        </w:p>
      </w:tc>
      <w:tc>
        <w:tcPr>
          <w:tcW w:w="3264" w:type="dxa"/>
          <w:tcMar>
            <w:top w:w="30" w:type="dxa"/>
            <w:left w:w="0" w:type="dxa"/>
            <w:bottom w:w="30" w:type="dxa"/>
            <w:right w:w="0" w:type="dxa"/>
          </w:tcMar>
        </w:tcPr>
        <w:p>
          <w:pPr>
            <w:jc w:val="center"/>
          </w:pPr>
          <w:r>
            <w:rPr>
              <w:b w:val="0"/>
            </w:rPr>
            <w:t>JML</w:t>
          </w:r>
        </w:p>
      </w:tc>
      <w:tc>
        <w:tcPr>
          <w:tcW w:w="3264" w:type="dxa"/>
          <w:tcMar>
            <w:top w:w="30" w:type="dxa"/>
            <w:left w:w="0" w:type="dxa"/>
            <w:bottom w:w="30" w:type="dxa"/>
            <w:right w:w="0" w:type="dxa"/>
          </w:tcMar>
        </w:tcPr>
        <w:p>
          <w:pPr>
            <w:jc w:val="right"/>
          </w:pPr>
          <w:r>
            <w:rPr>
              <w:rFonts w:ascii="Aptos" w:hAnsi="Aptos"/>
              <w:b w:val="0"/>
              <w:color w:val="505B66"/>
              <w:sz w:val="16"/>
            </w:rPr>
            <w:t xml:space="preserve">Page </w:t>
          </w:r>
          <w:r>
            <w:rPr>
              <w:rFonts w:ascii="Aptos" w:hAnsi="Aptos"/>
              <w:b w:val="0"/>
              <w:color w:val="505B66"/>
              <w:sz w:val="16"/>
            </w:rPr>
            <w:fldChar w:fldCharType="begin"/>
          </w:r>
          <w:r>
            <w:rPr>
              <w:rFonts w:ascii="Aptos" w:hAnsi="Aptos"/>
              <w:b w:val="0"/>
              <w:color w:val="505B66"/>
              <w:sz w:val="16"/>
            </w:rPr>
            <w:instrText xml:space="preserve"> PAGE </w:instrText>
          </w:r>
          <w:r>
            <w:rPr>
              <w:rFonts w:ascii="Aptos" w:hAnsi="Aptos"/>
              <w:b w:val="0"/>
              <w:color w:val="505B66"/>
              <w:sz w:val="16"/>
            </w:rPr>
            <w:fldChar w:fldCharType="separate"/>
          </w:r>
          <w:r>
            <w:rPr>
              <w:rFonts w:ascii="Aptos" w:hAnsi="Aptos"/>
              <w:b w:val="0"/>
              <w:color w:val="505B66"/>
              <w:sz w:val="16"/>
            </w:rPr>
            <w:t>#</w:t>
          </w:r>
          <w:r>
            <w:rPr>
              <w:rFonts w:ascii="Aptos" w:hAnsi="Aptos"/>
              <w:b w:val="0"/>
              <w:color w:val="505B66"/>
              <w:sz w:val="16"/>
            </w:rPr>
            <w:fldChar w:fldCharType="end"/>
          </w:r>
        </w:p>
      </w:tc>
    </w:tr>
  </w:tbl>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jc w:val="right"/>
    </w:pPr>
    <w:r>
      <w:t xml:space="preserve">JACK KERNEL v.0.1.1  |  PLAIN-ENGLISH MASTER GUIDE</w:t>
    </w:r>
  </w:p>
</w:hdr>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5FE66650">
      <w:start w:val="1"/>
      <w:numFmt w:val="decimal"/>
      <w:suff w:val="tab"/>
      <w:lvlText w:val="%1."/>
      <w:lvlJc w:val="left"/>
      <w:pPr/>
      <w:rPr/>
    </w:lvl>
    <w:lvl w:ilvl="2" w:tplc="65BE6549">
      <w:start w:val="1"/>
      <w:numFmt w:val="decimal"/>
      <w:suff w:val="tab"/>
      <w:lvlText w:val="%1."/>
      <w:lvlJc w:val="left"/>
      <w:pPr/>
      <w:rPr/>
    </w:lvl>
    <w:lvl w:ilvl="3" w:tplc="02623D70">
      <w:start w:val="1"/>
      <w:numFmt w:val="decimal"/>
      <w:suff w:val="tab"/>
      <w:lvlText w:val="%1."/>
      <w:lvlJc w:val="left"/>
      <w:pPr/>
      <w:rPr/>
    </w:lvl>
    <w:lvl w:ilvl="4" w:tplc="4513F989">
      <w:start w:val="1"/>
      <w:numFmt w:val="decimal"/>
      <w:suff w:val="tab"/>
      <w:lvlText w:val="%1."/>
      <w:lvlJc w:val="left"/>
      <w:pPr/>
      <w:rPr/>
    </w:lvl>
    <w:lvl w:ilvl="5" w:tplc="68BC4ADA">
      <w:start w:val="1"/>
      <w:numFmt w:val="decimal"/>
      <w:suff w:val="tab"/>
      <w:lvlText w:val="%1."/>
      <w:lvlJc w:val="left"/>
      <w:pPr/>
      <w:rPr/>
    </w:lvl>
    <w:lvl w:ilvl="6" w:tplc="2FCB4DA6">
      <w:start w:val="1"/>
      <w:numFmt w:val="decimal"/>
      <w:suff w:val="tab"/>
      <w:lvlText w:val="%1."/>
      <w:lvlJc w:val="left"/>
      <w:pPr/>
      <w:rPr/>
    </w:lvl>
    <w:lvl w:ilvl="7" w:tplc="77774431">
      <w:start w:val="1"/>
      <w:numFmt w:val="decimal"/>
      <w:suff w:val="tab"/>
      <w:lvlText w:val="%1."/>
      <w:lvlJc w:val="left"/>
      <w:pPr/>
      <w:rPr/>
    </w:lvl>
    <w:lvl w:ilvl="8" w:tplc="37EA939C">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364C505C">
      <w:start w:val="1"/>
      <w:numFmt w:val="decimal"/>
      <w:suff w:val="tab"/>
      <w:lvlText w:val="%1."/>
      <w:lvlJc w:val="left"/>
      <w:pPr/>
      <w:rPr/>
    </w:lvl>
    <w:lvl w:ilvl="2" w:tplc="7347B140">
      <w:start w:val="1"/>
      <w:numFmt w:val="decimal"/>
      <w:suff w:val="tab"/>
      <w:lvlText w:val="%1."/>
      <w:lvlJc w:val="left"/>
      <w:pPr/>
      <w:rPr/>
    </w:lvl>
    <w:lvl w:ilvl="3" w:tplc="7BEB2A53">
      <w:start w:val="1"/>
      <w:numFmt w:val="decimal"/>
      <w:suff w:val="tab"/>
      <w:lvlText w:val="%1."/>
      <w:lvlJc w:val="left"/>
      <w:pPr/>
      <w:rPr/>
    </w:lvl>
    <w:lvl w:ilvl="4" w:tplc="286EE80D">
      <w:start w:val="1"/>
      <w:numFmt w:val="decimal"/>
      <w:suff w:val="tab"/>
      <w:lvlText w:val="%1."/>
      <w:lvlJc w:val="left"/>
      <w:pPr/>
      <w:rPr/>
    </w:lvl>
    <w:lvl w:ilvl="5" w:tplc="6CD8FB00">
      <w:start w:val="1"/>
      <w:numFmt w:val="decimal"/>
      <w:suff w:val="tab"/>
      <w:lvlText w:val="%1."/>
      <w:lvlJc w:val="left"/>
      <w:pPr/>
      <w:rPr/>
    </w:lvl>
    <w:lvl w:ilvl="6" w:tplc="78196B8C">
      <w:start w:val="1"/>
      <w:numFmt w:val="decimal"/>
      <w:suff w:val="tab"/>
      <w:lvlText w:val="%1."/>
      <w:lvlJc w:val="left"/>
      <w:pPr/>
      <w:rPr/>
    </w:lvl>
    <w:lvl w:ilvl="7" w:tplc="63F99814">
      <w:start w:val="1"/>
      <w:numFmt w:val="decimal"/>
      <w:suff w:val="tab"/>
      <w:lvlText w:val="%1."/>
      <w:lvlJc w:val="left"/>
      <w:pPr/>
      <w:rPr/>
    </w:lvl>
    <w:lvl w:ilvl="8" w:tplc="5C738234">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11A06F19">
      <w:start w:val="1"/>
      <w:numFmt w:val="decimal"/>
      <w:suff w:val="tab"/>
      <w:lvlText w:val="%1."/>
      <w:lvlJc w:val="left"/>
      <w:pPr/>
      <w:rPr/>
    </w:lvl>
    <w:lvl w:ilvl="2" w:tplc="343BF43A">
      <w:start w:val="1"/>
      <w:numFmt w:val="decimal"/>
      <w:suff w:val="tab"/>
      <w:lvlText w:val="%1."/>
      <w:lvlJc w:val="left"/>
      <w:pPr/>
      <w:rPr/>
    </w:lvl>
    <w:lvl w:ilvl="3" w:tplc="75D2668F">
      <w:start w:val="1"/>
      <w:numFmt w:val="decimal"/>
      <w:suff w:val="tab"/>
      <w:lvlText w:val="%1."/>
      <w:lvlJc w:val="left"/>
      <w:pPr/>
      <w:rPr/>
    </w:lvl>
    <w:lvl w:ilvl="4" w:tplc="1F57EAB4">
      <w:start w:val="1"/>
      <w:numFmt w:val="decimal"/>
      <w:suff w:val="tab"/>
      <w:lvlText w:val="%1."/>
      <w:lvlJc w:val="left"/>
      <w:pPr/>
      <w:rPr/>
    </w:lvl>
    <w:lvl w:ilvl="5" w:tplc="70AFFA7B">
      <w:start w:val="1"/>
      <w:numFmt w:val="decimal"/>
      <w:suff w:val="tab"/>
      <w:lvlText w:val="%1."/>
      <w:lvlJc w:val="left"/>
      <w:pPr/>
      <w:rPr/>
    </w:lvl>
    <w:lvl w:ilvl="6" w:tplc="7759FC7A">
      <w:start w:val="1"/>
      <w:numFmt w:val="decimal"/>
      <w:suff w:val="tab"/>
      <w:lvlText w:val="%1."/>
      <w:lvlJc w:val="left"/>
      <w:pPr/>
      <w:rPr/>
    </w:lvl>
    <w:lvl w:ilvl="7" w:tplc="58A5AA80">
      <w:start w:val="1"/>
      <w:numFmt w:val="decimal"/>
      <w:suff w:val="tab"/>
      <w:lvlText w:val="%1."/>
      <w:lvlJc w:val="left"/>
      <w:pPr/>
      <w:rPr/>
    </w:lvl>
    <w:lvl w:ilvl="8" w:tplc="18D327E4">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7A5A97B5">
      <w:start w:val="1"/>
      <w:numFmt w:val="decimal"/>
      <w:suff w:val="tab"/>
      <w:lvlText w:val="%1."/>
      <w:lvlJc w:val="left"/>
      <w:pPr/>
      <w:rPr/>
    </w:lvl>
    <w:lvl w:ilvl="2" w:tplc="45E1477A">
      <w:start w:val="1"/>
      <w:numFmt w:val="decimal"/>
      <w:suff w:val="tab"/>
      <w:lvlText w:val="%1."/>
      <w:lvlJc w:val="left"/>
      <w:pPr/>
      <w:rPr/>
    </w:lvl>
    <w:lvl w:ilvl="3" w:tplc="0A2732FE">
      <w:start w:val="1"/>
      <w:numFmt w:val="decimal"/>
      <w:suff w:val="tab"/>
      <w:lvlText w:val="%1."/>
      <w:lvlJc w:val="left"/>
      <w:pPr/>
      <w:rPr/>
    </w:lvl>
    <w:lvl w:ilvl="4" w:tplc="2836C441">
      <w:start w:val="1"/>
      <w:numFmt w:val="decimal"/>
      <w:suff w:val="tab"/>
      <w:lvlText w:val="%1."/>
      <w:lvlJc w:val="left"/>
      <w:pPr/>
      <w:rPr/>
    </w:lvl>
    <w:lvl w:ilvl="5" w:tplc="3B601EFD">
      <w:start w:val="1"/>
      <w:numFmt w:val="decimal"/>
      <w:suff w:val="tab"/>
      <w:lvlText w:val="%1."/>
      <w:lvlJc w:val="left"/>
      <w:pPr/>
      <w:rPr/>
    </w:lvl>
    <w:lvl w:ilvl="6" w:tplc="79404DD4">
      <w:start w:val="1"/>
      <w:numFmt w:val="decimal"/>
      <w:suff w:val="tab"/>
      <w:lvlText w:val="%1."/>
      <w:lvlJc w:val="left"/>
      <w:pPr/>
      <w:rPr/>
    </w:lvl>
    <w:lvl w:ilvl="7" w:tplc="3C737879">
      <w:start w:val="1"/>
      <w:numFmt w:val="decimal"/>
      <w:suff w:val="tab"/>
      <w:lvlText w:val="%1."/>
      <w:lvlJc w:val="left"/>
      <w:pPr/>
      <w:rPr/>
    </w:lvl>
    <w:lvl w:ilvl="8" w:tplc="35F492CB">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284CE8BD">
      <w:start w:val="1"/>
      <w:numFmt w:val="decimal"/>
      <w:suff w:val="tab"/>
      <w:lvlText w:val="%1."/>
      <w:lvlJc w:val="left"/>
      <w:pPr/>
      <w:rPr/>
    </w:lvl>
    <w:lvl w:ilvl="2" w:tplc="19BE89F4">
      <w:start w:val="1"/>
      <w:numFmt w:val="decimal"/>
      <w:suff w:val="tab"/>
      <w:lvlText w:val="%1."/>
      <w:lvlJc w:val="left"/>
      <w:pPr/>
      <w:rPr/>
    </w:lvl>
    <w:lvl w:ilvl="3" w:tplc="03E79728">
      <w:start w:val="1"/>
      <w:numFmt w:val="decimal"/>
      <w:suff w:val="tab"/>
      <w:lvlText w:val="%1."/>
      <w:lvlJc w:val="left"/>
      <w:pPr/>
      <w:rPr/>
    </w:lvl>
    <w:lvl w:ilvl="4" w:tplc="43496D00">
      <w:start w:val="1"/>
      <w:numFmt w:val="decimal"/>
      <w:suff w:val="tab"/>
      <w:lvlText w:val="%1."/>
      <w:lvlJc w:val="left"/>
      <w:pPr/>
      <w:rPr/>
    </w:lvl>
    <w:lvl w:ilvl="5" w:tplc="1ACC6614">
      <w:start w:val="1"/>
      <w:numFmt w:val="decimal"/>
      <w:suff w:val="tab"/>
      <w:lvlText w:val="%1."/>
      <w:lvlJc w:val="left"/>
      <w:pPr/>
      <w:rPr/>
    </w:lvl>
    <w:lvl w:ilvl="6" w:tplc="6D90BCDA">
      <w:start w:val="1"/>
      <w:numFmt w:val="decimal"/>
      <w:suff w:val="tab"/>
      <w:lvlText w:val="%1."/>
      <w:lvlJc w:val="left"/>
      <w:pPr/>
      <w:rPr/>
    </w:lvl>
    <w:lvl w:ilvl="7" w:tplc="32AA81D0">
      <w:start w:val="1"/>
      <w:numFmt w:val="decimal"/>
      <w:suff w:val="tab"/>
      <w:lvlText w:val="%1."/>
      <w:lvlJc w:val="left"/>
      <w:pPr/>
      <w:rPr/>
    </w:lvl>
    <w:lvl w:ilvl="8" w:tplc="0A294E89">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7A47986A">
      <w:start w:val="1"/>
      <w:numFmt w:val="decimal"/>
      <w:suff w:val="tab"/>
      <w:lvlText w:val="%1."/>
      <w:lvlJc w:val="left"/>
      <w:pPr/>
      <w:rPr/>
    </w:lvl>
    <w:lvl w:ilvl="2" w:tplc="761EA09D">
      <w:start w:val="1"/>
      <w:numFmt w:val="decimal"/>
      <w:suff w:val="tab"/>
      <w:lvlText w:val="%1."/>
      <w:lvlJc w:val="left"/>
      <w:pPr/>
      <w:rPr/>
    </w:lvl>
    <w:lvl w:ilvl="3" w:tplc="49A4CF68">
      <w:start w:val="1"/>
      <w:numFmt w:val="decimal"/>
      <w:suff w:val="tab"/>
      <w:lvlText w:val="%1."/>
      <w:lvlJc w:val="left"/>
      <w:pPr/>
      <w:rPr/>
    </w:lvl>
    <w:lvl w:ilvl="4" w:tplc="6519CB28">
      <w:start w:val="1"/>
      <w:numFmt w:val="decimal"/>
      <w:suff w:val="tab"/>
      <w:lvlText w:val="%1."/>
      <w:lvlJc w:val="left"/>
      <w:pPr/>
      <w:rPr/>
    </w:lvl>
    <w:lvl w:ilvl="5" w:tplc="31460E6B">
      <w:start w:val="1"/>
      <w:numFmt w:val="decimal"/>
      <w:suff w:val="tab"/>
      <w:lvlText w:val="%1."/>
      <w:lvlJc w:val="left"/>
      <w:pPr/>
      <w:rPr/>
    </w:lvl>
    <w:lvl w:ilvl="6" w:tplc="29E3F428">
      <w:start w:val="1"/>
      <w:numFmt w:val="decimal"/>
      <w:suff w:val="tab"/>
      <w:lvlText w:val="%1."/>
      <w:lvlJc w:val="left"/>
      <w:pPr/>
      <w:rPr/>
    </w:lvl>
    <w:lvl w:ilvl="7" w:tplc="6C4E9C36">
      <w:start w:val="1"/>
      <w:numFmt w:val="decimal"/>
      <w:suff w:val="tab"/>
      <w:lvlText w:val="%1."/>
      <w:lvlJc w:val="left"/>
      <w:pPr/>
      <w:rPr/>
    </w:lvl>
    <w:lvl w:ilvl="8" w:tplc="4A8F62B3">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4DCABAED">
      <w:start w:val="1"/>
      <w:numFmt w:val="decimal"/>
      <w:suff w:val="tab"/>
      <w:lvlText w:val="%1."/>
      <w:lvlJc w:val="left"/>
      <w:pPr/>
      <w:rPr/>
    </w:lvl>
    <w:lvl w:ilvl="2" w:tplc="23F9A0B9">
      <w:start w:val="1"/>
      <w:numFmt w:val="decimal"/>
      <w:suff w:val="tab"/>
      <w:lvlText w:val="%1."/>
      <w:lvlJc w:val="left"/>
      <w:pPr/>
      <w:rPr/>
    </w:lvl>
    <w:lvl w:ilvl="3" w:tplc="396C4F35">
      <w:start w:val="1"/>
      <w:numFmt w:val="decimal"/>
      <w:suff w:val="tab"/>
      <w:lvlText w:val="%1."/>
      <w:lvlJc w:val="left"/>
      <w:pPr/>
      <w:rPr/>
    </w:lvl>
    <w:lvl w:ilvl="4" w:tplc="0CBB3831">
      <w:start w:val="1"/>
      <w:numFmt w:val="decimal"/>
      <w:suff w:val="tab"/>
      <w:lvlText w:val="%1."/>
      <w:lvlJc w:val="left"/>
      <w:pPr/>
      <w:rPr/>
    </w:lvl>
    <w:lvl w:ilvl="5" w:tplc="3437894A">
      <w:start w:val="1"/>
      <w:numFmt w:val="decimal"/>
      <w:suff w:val="tab"/>
      <w:lvlText w:val="%1."/>
      <w:lvlJc w:val="left"/>
      <w:pPr/>
      <w:rPr/>
    </w:lvl>
    <w:lvl w:ilvl="6" w:tplc="2AC8459A">
      <w:start w:val="1"/>
      <w:numFmt w:val="decimal"/>
      <w:suff w:val="tab"/>
      <w:lvlText w:val="%1."/>
      <w:lvlJc w:val="left"/>
      <w:pPr/>
      <w:rPr/>
    </w:lvl>
    <w:lvl w:ilvl="7" w:tplc="6679EBE6">
      <w:start w:val="1"/>
      <w:numFmt w:val="decimal"/>
      <w:suff w:val="tab"/>
      <w:lvlText w:val="%1."/>
      <w:lvlJc w:val="left"/>
      <w:pPr/>
      <w:rPr/>
    </w:lvl>
    <w:lvl w:ilvl="8" w:tplc="2DAB57E7">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777229C2">
      <w:start w:val="1"/>
      <w:numFmt w:val="decimal"/>
      <w:suff w:val="tab"/>
      <w:lvlText w:val="%1."/>
      <w:lvlJc w:val="left"/>
      <w:pPr/>
      <w:rPr/>
    </w:lvl>
    <w:lvl w:ilvl="2" w:tplc="0D12F5A2">
      <w:start w:val="1"/>
      <w:numFmt w:val="decimal"/>
      <w:suff w:val="tab"/>
      <w:lvlText w:val="%1."/>
      <w:lvlJc w:val="left"/>
      <w:pPr/>
      <w:rPr/>
    </w:lvl>
    <w:lvl w:ilvl="3" w:tplc="6DC0567E">
      <w:start w:val="1"/>
      <w:numFmt w:val="decimal"/>
      <w:suff w:val="tab"/>
      <w:lvlText w:val="%1."/>
      <w:lvlJc w:val="left"/>
      <w:pPr/>
      <w:rPr/>
    </w:lvl>
    <w:lvl w:ilvl="4" w:tplc="23806E8C">
      <w:start w:val="1"/>
      <w:numFmt w:val="decimal"/>
      <w:suff w:val="tab"/>
      <w:lvlText w:val="%1."/>
      <w:lvlJc w:val="left"/>
      <w:pPr/>
      <w:rPr/>
    </w:lvl>
    <w:lvl w:ilvl="5" w:tplc="01CE9BE0">
      <w:start w:val="1"/>
      <w:numFmt w:val="decimal"/>
      <w:suff w:val="tab"/>
      <w:lvlText w:val="%1."/>
      <w:lvlJc w:val="left"/>
      <w:pPr/>
      <w:rPr/>
    </w:lvl>
    <w:lvl w:ilvl="6" w:tplc="7A780866">
      <w:start w:val="1"/>
      <w:numFmt w:val="decimal"/>
      <w:suff w:val="tab"/>
      <w:lvlText w:val="%1."/>
      <w:lvlJc w:val="left"/>
      <w:pPr/>
      <w:rPr/>
    </w:lvl>
    <w:lvl w:ilvl="7" w:tplc="7BE40E92">
      <w:start w:val="1"/>
      <w:numFmt w:val="decimal"/>
      <w:suff w:val="tab"/>
      <w:lvlText w:val="%1."/>
      <w:lvlJc w:val="left"/>
      <w:pPr/>
      <w:rPr/>
    </w:lvl>
    <w:lvl w:ilvl="8" w:tplc="49B567A0">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3389669F">
      <w:start w:val="1"/>
      <w:numFmt w:val="decimal"/>
      <w:suff w:val="tab"/>
      <w:lvlText w:val="%1."/>
      <w:lvlJc w:val="left"/>
      <w:pPr/>
      <w:rPr/>
    </w:lvl>
    <w:lvl w:ilvl="2" w:tplc="46F93B17">
      <w:start w:val="1"/>
      <w:numFmt w:val="decimal"/>
      <w:suff w:val="tab"/>
      <w:lvlText w:val="%1."/>
      <w:lvlJc w:val="left"/>
      <w:pPr/>
      <w:rPr/>
    </w:lvl>
    <w:lvl w:ilvl="3" w:tplc="6A5E117D">
      <w:start w:val="1"/>
      <w:numFmt w:val="decimal"/>
      <w:suff w:val="tab"/>
      <w:lvlText w:val="%1."/>
      <w:lvlJc w:val="left"/>
      <w:pPr/>
      <w:rPr/>
    </w:lvl>
    <w:lvl w:ilvl="4" w:tplc="371E9296">
      <w:start w:val="1"/>
      <w:numFmt w:val="decimal"/>
      <w:suff w:val="tab"/>
      <w:lvlText w:val="%1."/>
      <w:lvlJc w:val="left"/>
      <w:pPr/>
      <w:rPr/>
    </w:lvl>
    <w:lvl w:ilvl="5" w:tplc="59E61DCC">
      <w:start w:val="1"/>
      <w:numFmt w:val="decimal"/>
      <w:suff w:val="tab"/>
      <w:lvlText w:val="%1."/>
      <w:lvlJc w:val="left"/>
      <w:pPr/>
      <w:rPr/>
    </w:lvl>
    <w:lvl w:ilvl="6" w:tplc="1F3AA2C5">
      <w:start w:val="1"/>
      <w:numFmt w:val="decimal"/>
      <w:suff w:val="tab"/>
      <w:lvlText w:val="%1."/>
      <w:lvlJc w:val="left"/>
      <w:pPr/>
      <w:rPr/>
    </w:lvl>
    <w:lvl w:ilvl="7" w:tplc="7EC95619">
      <w:start w:val="1"/>
      <w:numFmt w:val="decimal"/>
      <w:suff w:val="tab"/>
      <w:lvlText w:val="%1."/>
      <w:lvlJc w:val="left"/>
      <w:pPr/>
      <w:rPr/>
    </w:lvl>
    <w:lvl w:ilvl="8" w:tplc="76FC5E05">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spacing w:lineRule="auto" w:line="259" w:after="80" w:beforeAutospacing="0" w:afterAutospacing="0"/>
    </w:pPr>
    <w:rPr>
      <w:rFonts w:ascii="Aptos" w:hAnsi="Aptos"/>
      <w:color w:val="28323C"/>
      <w:sz w:val="21"/>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260" w:after="120" w:beforeAutospacing="0" w:afterAutospacing="0"/>
      <w:outlineLvl w:val="0"/>
    </w:pPr>
    <w:rPr>
      <w:rFonts w:asciiTheme="majorHAnsi" w:hAnsiTheme="majorHAnsi" w:cstheme="majorBidi" w:eastAsiaTheme="majorEastAsia"/>
      <w:b w:val="1"/>
      <w:bCs w:val="1"/>
      <w:color w:val="1F2933"/>
      <w:sz w:val="33"/>
      <w:szCs w:val="28"/>
    </w:rPr>
  </w:style>
  <w:style w:type="paragraph" w:styleId="P4">
    <w:name w:val="Heading 2"/>
    <w:basedOn w:val="P0"/>
    <w:next w:val="P0"/>
    <w:link w:val="C6"/>
    <w:qFormat/>
    <w:pPr>
      <w:keepNext w:val="1"/>
      <w:keepLines w:val="1"/>
      <w:spacing w:before="160" w:after="70" w:beforeAutospacing="0" w:afterAutospacing="0"/>
      <w:outlineLvl w:val="1"/>
    </w:pPr>
    <w:rPr>
      <w:rFonts w:asciiTheme="majorHAnsi" w:hAnsiTheme="majorHAnsi" w:cstheme="majorBidi" w:eastAsiaTheme="majorEastAsia"/>
      <w:b w:val="1"/>
      <w:bCs w:val="1"/>
      <w:color w:val="33485C"/>
      <w:sz w:val="25"/>
      <w:szCs w:val="26"/>
    </w:rPr>
  </w:style>
  <w:style w:type="paragraph" w:styleId="P5">
    <w:name w:val="Heading 3"/>
    <w:basedOn w:val="P0"/>
    <w:next w:val="P0"/>
    <w:link w:val="C7"/>
    <w:qFormat/>
    <w:pPr>
      <w:keepNext w:val="1"/>
      <w:keepLines w:val="1"/>
      <w:spacing w:before="120" w:after="50" w:beforeAutospacing="0" w:afterAutospacing="0"/>
      <w:outlineLvl w:val="2"/>
    </w:pPr>
    <w:rPr>
      <w:rFonts w:asciiTheme="majorHAnsi" w:hAnsiTheme="majorHAnsi" w:cstheme="majorBidi" w:eastAsiaTheme="majorEastAsia"/>
      <w:b w:val="1"/>
      <w:bCs w:val="1"/>
      <w:color w:val="9B7424"/>
      <w:sz w:val="22"/>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2"/>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2"/>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6"/>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8"/>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spacing w:lineRule="auto" w:line="252" w:after="50" w:beforeAutospacing="0" w:afterAutospacing="0"/>
      <w:contextualSpacing w:val="1"/>
    </w:pPr>
    <w:rPr>
      <w:rFonts w:ascii="Aptos" w:hAnsi="Aptos"/>
      <w:color w:val="28323C"/>
      <w:sz w:val="20"/>
    </w:rPr>
  </w:style>
  <w:style w:type="paragraph" w:styleId="P23">
    <w:name w:val="List Bullet 2"/>
    <w:basedOn w:val="P0"/>
    <w:pPr>
      <w:numPr>
        <w:numId w:val="2"/>
      </w:numPr>
      <w:contextualSpacing w:val="1"/>
    </w:pPr>
    <w:rPr>
      <w:rFonts w:ascii="Aptos" w:hAnsi="Aptos"/>
      <w:sz w:val="22"/>
    </w:rPr>
  </w:style>
  <w:style w:type="paragraph" w:styleId="P24">
    <w:name w:val="List Bullet 3"/>
    <w:basedOn w:val="P0"/>
    <w:pPr>
      <w:numPr>
        <w:numId w:val="3"/>
      </w:numPr>
      <w:contextualSpacing w:val="1"/>
    </w:pPr>
    <w:rPr/>
  </w:style>
  <w:style w:type="paragraph" w:styleId="P25">
    <w:name w:val="List Number"/>
    <w:basedOn w:val="P0"/>
    <w:pPr>
      <w:numPr>
        <w:numId w:val="5"/>
      </w:numPr>
      <w:spacing w:lineRule="auto" w:line="252" w:after="50" w:beforeAutospacing="0" w:afterAutospacing="0"/>
      <w:contextualSpacing w:val="1"/>
    </w:pPr>
    <w:rPr>
      <w:rFonts w:ascii="Aptos" w:hAnsi="Aptos"/>
      <w:color w:val="28323C"/>
      <w:sz w:val="20"/>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2"/>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20"/>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30"/>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8"/>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6"/>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8"/>
      <w:szCs w:val="16"/>
    </w:rPr>
  </w:style>
  <w:style w:type="character" w:styleId="C13">
    <w:name w:val="Macro Text Char"/>
    <w:basedOn w:val="C0"/>
    <w:link w:val="P31"/>
    <w:rPr>
      <w:rFonts w:ascii="Courier" w:hAnsi="Courier"/>
      <w:sz w:val="22"/>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2"/>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2"/>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xml version='1.0' encoding='UTF-8' standalone='yes'?>
<Relationships xmlns="http://schemas.openxmlformats.org/package/2006/relationships"><Relationship Id="RelHdr1" Type="http://schemas.openxmlformats.org/officeDocument/2006/relationships/header" Target="header1.xml"/><Relationship Id="RelFtr1" Type="http://schemas.openxmlformats.org/officeDocument/2006/relationships/footer" Target="footer1.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 Id="RelItem1" Type="http://schemas.openxmlformats.org/officeDocument/2006/relationships/customXml" Target="../customXml/item1.xm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Jonathan Michael Langford</dc:creator>
  <dcterms:created xsi:type="dcterms:W3CDTF">2013-12-23T23:15:00Z</dcterms:created>
  <dc:description>Public release edition v.0.1.1</dc:description>
  <cp:keywords>Jack Kernel, programmable inference, Agentic, Deep Research, Code Debugging, Jack XML, local LLM</cp:keywords>
  <dcterms:modified xsi:type="dcterms:W3CDTF">2026-09-17T00:00:00Z</dcterms:modified>
  <cp:revision>2</cp:revision>
  <dc:subject>Jack Kernel v0.1.1 current release documentation</dc:subject>
  <dc:title>Jack Kernel v0.1.1 Plain-English Master Guide</dc:title>
</cp:coreProperties>
</file>