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JackKicker"/>
      </w:pPr>
      <w:r>
        <w:t>RUNTIME SPECIFICATION</w:t>
      </w:r>
    </w:p>
    <w:p>
      <w:pPr>
        <w:pStyle w:val="Title"/>
      </w:pPr>
      <w:r>
        <w:t>Jack Kernel v0.1.1</w:t>
      </w:r>
    </w:p>
    <w:p>
      <w:pPr>
        <w:pStyle w:val="JackSubtitle"/>
      </w:pPr>
      <w:r>
        <w:t>OpenAI-Compatible Local Programmable Inference Kernel</w:t>
      </w:r>
    </w:p>
    <w:p>
      <w:pPr/>
      <w:r>
        <w:t>Project: Jack Kernel</w:t>
        <w:br/>
        <w:t>Version: v0.1.1</w:t>
        <w:br/>
        <w:t>Document revision: 17 September 2026</w:t>
        <w:br/>
        <w:t>Status: Normative runtime specification aligned to the current v0.1.1 runtime, the validated surgical-resilience baseline, and the consolidated Orchestration Gateway v2 authority set. MUST, SHALL, and DOES describe the current public runtime unless a paragraph is explicitly marked rationale, limitation, research direction, legacy note, or non-normative use-case discussion. This revision preserves the established cognition-program contracts while adding the validated provenance, retry, runtime-manifest, Pi retry/recovery, and orchestration-supervision semantics introduced after the original Gateway v2 acceptance.</w:t>
      </w:r>
    </w:p>
    <w:p>
      <w:pPr>
        <w:pStyle w:val="JackKicker"/>
      </w:pPr>
      <w:r>
        <w:t>Current validated resilience tag: v0.1.1-surgical-resilience</w:t>
        <w:br/>
        <w:t>Validated surgical-resilience runtime commit: 4c8b33cc34e1545f5d564ddbcd2429239bb71297</w:t>
        <w:br/>
        <w:t>Current documentation authority: repository main</w:t>
        <w:br/>
        <w:t>Historical Gateway v2 integration commit: 1d583827715ddd276019a40fbf268ae9d01fbe0b</w:t>
        <w:br/>
        <w:t>Historical first public pre-beta tag: v0.1.1-pre-beta (6eb38cf)</w:t>
        <w:br/>
        <w:t>Repository: github.com/mlangford75-lgtm/Jack-Kernel</w:t>
      </w:r>
    </w:p>
    <w:p>
      <w:pPr>
        <w:pStyle w:val="JackQuote"/>
      </w:pPr>
      <w:r>
        <w:t>Probabilistic cognition may propose, but deterministic software must dispose.</w:t>
      </w:r>
    </w:p>
    <w:p>
      <w:pPr>
        <w:pStyle w:val="Heading1"/>
      </w:pPr>
      <w:r>
        <w:t>1. Normative Scope</w:t>
      </w:r>
    </w:p>
    <w:p>
      <w:pPr/>
      <w:r>
        <w:t>This specification documents Jack Kernel v0.1.1. The kernel is a host-authoritative inference-control layer between an agent/client and an OpenAI-compatible backend. It is not an agent framework and not an LLM. Deep Research, Agentic, and Code Debugging are reference programs running on the kernel; Code Debugging is exposed in Standard and Deep reasoning variants. The programs demonstrate the control plane but do not exhaust what code-defined layers can be built on it. Orchestration Gateway v2 is an accepted supervisor-to-worker control integration exposed by the same runtime; it is not a cognition mode and does not alter the existing reasoning-mode contracts.</w:t>
      </w:r>
    </w:p>
    <w:p>
      <w:pPr/>
      <w:r>
        <w:t>v0.1.1 exposes direct native modes plus three custom reference programs. Deep Research is a three-stage Preserve-Thinking Thesis/Antithesis/Synthesis program: Stage 1 is a role-aware First-Principles plan-only Thesis at X-High @ 0.85 with tools physically absent; Stage 2 is a materially focused questions-only Antithesis at Medium @ 0.70 with tools OFF and zero answer authority; Stage 3 is X-High @ 0.70 with caller tools when supplied and sole reasoning/execution/output authority. Deep Research StageProfiles carry host-side max_tokens failsafes of 100000 / 20000 / 100000, which are runaway-loop ceilings rather than target lengths and are not projected into model context. Agentic is the Qwen Preserve-Thinking X-High -&gt; X-High semantic-consolidation program. Code Debugging is the five-audit report-only fresh-pass loop, with Standard at Medium reasoning and Deep at X-High reasoning; reasoning effort is their only mode-level difference.</w:t>
      </w:r>
    </w:p>
    <w:p>
      <w:pPr/>
      <w:r>
        <w:t>Current release state preserves the three-stage Deep Research authority chain, Agentic frozen-A1/XML authority separation, Code Debugging fresh-pass/disk-governed loop, caller filtering, and the wider kernel control plane. Jack-owned Thesis-&gt;Antithesis and Antithesis-&gt;Synthesis transport turns are causal transaction state and persist through Synthesis; they carry the exact active request as reminder context and explicitly identify stage input without creating a new request. Nothing is pruned before Synthesis completes; after the final, only Stage-1 and Stage-2 native reasoning is retired on later re-entry. Cognitive-output validators, semantic-equality heuristics, artifact resolvers, and cognition retry loops remain absent. Agentic pruning and answer authority remain separate and unchanged.</w:t>
      </w:r>
    </w:p>
    <w:p>
      <w:pPr>
        <w:pStyle w:val="Heading1"/>
      </w:pPr>
      <w:r>
        <w:t>2. Runtime Topology and Authority Layers</w:t>
      </w:r>
    </w:p>
    <w:p>
      <w:pPr/>
      <w:r>
        <w:t>Agent/client -&gt; POST /v1/chat/completions -&gt; Jack Kernel -&gt; configured backend/provider. The caller supplies conversation messages, optional tool schemas, bounded tool_choice, and streaming preference. Jack owns active mode, stage topology, stage prompts, stage sampling/reasoning controls, backend/model resolution policy, mode-specific history preparation, tool-resume routing, safety/policy gates, authority/commit boundaries, memory/retention policy, runtime evidence metadata, optional disk-governed loop contracts, and out-of-band forensic persistence.</w:t>
      </w:r>
    </w:p>
    <w:p>
      <w:pPr>
        <w:pStyle w:val="Heading2"/>
      </w:pPr>
      <w:r>
        <w:t>2.1 Independent Safety / Policy Boundary</w:t>
      </w:r>
    </w:p>
    <w:p>
      <w:pPr/>
      <w:r>
        <w:t>Because Jack mediates the caller-to-backend path and owns stage, tool, validation, and commit boundaries, code-defined safety or policy checks MAY run in the kernel independently of both the agent and LLM. Such checks may reject or transform a request, apply input policy, restrict tools or state transitions, separate read-only from mutation stages, require deterministic validation or fresh evidence, require human approval, screen outputs, or withhold final commit/release. Their authority is host authority and does not depend on agent intent or model compliance. Jack v0.1.1 does not define a universal deployment safety-policy set; safety is one programmable layer class among the wider stage, memory, evidence, routing, loop, and authority surfaces exposed by the kernel.</w:t>
      </w:r>
    </w:p>
    <w:p>
      <w:pPr>
        <w:pStyle w:val="Heading2"/>
      </w:pPr>
      <w:r>
        <w:t>2.2 Non-Normative Safety Highlight: Capability Confinement</w:t>
      </w:r>
    </w:p>
    <w:p>
      <w:r>
        <w:t>v0.1.1 does not implement or certify a universal filesystem sandbox or workspace-confinement boundary. The following is a non-normative example of a safety layer enabled by the kernel architecture, not a shipped v0.1.1 guarantee.</w:t>
      </w:r>
    </w:p>
    <w:p>
      <w:r>
        <w:t>A deployment MAY add a host-authoritative capability-confinement layer that limits the namespace or resources reachable by model-proposed tools. For example, with an authorized workspace root C:\AuthorizedWorkspace\Project, the host can canonicalize each file target before dispatch and deny any request whose resolved target escapes that root. The same layer can reject parent traversal, absolute out-of-scope paths, other-drive or UNC access, and link/junction escapes. If unrestricted shell execution is exposed, reliable confinement requires an actual restricted/sandboxed executor rather than lexical filtering of command text.</w:t>
      </w:r>
    </w:p>
    <w:p>
      <w:r>
        <w:t>This pattern separates cognitive proposal from execution authority. The model or agent may still propose an unnecessary, mistaken, or over-broad action; the kernel layer determines whether that action is within the deployment's permitted capability boundary. Equivalent host-side scopes can be applied to network destinations, credentials, mutation privileges, databases, devices, validators, approvals, and release gates. Such layers are deployment-defined and remain distinct from the core v0.1.1 reference programs.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3384"/>
            <w:vAlign w:val="center"/>
            <w:tcMar>
              <w:top w:w="70" w:type="dxa"/>
              <w:start w:w="85" w:type="dxa"/>
              <w:bottom w:w="70" w:type="dxa"/>
              <w:end w:w="85" w:type="dxa"/>
            </w:tcMar>
            <w:shd w:fill="172033"/>
          </w:tcPr>
          <w:p>
            <w:r>
              <w:rPr>
                <w:b/>
                <w:color w:val="FFFFFF"/>
              </w:rPr>
              <w:t>Surface</w:t>
            </w:r>
          </w:p>
        </w:tc>
        <w:tc>
          <w:tcPr>
            <w:tcW w:type="dxa" w:w="6263"/>
            <w:vAlign w:val="center"/>
            <w:tcMar>
              <w:top w:w="70" w:type="dxa"/>
              <w:start w:w="85" w:type="dxa"/>
              <w:bottom w:w="70" w:type="dxa"/>
              <w:end w:w="85" w:type="dxa"/>
            </w:tcMar>
            <w:shd w:fill="172033"/>
          </w:tcPr>
          <w:p>
            <w:r>
              <w:rPr>
                <w:b/>
                <w:color w:val="FFFFFF"/>
              </w:rPr>
              <w:t>Treatment</w:t>
            </w:r>
          </w:p>
        </w:tc>
      </w:tr>
      <w:tr>
        <w:trPr>
          <w:cantSplit/>
        </w:trPr>
        <w:tc>
          <w:tcPr>
            <w:tcW w:type="dxa" w:w="3384"/>
            <w:vAlign w:val="center"/>
            <w:tcMar>
              <w:top w:w="70" w:type="dxa"/>
              <w:start w:w="85" w:type="dxa"/>
              <w:bottom w:w="70" w:type="dxa"/>
              <w:end w:w="85" w:type="dxa"/>
            </w:tcMar>
          </w:tcPr>
          <w:p>
            <w:r>
              <w:t>Caller user/assistant/tool messages</w:t>
            </w:r>
          </w:p>
        </w:tc>
        <w:tc>
          <w:tcPr>
            <w:tcW w:type="dxa" w:w="6263"/>
            <w:vAlign w:val="center"/>
            <w:tcMar>
              <w:top w:w="70" w:type="dxa"/>
              <w:start w:w="85" w:type="dxa"/>
              <w:bottom w:w="70" w:type="dxa"/>
              <w:end w:w="85" w:type="dxa"/>
            </w:tcMar>
          </w:tcPr>
          <w:p>
            <w:r>
              <w:t>Accepted subject to mode-specific preparation and pruning.</w:t>
            </w:r>
          </w:p>
        </w:tc>
      </w:tr>
      <w:tr>
        <w:trPr>
          <w:cantSplit/>
        </w:trPr>
        <w:tc>
          <w:tcPr>
            <w:tcW w:type="dxa" w:w="3384"/>
            <w:vAlign w:val="center"/>
            <w:tcMar>
              <w:top w:w="70" w:type="dxa"/>
              <w:start w:w="85" w:type="dxa"/>
              <w:bottom w:w="70" w:type="dxa"/>
              <w:end w:w="85" w:type="dxa"/>
            </w:tcMar>
            <w:shd w:fill="F2F5F9"/>
          </w:tcPr>
          <w:p>
            <w:r>
              <w:t>Caller system/developer messages</w:t>
            </w:r>
          </w:p>
        </w:tc>
        <w:tc>
          <w:tcPr>
            <w:tcW w:type="dxa" w:w="6263"/>
            <w:vAlign w:val="center"/>
            <w:tcMar>
              <w:top w:w="70" w:type="dxa"/>
              <w:start w:w="85" w:type="dxa"/>
              <w:bottom w:w="70" w:type="dxa"/>
              <w:end w:w="85" w:type="dxa"/>
            </w:tcMar>
            <w:shd w:fill="F2F5F9"/>
          </w:tcPr>
          <w:p>
            <w:r>
              <w:t>Blocked before backend cognition.</w:t>
            </w:r>
          </w:p>
        </w:tc>
      </w:tr>
      <w:tr>
        <w:trPr>
          <w:cantSplit/>
        </w:trPr>
        <w:tc>
          <w:tcPr>
            <w:tcW w:type="dxa" w:w="3384"/>
            <w:vAlign w:val="center"/>
            <w:tcMar>
              <w:top w:w="70" w:type="dxa"/>
              <w:start w:w="85" w:type="dxa"/>
              <w:bottom w:w="70" w:type="dxa"/>
              <w:end w:w="85" w:type="dxa"/>
            </w:tcMar>
          </w:tcPr>
          <w:p>
            <w:r>
              <w:t>Caller tools/tool_choice</w:t>
            </w:r>
          </w:p>
        </w:tc>
        <w:tc>
          <w:tcPr>
            <w:tcW w:type="dxa" w:w="6263"/>
            <w:vAlign w:val="center"/>
            <w:tcMar>
              <w:top w:w="70" w:type="dxa"/>
              <w:start w:w="85" w:type="dxa"/>
              <w:bottom w:w="70" w:type="dxa"/>
              <w:end w:w="85" w:type="dxa"/>
            </w:tcMar>
          </w:tcPr>
          <w:p>
            <w:r>
              <w:t>Accepted as bounded tool surface; exposed only to stages whose StageProfile allows tools.</w:t>
            </w:r>
          </w:p>
        </w:tc>
      </w:tr>
      <w:tr>
        <w:trPr>
          <w:cantSplit/>
        </w:trPr>
        <w:tc>
          <w:tcPr>
            <w:tcW w:type="dxa" w:w="3384"/>
            <w:vAlign w:val="center"/>
            <w:tcMar>
              <w:top w:w="70" w:type="dxa"/>
              <w:start w:w="85" w:type="dxa"/>
              <w:bottom w:w="70" w:type="dxa"/>
              <w:end w:w="85" w:type="dxa"/>
            </w:tcMar>
            <w:shd w:fill="F2F5F9"/>
          </w:tcPr>
          <w:p>
            <w:r>
              <w:t>Caller model</w:t>
            </w:r>
          </w:p>
        </w:tc>
        <w:tc>
          <w:tcPr>
            <w:tcW w:type="dxa" w:w="6263"/>
            <w:vAlign w:val="center"/>
            <w:tcMar>
              <w:top w:w="70" w:type="dxa"/>
              <w:start w:w="85" w:type="dxa"/>
              <w:bottom w:w="70" w:type="dxa"/>
              <w:end w:w="85" w:type="dxa"/>
            </w:tcMar>
            <w:shd w:fill="F2F5F9"/>
          </w:tcPr>
          <w:p>
            <w:r>
              <w:t>Virtual identity only; not authoritative for actual backend model selection.</w:t>
            </w:r>
          </w:p>
        </w:tc>
      </w:tr>
      <w:tr>
        <w:trPr>
          <w:cantSplit/>
        </w:trPr>
        <w:tc>
          <w:tcPr>
            <w:tcW w:type="dxa" w:w="3384"/>
            <w:vAlign w:val="center"/>
            <w:tcMar>
              <w:top w:w="70" w:type="dxa"/>
              <w:start w:w="85" w:type="dxa"/>
              <w:bottom w:w="70" w:type="dxa"/>
              <w:end w:w="85" w:type="dxa"/>
            </w:tcMar>
          </w:tcPr>
          <w:p>
            <w:r>
              <w:t>Caller reasoning/sampling overrides</w:t>
            </w:r>
          </w:p>
        </w:tc>
        <w:tc>
          <w:tcPr>
            <w:tcW w:type="dxa" w:w="6263"/>
            <w:vAlign w:val="center"/>
            <w:tcMar>
              <w:top w:w="70" w:type="dxa"/>
              <w:start w:w="85" w:type="dxa"/>
              <w:bottom w:w="70" w:type="dxa"/>
              <w:end w:w="85" w:type="dxa"/>
            </w:tcMar>
          </w:tcPr>
          <w:p>
            <w:r>
              <w:t>Ignored as cognition controls; Jack rebuilds stage parameters from active runtime configuration.</w:t>
            </w:r>
          </w:p>
        </w:tc>
      </w:tr>
      <w:tr>
        <w:trPr>
          <w:cantSplit/>
        </w:trPr>
        <w:tc>
          <w:tcPr>
            <w:tcW w:type="dxa" w:w="3384"/>
            <w:vAlign w:val="center"/>
            <w:tcMar>
              <w:top w:w="70" w:type="dxa"/>
              <w:start w:w="85" w:type="dxa"/>
              <w:bottom w:w="70" w:type="dxa"/>
              <w:end w:w="85" w:type="dxa"/>
            </w:tcMar>
            <w:shd w:fill="F2F5F9"/>
          </w:tcPr>
          <w:p>
            <w:r>
              <w:t>Persistent secondary system prompt</w:t>
            </w:r>
          </w:p>
        </w:tc>
        <w:tc>
          <w:tcPr>
            <w:tcW w:type="dxa" w:w="6263"/>
            <w:vAlign w:val="center"/>
            <w:tcMar>
              <w:top w:w="70" w:type="dxa"/>
              <w:start w:w="85" w:type="dxa"/>
              <w:bottom w:w="70" w:type="dxa"/>
              <w:end w:w="85" w:type="dxa"/>
            </w:tcMar>
            <w:shd w:fill="F2F5F9"/>
          </w:tcPr>
          <w:p>
            <w:r>
              <w:t>May be loaded as Jack-controlled context for applicable native modes, but Agentic Stage 1/2 and Deep Research active stages use their own isolated contracts. Deep Research Stage 1 receives only Thesis, Stage 2 only Antithesis, and Stage 3 only Synthesis; no prior-stage system instruction is copied into the next stage.</w:t>
            </w:r>
          </w:p>
        </w:tc>
      </w:tr>
      <w:tr>
        <w:trPr>
          <w:cantSplit/>
        </w:trPr>
        <w:tc>
          <w:tcPr>
            <w:tcW w:type="dxa" w:w="3384"/>
            <w:vAlign w:val="center"/>
            <w:tcMar>
              <w:top w:w="70" w:type="dxa"/>
              <w:start w:w="85" w:type="dxa"/>
              <w:bottom w:w="70" w:type="dxa"/>
              <w:end w:w="85" w:type="dxa"/>
            </w:tcMar>
            <w:shd w:fill="F2F5F9"/>
          </w:tcPr>
          <w:p>
            <w:r>
              <w:t>Kernel safety/policy layer</w:t>
            </w:r>
          </w:p>
        </w:tc>
        <w:tc>
          <w:tcPr>
            <w:tcW w:type="dxa" w:w="6263"/>
            <w:vAlign w:val="center"/>
            <w:tcMar>
              <w:top w:w="70" w:type="dxa"/>
              <w:start w:w="85" w:type="dxa"/>
              <w:bottom w:w="70" w:type="dxa"/>
              <w:end w:w="85" w:type="dxa"/>
            </w:tcMar>
            <w:shd w:fill="F2F5F9"/>
          </w:tcPr>
          <w:p>
            <w:r>
              <w:t>Deployment-defined host checks may constrain request acceptance, tool/stage access, validation/approval, output, or release independently of agent/model preference. Safety is one programmable layer class; specific policy contents are outside v0.1.1 unless explicitly documented.</w:t>
            </w:r>
          </w:p>
        </w:tc>
      </w:tr>
    </w:tbl>
    <w:p>
      <w:r/>
    </w:p>
    <w:p>
      <w:pPr>
        <w:pStyle w:val="Heading2"/>
      </w:pPr>
      <w:r>
        <w:t>2.3 Orchestration Gateway v2 (Accepted Runtime Integration; Separate from Inference-Mode Contracts)</w:t>
      </w:r>
    </w:p>
    <w:p>
      <w:pPr>
        <w:pStyle w:val="Normal"/>
      </w:pPr>
      <w:r>
        <w:t>Jack's host-authoritative mediation position DOES also provide the accepted supervisor-to-worker control plane documented here. This integration is not a new reasoning mode and SHALL NOT alter Deep Research, Agentic, Code Debugging, Code Debugging (Deep), or native-mode semantics. The Gateway v2 public routes, run-bound identity, replay, cancellation/settlement, downstream-failure behavior, Jack-to-Pi bridge relationship, and supervisor compatibility rules described in this section are part of the current public runtime. Documentation/Orchestration/ORCHESTRATION_GATEWAY_V2_TECHNICAL_SPEC.md is the canonical transport, lifecycle, authority, and supervisor-compatibility contract; Documentation/Orchestration/ORCHESTRATOR_INSTRUCTIONS.md defines required operating behavior. The dated September 12 acceptance report is historical conformance evidence, not current runtime-identity authority.</w:t>
      </w:r>
    </w:p>
    <w:p>
      <w:pPr>
        <w:pStyle w:val="Normal"/>
      </w:pPr>
      <w:r>
        <w:t>Control topology: Any orchestration agent -&gt; Jack public orchestration surface -&gt; private Pi control bridge -&gt; privileged Pi worker.</w:t>
      </w:r>
    </w:p>
    <w:p>
      <w:pPr>
        <w:pStyle w:val="Normal"/>
      </w:pPr>
      <w:r>
        <w:t>Inference topologies: Local-model supervisor -&gt; Jack /v1 -&gt; Jack-configured backend/provider; worker -&gt; Jack /v1 -&gt; Jack-configured backend/provider; cloud-model supervisor &lt;-&gt; its native cloud provider. Cloud-model supervisor cognition does not route through Jack /v1 merely because the worker uses Jack.</w:t>
      </w:r>
    </w:p>
    <w:p>
      <w:pPr>
        <w:pStyle w:val="Normal"/>
      </w:pPr>
      <w:r>
        <w:t>The public orchestration surface comprises GET /jack/orchestration/status, GET /jack/orchestration/events, POST /jack/orchestration/tasks, POST /jack/orchestration/tasks/cancel, and POST /jack/orchestration/session/new. Every supervisor-to-worker control action SHALL cross this Jack surface. No orchestration agent SHALL require or use the downstream Pi bridge credential or bypass Jack to reach the private bridge directly. A local-model supervisor SHALL use Jack /v1 for its own cognition and SHALL NOT connect directly to LM Studio or another configured backend. A cloud-model supervisor retains its native cloud cognition and SHALL NOT configure Jack as its own model provider merely because the worker uses Jack. Backend/model resolution for local-model participants remains Jack-owned.</w:t>
      </w:r>
    </w:p>
    <w:p>
      <w:pPr>
        <w:pStyle w:val="Normal"/>
      </w:pPr>
      <w:r>
        <w:t>The privileged Primary Pi worker retains its own tool-execution authority. Supervisory mediation through Jack is therefore distinct from universal interception of every filesystem, shell, or process action inside the worker. Gateway v2 governs the supervisor-to-worker control path. A deeper worker-side capability-enforcement or tool-dispatch chassis MAY be composed separately, but SHALL NOT be claimed as an existing Gateway v2 property unless independently implemented and validated.</w:t>
      </w:r>
    </w:p>
    <w:p>
      <w:pPr>
        <w:pStyle w:val="Normal"/>
      </w:pPr>
      <w:r>
        <w:t>Orchestration lifecycle, attribution, observation, and task authority are distinct. message_end SHALL NOT be treated as task completion, and agent_end SHALL NOT be treated as full physical settlement. Message/tool events receive task_id, run_id, and run_epoch only from positive Pi run-bound evidence; otherwise ownership remains null and attribution remains none rather than being assigned to whichever task is temporally current. Jack adds monotonic process-local event sequencing and bounded replay/reconnect. During an active supervised task, a compatible supervisor SHALL consume GET /jack/orchestration/events as a live SSE stream; status polling MAY be used for readiness and terminal confirmation but SHALL NOT replace live event observation. The orchestration SSE ingestion path remains outside the inference semaphore so observation/control cannot deadlock worker inference.</w:t>
      </w:r>
    </w:p>
    <w:p>
      <w:pPr>
        <w:pStyle w:val="Normal"/>
      </w:pPr>
      <w:r>
        <w:t>The accepted Jack Orchestrator v0.1.0 client demonstrates the local-model deployment of this framework with a cognition-only secondary Pi, isolated mutable state, Jack-only backend visibility, and exactly five model-facing supervisory tools: worker_status, watch_worker, submit_worker_task, cancel_worker_task, and new_worker_session. Those client restrictions are deployment properties, not universal kernel guarantees; another compatible local-model supervisor may expose a different internal action API if it preserves the same Jack authority boundary and required capabilities. Cloud-model supervisors are also compatible when their own cognition remains native to the cloud provider and all worker control still crosses Jack. Exact run-correlation, event-envelope, replay, cancellation, settlement, compatibility, and operating semantics are governed by this section together with the dedicated Gateway v2 and orchestration-agent documents.</w:t>
      </w:r>
    </w:p>
    <w:p>
      <w:pPr>
        <w:pStyle w:val="Heading3"/>
      </w:pPr>
      <w:r>
        <w:t>2.3.1 Public / private boundary and bridge authority</w:t>
      </w:r>
    </w:p>
    <w:p>
      <w:pPr/>
      <w:r>
        <w:t>Jack SHALL expose orchestration to the supervisor through the existing Jack listener rather than a second public listener. Jack privately reaches the Primary Pi bridge at 127.0.0.1:8013 using the Pi controlToken from Primary Pi configuration. The controlToken is private to Jack. No orchestration agent SHALL require, receive, cache, or use that credential and no orchestration agent SHALL use port 8013 directly. The Gateway SHALL NOT fabricate a downstream worker or route directly to the model backend when the bridge is unavailable.</w:t>
      </w:r>
    </w:p>
    <w:p>
      <w:pPr/>
      <w:r>
        <w:t>The accepted local Jack Orchestrator is backend-blind by design: its cognition endpoint is Jack at http://127.0.0.1:8001/v1 and its orchestration endpoint family is http://127.0.0.1:8001/jack/orchestration. It SHALL NOT independently discover or query LM Studio :1234, Ollama, llama.cpp, PAIR nodes, Primary Pi mutable configuration, or the Pi bridge controlToken. Dynamic context-window synchronization for the accepted client is derived from Jack metadata rather than direct backend discovery. The same no-direct-backend rule applies to any local-model supervisor. A cloud-model supervisor does not use Jack /v1 for its own cognition but remains subject to the same no-direct-bridge worker-control boundary.</w:t>
      </w:r>
    </w:p>
    <w:p>
      <w:pPr>
        <w:pStyle w:val="Heading3"/>
      </w:pPr>
      <w:r>
        <w:t>2.3.2 Controlled task identity and run epochs</w:t>
      </w:r>
    </w:p>
    <w:p>
      <w:pPr/>
      <w:r>
        <w:t>POST /jack/orchestration/tasks SHALL create a Jack-visible control task and forward a worker prompt through the private Pi bridge. The accepted Pi bridge creates a task UUID and a separate random runId. A private dispatch marker is recognized only in the trusted extension input path and is stripped before model visibility. before_agent_start binds the pending controlled operation; agent_start freezes {taskId, runId, runEpoch}. runEpoch begins at 1 and increments on an automatic retry of the same controlled run while runId remains stable.</w:t>
      </w:r>
    </w:p>
    <w:p>
      <w:pPr/>
      <w:r>
        <w:t>Event handlers SHALL snapshot the active run binding at callback entry. agent_end SHALL clear the low-level activeRun immediately so post-end/pre-next callbacks cannot inherit stale ownership. agent_settled SHALL close the full controlled operation. The runtime therefore distinguishes message completion, a low-level agent interval, and full physical settlement. Task lifecycle attribution uses task_state; positively bound message/tool attribution uses pi_run_bound; unowned events retain null task_id/run_id/run_epoch with attribution none.</w:t>
      </w:r>
    </w:p>
    <w:p>
      <w:pPr>
        <w:pStyle w:val="Heading3"/>
      </w:pPr>
      <w:r>
        <w:t>2.3.3 Event envelope, ordering, and replay</w:t>
      </w:r>
    </w:p>
    <w:p>
      <w:pPr/>
      <w:r>
        <w:t>Jack SHALL wrap Pi orchestration events in a public envelope containing a monotonically increasing process-local seq plus task_id, run_id, run_epoch, attribution, type, source, source_at, jack_received_at, data, and source_event when available. Jack SHALL preserve the original Pi source evidence rather than replacing it with reconstructed narrative state.</w:t>
      </w:r>
    </w:p>
    <w:p>
      <w:pPr/>
      <w:r>
        <w:t>The default in-memory replay window is 512 events. GET /jack/orchestration/events accepts replay continuation using Last-Event-ID or ?after=&lt;seq&gt;. If requested history predates the retained window, Jack SHALL return HTTP 409 with error orchestration_replay_gap and the available sequence bounds rather than silently resuming from a guessed position. This replay buffer is transport-recovery state and SHALL NOT be described as a durable forensic archive. A supervisor-side SSE reader timeout or local connection close is not a worker-state event: the supervisor SHALL retain its last processed seq, reconnect with replay when possible, and reconcile replayed events with current status before reporting current task state. Silence is not settlement.</w:t>
      </w:r>
    </w:p>
    <w:p>
      <w:pPr>
        <w:pStyle w:val="Heading3"/>
      </w:pPr>
      <w:r>
        <w:t>2.3.4 Cancellation and physical settlement</w:t>
      </w:r>
    </w:p>
    <w:p>
      <w:pPr/>
      <w:r>
        <w:t>A cancellation request MAY make a task visibly cancelled before the underlying worker/model activity has physically settled. During this interval runOpen remains true. Jack SHALL NOT admit a new controlled task while the prior controlled run remains unsettled. Full settlement closes the control run, sets settledAt, and exposes runOpen=false. The accepted terminal event ordering SHALL emit the settled task snapshot only after the active control bindings have been cleared, preventing stale runOpen=true from surviving into the terminal settled state.</w:t>
      </w:r>
    </w:p>
    <w:p>
      <w:pPr>
        <w:pStyle w:val="Heading3"/>
      </w:pPr>
      <w:r>
        <w:t>2.3.5 Concurrency and semaphore separation</w:t>
      </w:r>
    </w:p>
    <w:p>
      <w:pPr/>
      <w:r>
        <w:t>Gateway proxying, worker-control waits, and SSE ingestion SHALL remain outside Jack's inference semaphore. Actual model inference SHALL remain semaphore-governed. This separation prevents Jack -&gt; Pi -&gt; Jack self-deadlock when Primary Pi must perform inference while a supervisory operation is outstanding. Full concurrent local-model supervisor/worker inference through Jack requires a Jack inference concurrency setting of at least 2. A cloud-model supervisor's own cognition is external to Jack's local inference semaphore, while Primary Pi inference remains Jack-governed. In the accepted launcher path, the saved Maximum concurrent Kernel requests value is authoritative because launcher configuration is written into the child server environment.</w:t>
      </w:r>
    </w:p>
    <w:p>
      <w:pPr>
        <w:pStyle w:val="Heading3"/>
      </w:pPr>
      <w:r>
        <w:t>2.3.6 Downstream-unavailable behavior</w:t>
      </w:r>
    </w:p>
    <w:p>
      <w:pPr/>
      <w:r>
        <w:t>When Jack remains alive but Primary Pi or its private bridge is unavailable, GET /jack/orchestration/status, POST /jack/orchestration/tasks, POST /jack/orchestration/tasks/cancel, and POST /jack/orchestration/session/new SHALL fail with HTTP 502 detail "Pi control bridge is unavailable". The runtime SHALL NOT return a fabricated worker task and SHALL NOT use a direct-Pi, direct-bridge, or direct-backend fallback. Event observation behavior follows the state of the Jack-side event hub and available source connection.</w:t>
      </w:r>
    </w:p>
    <w:p>
      <w:pPr>
        <w:pStyle w:val="Heading3"/>
      </w:pPr>
      <w:r>
        <w:t>2.3.7 Accepted implementation identity and conformance evidence</w:t>
      </w:r>
    </w:p>
    <w:p>
      <w:pPr/>
      <w:r>
        <w:t>The current validated Primary-Pi control bridge SHA-256 for the Windows CRLF representation is E758883F3C18CBEFBF5590C720DBEDF7AB8E85D3314B5EA77E277B1A8C3BD3E4. The canonical repository LF representation SHA-256 is 723338D4F67295AEC5B75886EFEF7843C1A44D01934BF9CBB7C2304B4603F92C. The dated September 12 Gateway v2 acceptance record retains the earlier D066... identity because that report is historical evidence of the artifact actually tested at that time. Current bridge validation additionally covers retry-epoch separation, historical priorError handling, recoverable structured tool failures retained diagnostically, and terminal settlement that is not forced to failure merely because an earlier tool operation failed and later recovered.</w:t>
      </w:r>
    </w:p>
    <w:p>
      <w:pPr/>
      <w:r>
        <w:t>These orchestration conformance results are host/runtime guarantees for the validated boundary. They do not prove semantic correctness, do not make model cognition deterministic, and do not establish universal interception of every privileged action available to Primary Pi.</w:t>
      </w:r>
    </w:p>
    <w:p>
      <w:pPr>
        <w:pStyle w:val="Heading3"/>
      </w:pPr>
      <w:r>
        <w:t>2.3.8 Orchestration-agent compatibility and local-model supervisor construction</w:t>
      </w:r>
    </w:p>
    <w:p>
      <w:pPr/>
      <w:r>
        <w:t>Gateway v2 is supervisor-implementation agnostic. A compatible orchestration agent MAY use a cloud-hosted model or a local model, but every supervisor-to-worker control action MUST cross Jack. A local-model supervisor MUST route its own inference through Jack /v1; a cloud-model supervisor keeps its native cloud cognition and MUST NOT route that cognition through Jack /v1 merely because the worker uses Jack. The worker itself continues to use Jack /v1. No locally modeled supervisor or worker may connect directly to the configured model backend.</w:t>
      </w:r>
    </w:p>
    <w:p>
      <w:pPr/>
      <w:r>
        <w:t>A local-model orchestration agent SHOULD be implemented as a supervisory runtime with two logically separate Jack clients: an inference client for /v1 and a worker-control client for /jack/orchestration. Its local model may propose supervisory intents such as submit work, wait, evaluate, cancel, replace session, or answer the user, while deterministic host code owns admission, task/run identity, event provenance, replay cursors, tool lifecycle, session state, and physical settlement. Model output MUST NOT fabricate or mutate task_id, run_id, run_epoch, seq, attribution, sessionReady, sessionTransitioning, runOpen, settledAt, or tool-execution evidence.</w:t>
      </w:r>
    </w:p>
    <w:p>
      <w:pPr/>
      <w:r>
        <w:t>Before task submission, the supervisor MUST query status and require sessionReady=true, sessionTransitioning=false, and no prior controlled run physically open. When practical it SHOULD open the SSE stream before POST /jack/orchestration/tasks, record the current/latest sequence position, submit exactly one task using {"prompt":"&lt;non-empty task text&gt;"}, retain the returned task_id, bind run_id and run_epoch only from Jack-provided state/events, observe worker messages and tool_start/tool_update/tool_end events live, observe agent_end, and continue until terminal state plus runOpen=false and settlement metadata establish physical closure. Only then may overlapping follow-up controlled work be admitted.</w:t>
      </w:r>
    </w:p>
    <w:p>
      <w:pPr/>
      <w:r>
        <w:t>During active supervision, GET /jack/orchestration/events is mandatory observation transport. Status polling MAY establish readiness and terminal confirmation but SHALL NOT replace live event consumption. The supervisor MUST retain last processed seq. If its SSE reader times out or disconnects, that local transport condition is not worker completion, failure, or settlement: it MUST reconnect using Last-Event-ID or ?after=&lt;seq&gt; and reconcile replayed events with current status. If runOpen=true and the last run-bound event is an unterminated tool operation, the supervisor may report only that the run remains open and no terminal event for that tool has been observed; it MUST NOT infer that the worker stopped, the tool hung, or the task failed without additional authoritative evidence.</w:t>
      </w:r>
    </w:p>
    <w:p>
      <w:pPr/>
      <w:r>
        <w:t>Cancellation is two-phase: logical cancellation may precede physical settlement, so new controlled work remains blocked while runOpen=true. Session replacement MUST be requested only through /jack/orchestration/session/new; the supervisor records the old sessionInstanceId, stops task admission, tolerates temporary Jack 502 while the private bridge is replaced, waits for sessionReady=true and sessionTransitioning=false, and requires a new sessionInstanceId before follow-up. Blind retry after an ambiguous task submission is forbidden because it can duplicate work. If Jack or the bridge fails, there is no direct bridge or backend fallback.</w:t>
      </w:r>
    </w:p>
    <w:p>
      <w:pPr/>
      <w:r>
        <w:t>A production orchestrator SHOULD persist at least the user objective or supervisory plan, current sessionInstanceId, current or last task_id/run_id/run_epoch, last processed seq, active tool states, known terminal/settlement state, and pending supervisory decision so its own restart can reconcile with Jack instead of assuming the worker also restarted. The deterministic orchestration ledger is authoritative for control facts; model-readable supervisory summaries are projections of that ledger, not replacements for it. The model supplies judgment about what should happen next; deterministic software disposes whether the requested control action is legal.</w:t>
      </w:r>
    </w:p>
    <w:p>
      <w:r>
        <w:t>Be strict about truth, identity, authority, and irreversible consequences; be resilient about useful work.</w:t>
      </w:r>
    </w:p>
    <w:p>
      <w:pPr>
        <w:pStyle w:val="Heading2"/>
      </w:pPr>
      <w:r>
        <w:t>CURRENT NORMATIVE ARCHITECTURE UPDATE — 23 SEPTEMBER 2026</w:t>
      </w:r>
    </w:p>
    <w:p>
      <w:r>
        <w:t>Jack Kernel remains v0.1.1. PR #15 (7cf530d33c28f62c8ee057c1dd236173124d95d7) and PR #16/current main (f8be952d704c8d429cffac6dafe05338fe86a8e6) are now part of the normative runtime reality. This update is additive: every pre-existing normative paragraph, table, header, footer, mode contract, authority rule, historical identity, and provenance statement in this specification is preserved below.</w:t>
      </w:r>
    </w:p>
    <w:p>
      <w:pPr>
        <w:pStyle w:val="Heading2"/>
      </w:pPr>
      <w:r>
        <w:t>2.2 Multi-Endpoint Runtime Lanes, Identity, and Resilience</w:t>
      </w:r>
    </w:p>
    <w:p>
      <w:r>
        <w:t>This section is normative for the merged multi-endpoint runtime-lane architecture. It extends Jack's deterministic ownership model across multiple independently addressable Jack processes without replacing or narrowing the cognition, tool, evidence, freeze/commit, or durability contracts elsewhere in this specification.</w:t>
      </w:r>
    </w:p>
    <w:p>
      <w:pPr>
        <w:pStyle w:val="Heading3"/>
      </w:pPr>
      <w:r>
        <w:t>2.2.1 Runtime lane and endpoint identity</w:t>
      </w:r>
    </w:p>
    <w:p>
      <w:r>
        <w:t>A runtime endpoint MUST NOT be treated as runtime identity. A port, socket, or URL is a transport locator only. Logical ownership MUST derive from the applicable identifiers and authority context, including runtime_id, lane_id, mode, session_instance_id, task_id, run_id, run_epoch, and credential/security context. Endpoint reassignment MUST NOT change logical runtime identity.</w:t>
      </w:r>
    </w:p>
    <w:p>
      <w:r>
        <w:t>The first multi-endpoint release MUST isolate independent lanes as separate Jack OS processes. Port numbers MUST NOT be documented as permanent mode identities.</w:t>
      </w:r>
    </w:p>
    <w:p>
      <w:pPr>
        <w:pStyle w:val="Heading3"/>
      </w:pPr>
      <w:r>
        <w:t>2.2.2 Endpoint binding and fallback</w:t>
      </w:r>
    </w:p>
    <w:p>
      <w:r>
        <w:t>Jack MUST first attempt the configured preferred loopback endpoint. On recoverable EADDRINUSE, Jack MAY use an OS-assigned loopback endpoint when fallback is enabled. The fallback MUST use the already-bound socket and MUST NOT scan for a free port and later bind it. Fallback-disabled collision MUST remain a hard bind failure.</w:t>
      </w:r>
    </w:p>
    <w:p>
      <w:pPr>
        <w:pStyle w:val="Heading3"/>
      </w:pPr>
      <w:r>
        <w:t>2.2.3 Runtime registry, duplicate ownership, and liveness</w:t>
      </w:r>
    </w:p>
    <w:p>
      <w:r>
        <w:t>Runtime manifests SHOULD publish runtime/lane identity, mode, process identity, preferred/actual endpoint, fallback state, backend configuration, and process-local concurrency information. Registry state is discovery/observability evidence and MUST NOT be treated as ultimate runtime authority.</w:t>
      </w:r>
    </w:p>
    <w:p>
      <w:r>
        <w:t>A stale or non-ready manifest status MUST NOT override successful positive live runtime identity verification. A named Pi provider MUST locate the candidate endpoint, contact the live runtime, verify /health.runtime_id equals the expected runtime_id, and MUST NOT register against a mismatched live runtime. Duplicate live runtime_id ownership MUST be rejected. Stale identity MAY be reclaimed after OS-appropriate liveness checking establishes that the prior owner is gone.</w:t>
      </w:r>
    </w:p>
    <w:p>
      <w:pPr>
        <w:pStyle w:val="Heading3"/>
      </w:pPr>
      <w:r>
        <w:t>2.2.4 Named privileged-worker binding</w:t>
      </w:r>
    </w:p>
    <w:p>
      <w:r>
        <w:t>A Jack lane exercising privileged worker capabilities MUST be positively bound to its named Pi worker/bridge identity and credential. The worker/provider side MUST separately bind to the owning Jack runtime_id, resolve its current endpoint, positively verify live identity, and only then register/use the provider. Endpoint fallback MUST NOT change logical binding. Multiple lanes MUST NOT implicitly share one privileged worker context in this release.</w:t>
      </w:r>
    </w:p>
    <w:p>
      <w:pPr>
        <w:pStyle w:val="Heading3"/>
      </w:pPr>
      <w:r>
        <w:t>2.2.5 Client disconnect and explicit cancellation</w:t>
      </w:r>
    </w:p>
    <w:p>
      <w:r>
        <w:t>Client disconnect MUST NOT, by itself, constitute cognition-cancellation authority. A vanished HTTP client establishes a transport fact only. A valid Jack run SHOULD continue through normal cognition, freeze, commit, and settlement unless a separate explicit authorized cancellation or hard deterministic authority/security/integrity condition requires termination.</w:t>
      </w:r>
    </w:p>
    <w:p>
      <w:r>
        <w:t>Explicit orchestration cancellation remains separate run/task authority. Client transport state MUST NOT be silently promoted into cancellation authority.</w:t>
      </w:r>
    </w:p>
    <w:p>
      <w:pPr>
        <w:pStyle w:val="Heading3"/>
      </w:pPr>
      <w:r>
        <w:t>2.2.6 Runtime activity observability and degraded telemetry</w:t>
      </w:r>
    </w:p>
    <w:p>
      <w:r>
        <w:t>Jack SHALL expose authenticated process-local runtime activity at GET /jack/runtime/status. Runtime activity telemetry MUST remain out-of-band and MUST NOT be projected into model context or treated as stage, answer, commit, cancellation, or execution authority.</w:t>
      </w:r>
    </w:p>
    <w:p>
      <w:r>
        <w:t>Telemetry failures MUST NOT cancel cognition, alter cognition, rewrite output, block freeze, block commit, replace the actual model exception, change stage authority, or turn otherwise valid work into failed work. Telemetry registration, update, finalization, or snapshot failure MUST be isolated from cognition.</w:t>
      </w:r>
    </w:p>
    <w:p>
      <w:r>
        <w:t>When activity state is trustworthy, telemetry_status MAY report ok. When it is not trustworthy, telemetry_status MUST report degraded and affected activity MUST be represented as unknown or an equivalent truthful unknown value. Degraded telemetry MUST NOT fabricate idle, busy, completed, or another known state.</w:t>
      </w:r>
    </w:p>
    <w:p>
      <w:pPr>
        <w:pStyle w:val="Heading3"/>
      </w:pPr>
      <w:r>
        <w:t>2.2.7 Authority failures versus recoverable infrastructure</w:t>
      </w:r>
    </w:p>
    <w:p>
      <w:r>
        <w:t>Jack MUST remain strict about deterministic truth, identity, credentials, run ownership, security, integrity, and irreversible consequences. Wrong token, wrong bridge/runtime identity, duplicate live runtime ownership, wrong run/epoch authority, hard security/DLP violations, unauthorized irreversible effects, and unrecoverable integrity violations MAY require deterministic rejection, stop, or disposal.</w:t>
      </w:r>
    </w:p>
    <w:p>
      <w:r>
        <w:t>Occupied preferred ports, endpoint movement, stale observational status, telemetry failure, client transport disconnect, and comparable recoverable routing/monitoring failures MUST NOT automatically acquire authority to destroy otherwise valid cognition. Implementations SHOULD preserve useful work through recoverable infrastructure failure while reporting uncertainty truthfully.</w:t>
      </w:r>
    </w:p>
    <w:p>
      <w:pPr>
        <w:pStyle w:val="Heading3"/>
      </w:pPr>
      <w:r>
        <w:t>2.2.8 Backend admission boundary</w:t>
      </w:r>
    </w:p>
    <w:p>
      <w:r>
        <w:t>JACK_MAX_CONCURRENT and the ordinary Jack inference semaphore are process-local. Process-local concurrency MUST NOT be represented as fleet-wide backend admission qualification. Multi-lane availability MUST NOT be interpreted as proof of unconstrained backend execution or physically simultaneous GPU generation.</w:t>
      </w:r>
    </w:p>
    <w:p>
      <w:r>
        <w:t>This release DOES NOT implement a global scheduler, automatic lane/mode selector, cross-process GPU scheduler, detached-job framework, automatic workload balancing, shared multi-tenant privileged worker, or arbitrary in-process lane multiplexer.</w:t>
      </w:r>
    </w:p>
    <w:p>
      <w:pPr>
        <w:pStyle w:val="Heading3"/>
      </w:pPr>
      <w:r>
        <w:t>2.2.9 Cognition-contract preservation and acceptance boundary</w:t>
      </w:r>
    </w:p>
    <w:p>
      <w:r>
        <w:t>The multi-endpoint feature changes runtime topology, discovery, identity, binding, and observability. It MUST NOT be interpreted as changing Deep Research, Agentic, Code Debugging, Preserve Thinking, Jack XML, stage authority, freeze/commit, tool authority, evidence epochs, or durability semantics.</w:t>
      </w:r>
    </w:p>
    <w:p>
      <w:r>
        <w:t>Qualification established the changed topology and authority boundaries across multiple live runtimes, fallback, isolation, identity, worker binding, and end-to-end Agentic/Deep Research execution. It does not establish semantic correctness or unlimited physical backend concurrency.</w:t>
      </w:r>
    </w:p>
    <w:p>
      <w:r>
        <w:t>Evidence clarification: any earlier accepted wording in this specification that could be read as proving physically simultaneous GPU generation is preserved for historical integrity but is normatively narrowed by this section to request coexistence/shared-infrastructure evidence unless a backend-specific test separately proves physical parallel generation.</w:t>
      </w:r>
    </w:p>
    <w:p>
      <w:pPr>
        <w:pStyle w:val="Heading1"/>
      </w:pPr>
      <w:r>
        <w:t>3. Backend Profiles and Model Identity</w:t>
      </w:r>
    </w:p>
    <w:p>
      <w:pPr>
        <w:pStyle w:val="ListBullet"/>
      </w:pPr>
      <w:r>
        <w:t>Default virtual caller-facing model ID is jack-kernel.</w:t>
      </w:r>
    </w:p>
    <w:p>
      <w:pPr>
        <w:pStyle w:val="ListBullet"/>
      </w:pPr>
      <w:r>
        <w:t>The runtime contains first-class presets for LM Studio (default), Ollama, Jan.ai, raw llama.cpp llama-server, and a Custom OpenAI-compatible endpoint suitable for vLLM or other compatible servers.</w:t>
      </w:r>
    </w:p>
    <w:p>
      <w:pPr>
        <w:pStyle w:val="ListBullet"/>
      </w:pPr>
      <w:r>
        <w:t>LM Studio AUTO-DETECT resolves actually loaded model instances; zero loaded instances fail and multiple loaded instances require explicit selection. A stale/unloaded configured LM Studio identifier is rejected.</w:t>
      </w:r>
    </w:p>
    <w:p>
      <w:pPr>
        <w:pStyle w:val="ListBullet"/>
      </w:pPr>
      <w:r>
        <w:t>For other compatible backends, model selection is backend configuration and does not become caller authority merely because the OpenAI model field changes.</w:t>
      </w:r>
    </w:p>
    <w:p>
      <w:pPr>
        <w:pStyle w:val="ListBullet"/>
      </w:pPr>
      <w:r>
        <w:t>Agentic and Deep Research staged modes require a backend that can preserve native thinking across successive calls inside one active turn. Jack's Qwen control path can set enable_thinking, preserve_thinking, and, when supported, graded reasoning_effort. Agentic specifically requires faithful immediate Stage-1 -&gt; Stage-2 native-reasoning round-trip; that preserved reasoning is consumed by Stage 2 while the current cognitive episode is still locally coherent and is then retired after commit. Preserve Thinking is not Agentic's cross-turn memory mechanism. Deep Research uses Preserve Thinking across Thesis, Antithesis, and Synthesis so each later stage receives the complete active-turn cognitive trajectory. OpenAI-compatible transport alone does not establish these semantic guarantees.</w:t>
      </w:r>
    </w:p>
    <w:p>
      <w:pPr/>
      <w:r>
        <w:t>Agentic additionally has a semantic capability requirement. Preserve-Thinking transport is necessary but not sufficient: the Qwen-family or Qwen-compatible model must reliably re-encode the completed current-turn cognitive episode into strongly semantic roles while distinguishing evidence from claims, deterministic verification from reasoning, prospective challenge from discovered error, and legitimate uncertainty from manufactured caveats. v0.1.1 therefore treats Agentic as a capable-Qwen multi-turn research mode whose semantic-consolidation quality requires model-specific validation.</w:t>
      </w:r>
    </w:p>
    <w:p>
      <w:pPr/>
      <w:r>
        <w:t>Backend compatibility fallback is stateful across retries. If Jack removes an unsupported request field such as min_p or stream_options after a compatibility response, the adjusted payload becomes the current payload for that request. Any later transient HTTP 5xx retry MUST reuse that compatibility-adjusted payload rather than resurrecting fields already removed.</w:t>
      </w:r>
    </w:p>
    <w:p>
      <w:pPr>
        <w:pStyle w:val="Heading1"/>
      </w:pPr>
      <w:r>
        <w:t>4. Reasoning Profiles and Selector Order</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936"/>
            <w:vAlign w:val="center"/>
            <w:tcMar>
              <w:top w:w="70" w:type="dxa"/>
              <w:start w:w="85" w:type="dxa"/>
              <w:bottom w:w="70" w:type="dxa"/>
              <w:end w:w="85" w:type="dxa"/>
            </w:tcMar>
            <w:shd w:fill="172033"/>
          </w:tcPr>
          <w:p>
            <w:r>
              <w:rPr>
                <w:b/>
                <w:color w:val="FFFFFF"/>
              </w:rPr>
              <w:t>Selector</w:t>
            </w:r>
          </w:p>
        </w:tc>
        <w:tc>
          <w:tcPr>
            <w:tcW w:type="dxa" w:w="2232"/>
            <w:vAlign w:val="center"/>
            <w:tcMar>
              <w:top w:w="70" w:type="dxa"/>
              <w:start w:w="85" w:type="dxa"/>
              <w:bottom w:w="70" w:type="dxa"/>
              <w:end w:w="85" w:type="dxa"/>
            </w:tcMar>
            <w:shd w:fill="172033"/>
          </w:tcPr>
          <w:p>
            <w:r>
              <w:rPr>
                <w:b/>
                <w:color w:val="FFFFFF"/>
              </w:rPr>
              <w:t>Mode</w:t>
            </w:r>
          </w:p>
        </w:tc>
        <w:tc>
          <w:tcPr>
            <w:tcW w:type="dxa" w:w="1368"/>
            <w:vAlign w:val="center"/>
            <w:tcMar>
              <w:top w:w="70" w:type="dxa"/>
              <w:start w:w="85" w:type="dxa"/>
              <w:bottom w:w="70" w:type="dxa"/>
              <w:end w:w="85" w:type="dxa"/>
            </w:tcMar>
            <w:shd w:fill="172033"/>
          </w:tcPr>
          <w:p>
            <w:r>
              <w:rPr>
                <w:b/>
                <w:color w:val="FFFFFF"/>
              </w:rPr>
              <w:t>Executable</w:t>
            </w:r>
          </w:p>
        </w:tc>
        <w:tc>
          <w:tcPr>
            <w:tcW w:type="dxa" w:w="5112"/>
            <w:vAlign w:val="center"/>
            <w:tcMar>
              <w:top w:w="70" w:type="dxa"/>
              <w:start w:w="85" w:type="dxa"/>
              <w:bottom w:w="70" w:type="dxa"/>
              <w:end w:w="85" w:type="dxa"/>
            </w:tcMar>
            <w:shd w:fill="172033"/>
          </w:tcPr>
          <w:p>
            <w:r>
              <w:rPr>
                <w:b/>
                <w:color w:val="FFFFFF"/>
              </w:rPr>
              <w:t>Current v0.1.1 role</w:t>
            </w:r>
          </w:p>
        </w:tc>
      </w:tr>
      <w:tr>
        <w:trPr>
          <w:cantSplit/>
        </w:trPr>
        <w:tc>
          <w:tcPr>
            <w:tcW w:type="dxa" w:w="936"/>
            <w:vAlign w:val="center"/>
            <w:tcMar>
              <w:top w:w="70" w:type="dxa"/>
              <w:start w:w="85" w:type="dxa"/>
              <w:bottom w:w="70" w:type="dxa"/>
              <w:end w:w="85" w:type="dxa"/>
            </w:tcMar>
          </w:tcPr>
          <w:p>
            <w:r>
              <w:t>1</w:t>
            </w:r>
          </w:p>
        </w:tc>
        <w:tc>
          <w:tcPr>
            <w:tcW w:type="dxa" w:w="2232"/>
            <w:vAlign w:val="center"/>
            <w:tcMar>
              <w:top w:w="70" w:type="dxa"/>
              <w:start w:w="85" w:type="dxa"/>
              <w:bottom w:w="70" w:type="dxa"/>
              <w:end w:w="85" w:type="dxa"/>
            </w:tcMar>
          </w:tcPr>
          <w:p>
            <w:r>
              <w:t>Off</w:t>
            </w:r>
          </w:p>
        </w:tc>
        <w:tc>
          <w:tcPr>
            <w:tcW w:type="dxa" w:w="1368"/>
            <w:vAlign w:val="center"/>
            <w:tcMar>
              <w:top w:w="70" w:type="dxa"/>
              <w:start w:w="85" w:type="dxa"/>
              <w:bottom w:w="70" w:type="dxa"/>
              <w:end w:w="85" w:type="dxa"/>
            </w:tcMar>
          </w:tcPr>
          <w:p>
            <w:r>
              <w:t>Yes</w:t>
            </w:r>
          </w:p>
        </w:tc>
        <w:tc>
          <w:tcPr>
            <w:tcW w:type="dxa" w:w="5112"/>
            <w:vAlign w:val="center"/>
            <w:tcMar>
              <w:top w:w="70" w:type="dxa"/>
              <w:start w:w="85" w:type="dxa"/>
              <w:bottom w:w="70" w:type="dxa"/>
              <w:end w:w="85" w:type="dxa"/>
            </w:tcMar>
          </w:tcPr>
          <w:p>
            <w:r>
              <w:t>Direct native thinking-OFF answer.</w:t>
            </w:r>
          </w:p>
        </w:tc>
      </w:tr>
      <w:tr>
        <w:trPr>
          <w:cantSplit/>
        </w:trPr>
        <w:tc>
          <w:tcPr>
            <w:tcW w:type="dxa" w:w="936"/>
            <w:vAlign w:val="center"/>
            <w:tcMar>
              <w:top w:w="70" w:type="dxa"/>
              <w:start w:w="85" w:type="dxa"/>
              <w:bottom w:w="70" w:type="dxa"/>
              <w:end w:w="85" w:type="dxa"/>
            </w:tcMar>
            <w:shd w:fill="F2F5F9"/>
          </w:tcPr>
          <w:p>
            <w:r>
              <w:t>2</w:t>
            </w:r>
          </w:p>
        </w:tc>
        <w:tc>
          <w:tcPr>
            <w:tcW w:type="dxa" w:w="2232"/>
            <w:vAlign w:val="center"/>
            <w:tcMar>
              <w:top w:w="70" w:type="dxa"/>
              <w:start w:w="85" w:type="dxa"/>
              <w:bottom w:w="70" w:type="dxa"/>
              <w:end w:w="85" w:type="dxa"/>
            </w:tcMar>
            <w:shd w:fill="F2F5F9"/>
          </w:tcPr>
          <w:p>
            <w:r>
              <w:t>Low</w:t>
            </w:r>
          </w:p>
        </w:tc>
        <w:tc>
          <w:tcPr>
            <w:tcW w:type="dxa" w:w="1368"/>
            <w:vAlign w:val="center"/>
            <w:tcMar>
              <w:top w:w="70" w:type="dxa"/>
              <w:start w:w="85" w:type="dxa"/>
              <w:bottom w:w="70" w:type="dxa"/>
              <w:end w:w="85" w:type="dxa"/>
            </w:tcMar>
            <w:shd w:fill="F2F5F9"/>
          </w:tcPr>
          <w:p>
            <w:r>
              <w:t>No</w:t>
            </w:r>
          </w:p>
        </w:tc>
        <w:tc>
          <w:tcPr>
            <w:tcW w:type="dxa" w:w="5112"/>
            <w:vAlign w:val="center"/>
            <w:tcMar>
              <w:top w:w="70" w:type="dxa"/>
              <w:start w:w="85" w:type="dxa"/>
              <w:bottom w:w="70" w:type="dxa"/>
              <w:end w:w="85" w:type="dxa"/>
            </w:tcMar>
            <w:shd w:fill="F2F5F9"/>
          </w:tcPr>
          <w:p>
            <w:r>
              <w:t>Visible for continuity; execution disabled.</w:t>
            </w:r>
          </w:p>
        </w:tc>
      </w:tr>
      <w:tr>
        <w:trPr>
          <w:cantSplit/>
        </w:trPr>
        <w:tc>
          <w:tcPr>
            <w:tcW w:type="dxa" w:w="936"/>
            <w:vAlign w:val="center"/>
            <w:tcMar>
              <w:top w:w="70" w:type="dxa"/>
              <w:start w:w="85" w:type="dxa"/>
              <w:bottom w:w="70" w:type="dxa"/>
              <w:end w:w="85" w:type="dxa"/>
            </w:tcMar>
          </w:tcPr>
          <w:p>
            <w:r>
              <w:t>3</w:t>
            </w:r>
          </w:p>
        </w:tc>
        <w:tc>
          <w:tcPr>
            <w:tcW w:type="dxa" w:w="2232"/>
            <w:vAlign w:val="center"/>
            <w:tcMar>
              <w:top w:w="70" w:type="dxa"/>
              <w:start w:w="85" w:type="dxa"/>
              <w:bottom w:w="70" w:type="dxa"/>
              <w:end w:w="85" w:type="dxa"/>
            </w:tcMar>
          </w:tcPr>
          <w:p>
            <w:r>
              <w:t>Medium</w:t>
            </w:r>
          </w:p>
        </w:tc>
        <w:tc>
          <w:tcPr>
            <w:tcW w:type="dxa" w:w="1368"/>
            <w:vAlign w:val="center"/>
            <w:tcMar>
              <w:top w:w="70" w:type="dxa"/>
              <w:start w:w="85" w:type="dxa"/>
              <w:bottom w:w="70" w:type="dxa"/>
              <w:end w:w="85" w:type="dxa"/>
            </w:tcMar>
          </w:tcPr>
          <w:p>
            <w:r>
              <w:t>Yes</w:t>
            </w:r>
          </w:p>
        </w:tc>
        <w:tc>
          <w:tcPr>
            <w:tcW w:type="dxa" w:w="5112"/>
            <w:vAlign w:val="center"/>
            <w:tcMar>
              <w:top w:w="70" w:type="dxa"/>
              <w:start w:w="85" w:type="dxa"/>
              <w:bottom w:w="70" w:type="dxa"/>
              <w:end w:w="85" w:type="dxa"/>
            </w:tcMar>
          </w:tcPr>
          <w:p>
            <w:r>
              <w:t>Direct native Medium reasoning.</w:t>
            </w:r>
          </w:p>
        </w:tc>
      </w:tr>
      <w:tr>
        <w:trPr>
          <w:cantSplit/>
        </w:trPr>
        <w:tc>
          <w:tcPr>
            <w:tcW w:type="dxa" w:w="936"/>
            <w:vAlign w:val="center"/>
            <w:tcMar>
              <w:top w:w="70" w:type="dxa"/>
              <w:start w:w="85" w:type="dxa"/>
              <w:bottom w:w="70" w:type="dxa"/>
              <w:end w:w="85" w:type="dxa"/>
            </w:tcMar>
            <w:shd w:fill="F2F5F9"/>
          </w:tcPr>
          <w:p>
            <w:r>
              <w:t>4</w:t>
            </w:r>
          </w:p>
        </w:tc>
        <w:tc>
          <w:tcPr>
            <w:tcW w:type="dxa" w:w="2232"/>
            <w:vAlign w:val="center"/>
            <w:tcMar>
              <w:top w:w="70" w:type="dxa"/>
              <w:start w:w="85" w:type="dxa"/>
              <w:bottom w:w="70" w:type="dxa"/>
              <w:end w:w="85" w:type="dxa"/>
            </w:tcMar>
            <w:shd w:fill="F2F5F9"/>
          </w:tcPr>
          <w:p>
            <w:r>
              <w:t>X-High</w:t>
            </w:r>
          </w:p>
        </w:tc>
        <w:tc>
          <w:tcPr>
            <w:tcW w:type="dxa" w:w="1368"/>
            <w:vAlign w:val="center"/>
            <w:tcMar>
              <w:top w:w="70" w:type="dxa"/>
              <w:start w:w="85" w:type="dxa"/>
              <w:bottom w:w="70" w:type="dxa"/>
              <w:end w:w="85" w:type="dxa"/>
            </w:tcMar>
            <w:shd w:fill="F2F5F9"/>
          </w:tcPr>
          <w:p>
            <w:r>
              <w:t>Yes</w:t>
            </w:r>
          </w:p>
        </w:tc>
        <w:tc>
          <w:tcPr>
            <w:tcW w:type="dxa" w:w="5112"/>
            <w:vAlign w:val="center"/>
            <w:tcMar>
              <w:top w:w="70" w:type="dxa"/>
              <w:start w:w="85" w:type="dxa"/>
              <w:bottom w:w="70" w:type="dxa"/>
              <w:end w:w="85" w:type="dxa"/>
            </w:tcMar>
            <w:shd w:fill="F2F5F9"/>
          </w:tcPr>
          <w:p>
            <w:r>
              <w:t>Direct native X-High; fresh launcher default.</w:t>
            </w:r>
          </w:p>
        </w:tc>
      </w:tr>
      <w:tr>
        <w:trPr>
          <w:cantSplit/>
        </w:trPr>
        <w:tc>
          <w:tcPr>
            <w:tcW w:type="dxa" w:w="936"/>
            <w:vAlign w:val="center"/>
            <w:tcMar>
              <w:top w:w="70" w:type="dxa"/>
              <w:start w:w="85" w:type="dxa"/>
              <w:bottom w:w="70" w:type="dxa"/>
              <w:end w:w="85" w:type="dxa"/>
            </w:tcMar>
          </w:tcPr>
          <w:p>
            <w:r>
              <w:t>5</w:t>
            </w:r>
          </w:p>
        </w:tc>
        <w:tc>
          <w:tcPr>
            <w:tcW w:type="dxa" w:w="2232"/>
            <w:vAlign w:val="center"/>
            <w:tcMar>
              <w:top w:w="70" w:type="dxa"/>
              <w:start w:w="85" w:type="dxa"/>
              <w:bottom w:w="70" w:type="dxa"/>
              <w:end w:w="85" w:type="dxa"/>
            </w:tcMar>
          </w:tcPr>
          <w:p>
            <w:r>
              <w:t>Deep Research</w:t>
            </w:r>
          </w:p>
        </w:tc>
        <w:tc>
          <w:tcPr>
            <w:tcW w:type="dxa" w:w="1368"/>
            <w:vAlign w:val="center"/>
            <w:tcMar>
              <w:top w:w="70" w:type="dxa"/>
              <w:start w:w="85" w:type="dxa"/>
              <w:bottom w:w="70" w:type="dxa"/>
              <w:end w:w="85" w:type="dxa"/>
            </w:tcMar>
          </w:tcPr>
          <w:p>
            <w:r>
              <w:t>Yes</w:t>
            </w:r>
          </w:p>
        </w:tc>
        <w:tc>
          <w:tcPr>
            <w:tcW w:type="dxa" w:w="5112"/>
            <w:vAlign w:val="center"/>
            <w:tcMar>
              <w:top w:w="70" w:type="dxa"/>
              <w:start w:w="85" w:type="dxa"/>
              <w:bottom w:w="70" w:type="dxa"/>
              <w:end w:w="85" w:type="dxa"/>
            </w:tcMar>
          </w:tcPr>
          <w:p>
            <w:r>
              <w:t>Three-stage Preserve-Thinking Thesis -&gt; Antithesis -&gt; Synthesis. Thesis X-High @ 0.85; Antithesis Medium @ 0.70; Synthesis X-High @ 0.70. Tools absent/OFF/caller-supplied. Host max_tokens 100000/20000/100000. Full active cognition through Synthesis; later retire R1/R2 native reasoning only.</w:t>
            </w:r>
          </w:p>
        </w:tc>
      </w:tr>
      <w:tr>
        <w:trPr>
          <w:cantSplit/>
        </w:trPr>
        <w:tc>
          <w:tcPr>
            <w:tcW w:type="dxa" w:w="936"/>
            <w:vAlign w:val="center"/>
            <w:tcMar>
              <w:top w:w="70" w:type="dxa"/>
              <w:start w:w="85" w:type="dxa"/>
              <w:bottom w:w="70" w:type="dxa"/>
              <w:end w:w="85" w:type="dxa"/>
            </w:tcMar>
            <w:shd w:fill="F2F5F9"/>
          </w:tcPr>
          <w:p>
            <w:r>
              <w:t>6</w:t>
            </w:r>
          </w:p>
        </w:tc>
        <w:tc>
          <w:tcPr>
            <w:tcW w:type="dxa" w:w="2232"/>
            <w:vAlign w:val="center"/>
            <w:tcMar>
              <w:top w:w="70" w:type="dxa"/>
              <w:start w:w="85" w:type="dxa"/>
              <w:bottom w:w="70" w:type="dxa"/>
              <w:end w:w="85" w:type="dxa"/>
            </w:tcMar>
            <w:shd w:fill="F2F5F9"/>
          </w:tcPr>
          <w:p>
            <w:r>
              <w:t>Agentic</w:t>
            </w:r>
          </w:p>
        </w:tc>
        <w:tc>
          <w:tcPr>
            <w:tcW w:type="dxa" w:w="1368"/>
            <w:vAlign w:val="center"/>
            <w:tcMar>
              <w:top w:w="70" w:type="dxa"/>
              <w:start w:w="85" w:type="dxa"/>
              <w:bottom w:w="70" w:type="dxa"/>
              <w:end w:w="85" w:type="dxa"/>
            </w:tcMar>
            <w:shd w:fill="F2F5F9"/>
          </w:tcPr>
          <w:p>
            <w:r>
              <w:t>Yes</w:t>
            </w:r>
          </w:p>
        </w:tc>
        <w:tc>
          <w:tcPr>
            <w:tcW w:type="dxa" w:w="5112"/>
            <w:vAlign w:val="center"/>
            <w:tcMar>
              <w:top w:w="70" w:type="dxa"/>
              <w:start w:w="85" w:type="dxa"/>
              <w:bottom w:w="70" w:type="dxa"/>
              <w:end w:w="85" w:type="dxa"/>
            </w:tcMar>
            <w:shd w:fill="F2F5F9"/>
          </w:tcPr>
          <w:p>
            <w:r>
              <w:t>Qwen Preserve-Thinking frozen-A1 + strongly semantic four-block Jack XML consolidation; completed exact user + XML+A1 capsules survive cross-turn while raw native thinking/tool protocol does not. Requires both preserve_thinking compatibility and sufficient semantic capability.</w:t>
            </w:r>
          </w:p>
        </w:tc>
      </w:tr>
      <w:tr>
        <w:trPr>
          <w:cantSplit/>
        </w:trPr>
        <w:tc>
          <w:tcPr>
            <w:tcW w:type="dxa" w:w="936"/>
            <w:vAlign w:val="center"/>
            <w:tcMar>
              <w:top w:w="70" w:type="dxa"/>
              <w:start w:w="85" w:type="dxa"/>
              <w:bottom w:w="70" w:type="dxa"/>
              <w:end w:w="85" w:type="dxa"/>
            </w:tcMar>
          </w:tcPr>
          <w:p>
            <w:r>
              <w:t>7</w:t>
            </w:r>
          </w:p>
        </w:tc>
        <w:tc>
          <w:tcPr>
            <w:tcW w:type="dxa" w:w="2232"/>
            <w:vAlign w:val="center"/>
            <w:tcMar>
              <w:top w:w="70" w:type="dxa"/>
              <w:start w:w="85" w:type="dxa"/>
              <w:bottom w:w="70" w:type="dxa"/>
              <w:end w:w="85" w:type="dxa"/>
            </w:tcMar>
          </w:tcPr>
          <w:p>
            <w:r>
              <w:t>Code Debugging</w:t>
            </w:r>
          </w:p>
        </w:tc>
        <w:tc>
          <w:tcPr>
            <w:tcW w:type="dxa" w:w="1368"/>
            <w:vAlign w:val="center"/>
            <w:tcMar>
              <w:top w:w="70" w:type="dxa"/>
              <w:start w:w="85" w:type="dxa"/>
              <w:bottom w:w="70" w:type="dxa"/>
              <w:end w:w="85" w:type="dxa"/>
            </w:tcMar>
          </w:tcPr>
          <w:p>
            <w:r>
              <w:t>Yes</w:t>
            </w:r>
          </w:p>
        </w:tc>
        <w:tc>
          <w:tcPr>
            <w:tcW w:type="dxa" w:w="5112"/>
            <w:vAlign w:val="center"/>
            <w:tcMar>
              <w:top w:w="70" w:type="dxa"/>
              <w:start w:w="85" w:type="dxa"/>
              <w:bottom w:w="70" w:type="dxa"/>
              <w:end w:w="85" w:type="dxa"/>
            </w:tcMar>
          </w:tcPr>
          <w:p>
            <w:r>
              <w:t>Standard Code Debugging: Medium reasoning. Pre-pass -&gt; exact Pass 0 -&gt; five fresh one-problem audits at cascading temperatures -&gt; fresh final reporter; host-derived prior-finding registry only for Passes 2-5.</w:t>
            </w:r>
          </w:p>
        </w:tc>
      </w:tr>
      <w:tr>
        <w:tc>
          <w:tcPr>
            <w:tcW w:type="dxa" w:w="2498"/>
          </w:tcPr>
          <w:p>
            <w:r>
              <w:t>8</w:t>
            </w:r>
          </w:p>
        </w:tc>
        <w:tc>
          <w:tcPr>
            <w:tcW w:type="dxa" w:w="2498"/>
          </w:tcPr>
          <w:p>
            <w:r>
              <w:t>Code Debugging (Deep)</w:t>
            </w:r>
          </w:p>
        </w:tc>
        <w:tc>
          <w:tcPr>
            <w:tcW w:type="dxa" w:w="2498"/>
          </w:tcPr>
          <w:p>
            <w:r>
              <w:t>Yes</w:t>
            </w:r>
          </w:p>
        </w:tc>
        <w:tc>
          <w:tcPr>
            <w:tcW w:type="dxa" w:w="2498"/>
          </w:tcPr>
          <w:p>
            <w:r>
              <w:t>Same debugging topology as Standard with X-High reasoning; reasoning effort is the only mode-level difference.</w:t>
            </w:r>
          </w:p>
        </w:tc>
      </w:tr>
    </w:tbl>
    <w:p>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4320"/>
            <w:vAlign w:val="center"/>
            <w:tcMar>
              <w:top w:w="70" w:type="dxa"/>
              <w:start w:w="85" w:type="dxa"/>
              <w:bottom w:w="70" w:type="dxa"/>
              <w:end w:w="85" w:type="dxa"/>
            </w:tcMar>
            <w:shd w:fill="172033"/>
          </w:tcPr>
          <w:p>
            <w:r>
              <w:rPr>
                <w:b/>
                <w:color w:val="FFFFFF"/>
              </w:rPr>
              <w:t>Mode / stage</w:t>
            </w:r>
          </w:p>
        </w:tc>
        <w:tc>
          <w:tcPr>
            <w:tcW w:type="dxa" w:w="1584"/>
            <w:vAlign w:val="center"/>
            <w:tcMar>
              <w:top w:w="70" w:type="dxa"/>
              <w:start w:w="85" w:type="dxa"/>
              <w:bottom w:w="70" w:type="dxa"/>
              <w:end w:w="85" w:type="dxa"/>
            </w:tcMar>
            <w:shd w:fill="172033"/>
          </w:tcPr>
          <w:p>
            <w:r>
              <w:rPr>
                <w:b/>
                <w:color w:val="FFFFFF"/>
              </w:rPr>
              <w:t>Reasoning</w:t>
            </w:r>
          </w:p>
        </w:tc>
        <w:tc>
          <w:tcPr>
            <w:tcW w:type="dxa" w:w="1728"/>
            <w:vAlign w:val="center"/>
            <w:tcMar>
              <w:top w:w="70" w:type="dxa"/>
              <w:start w:w="85" w:type="dxa"/>
              <w:bottom w:w="70" w:type="dxa"/>
              <w:end w:w="85" w:type="dxa"/>
            </w:tcMar>
            <w:shd w:fill="172033"/>
          </w:tcPr>
          <w:p>
            <w:r>
              <w:rPr>
                <w:b/>
                <w:color w:val="FFFFFF"/>
              </w:rPr>
              <w:t>Temperature</w:t>
            </w:r>
          </w:p>
        </w:tc>
        <w:tc>
          <w:tcPr>
            <w:tcW w:type="dxa" w:w="2015"/>
            <w:vAlign w:val="center"/>
            <w:tcMar>
              <w:top w:w="70" w:type="dxa"/>
              <w:start w:w="85" w:type="dxa"/>
              <w:bottom w:w="70" w:type="dxa"/>
              <w:end w:w="85" w:type="dxa"/>
            </w:tcMar>
            <w:shd w:fill="172033"/>
          </w:tcPr>
          <w:p>
            <w:r>
              <w:rPr>
                <w:b/>
                <w:color w:val="FFFFFF"/>
              </w:rPr>
              <w:t>Tools</w:t>
            </w:r>
          </w:p>
        </w:tc>
      </w:tr>
      <w:tr>
        <w:trPr>
          <w:cantSplit/>
        </w:trPr>
        <w:tc>
          <w:tcPr>
            <w:tcW w:type="dxa" w:w="4320"/>
            <w:vAlign w:val="center"/>
            <w:tcMar>
              <w:top w:w="70" w:type="dxa"/>
              <w:start w:w="85" w:type="dxa"/>
              <w:bottom w:w="70" w:type="dxa"/>
              <w:end w:w="85" w:type="dxa"/>
            </w:tcMar>
          </w:tcPr>
          <w:p>
            <w:r>
              <w:t>Off native</w:t>
            </w:r>
          </w:p>
        </w:tc>
        <w:tc>
          <w:tcPr>
            <w:tcW w:type="dxa" w:w="1584"/>
            <w:vAlign w:val="center"/>
            <w:tcMar>
              <w:top w:w="70" w:type="dxa"/>
              <w:start w:w="85" w:type="dxa"/>
              <w:bottom w:w="70" w:type="dxa"/>
              <w:end w:w="85" w:type="dxa"/>
            </w:tcMar>
          </w:tcPr>
          <w:p>
            <w:r>
              <w:t>Off</w:t>
            </w:r>
          </w:p>
        </w:tc>
        <w:tc>
          <w:tcPr>
            <w:tcW w:type="dxa" w:w="1728"/>
            <w:vAlign w:val="center"/>
            <w:tcMar>
              <w:top w:w="70" w:type="dxa"/>
              <w:start w:w="85" w:type="dxa"/>
              <w:bottom w:w="70" w:type="dxa"/>
              <w:end w:w="85" w:type="dxa"/>
            </w:tcMar>
          </w:tcPr>
          <w:p>
            <w:r>
              <w:t>0.70</w:t>
            </w:r>
          </w:p>
        </w:tc>
        <w:tc>
          <w:tcPr>
            <w:tcW w:type="dxa" w:w="2015"/>
            <w:vAlign w:val="center"/>
            <w:tcMar>
              <w:top w:w="70" w:type="dxa"/>
              <w:start w:w="85" w:type="dxa"/>
              <w:bottom w:w="70" w:type="dxa"/>
              <w:end w:w="85" w:type="dxa"/>
            </w:tcMar>
          </w:tcPr>
          <w:p>
            <w:r>
              <w:t>When supplied</w:t>
            </w:r>
          </w:p>
        </w:tc>
      </w:tr>
      <w:tr>
        <w:trPr>
          <w:cantSplit/>
        </w:trPr>
        <w:tc>
          <w:tcPr>
            <w:tcW w:type="dxa" w:w="4320"/>
            <w:vAlign w:val="center"/>
            <w:tcMar>
              <w:top w:w="70" w:type="dxa"/>
              <w:start w:w="85" w:type="dxa"/>
              <w:bottom w:w="70" w:type="dxa"/>
              <w:end w:w="85" w:type="dxa"/>
            </w:tcMar>
            <w:shd w:fill="F2F5F9"/>
          </w:tcPr>
          <w:p>
            <w:r>
              <w:t>Medium native</w:t>
            </w:r>
          </w:p>
        </w:tc>
        <w:tc>
          <w:tcPr>
            <w:tcW w:type="dxa" w:w="1584"/>
            <w:vAlign w:val="center"/>
            <w:tcMar>
              <w:top w:w="70" w:type="dxa"/>
              <w:start w:w="85" w:type="dxa"/>
              <w:bottom w:w="70" w:type="dxa"/>
              <w:end w:w="85" w:type="dxa"/>
            </w:tcMar>
            <w:shd w:fill="F2F5F9"/>
          </w:tcPr>
          <w:p>
            <w:r>
              <w:t>Medium</w:t>
            </w:r>
          </w:p>
        </w:tc>
        <w:tc>
          <w:tcPr>
            <w:tcW w:type="dxa" w:w="1728"/>
            <w:vAlign w:val="center"/>
            <w:tcMar>
              <w:top w:w="70" w:type="dxa"/>
              <w:start w:w="85" w:type="dxa"/>
              <w:bottom w:w="70" w:type="dxa"/>
              <w:end w:w="85" w:type="dxa"/>
            </w:tcMar>
            <w:shd w:fill="F2F5F9"/>
          </w:tcPr>
          <w:p>
            <w:r>
              <w:t>1.00</w:t>
            </w:r>
          </w:p>
        </w:tc>
        <w:tc>
          <w:tcPr>
            <w:tcW w:type="dxa" w:w="2015"/>
            <w:vAlign w:val="center"/>
            <w:tcMar>
              <w:top w:w="70" w:type="dxa"/>
              <w:start w:w="85" w:type="dxa"/>
              <w:bottom w:w="70" w:type="dxa"/>
              <w:end w:w="85" w:type="dxa"/>
            </w:tcMar>
            <w:shd w:fill="F2F5F9"/>
          </w:tcPr>
          <w:p>
            <w:r>
              <w:t>When supplied</w:t>
            </w:r>
          </w:p>
        </w:tc>
      </w:tr>
      <w:tr>
        <w:trPr>
          <w:cantSplit/>
        </w:trPr>
        <w:tc>
          <w:tcPr>
            <w:tcW w:type="dxa" w:w="4320"/>
            <w:vAlign w:val="center"/>
            <w:tcMar>
              <w:top w:w="70" w:type="dxa"/>
              <w:start w:w="85" w:type="dxa"/>
              <w:bottom w:w="70" w:type="dxa"/>
              <w:end w:w="85" w:type="dxa"/>
            </w:tcMar>
          </w:tcPr>
          <w:p>
            <w:r>
              <w:t>X-High native</w:t>
            </w:r>
          </w:p>
        </w:tc>
        <w:tc>
          <w:tcPr>
            <w:tcW w:type="dxa" w:w="1584"/>
            <w:vAlign w:val="center"/>
            <w:tcMar>
              <w:top w:w="70" w:type="dxa"/>
              <w:start w:w="85" w:type="dxa"/>
              <w:bottom w:w="70" w:type="dxa"/>
              <w:end w:w="85" w:type="dxa"/>
            </w:tcMar>
          </w:tcPr>
          <w:p>
            <w:r>
              <w:t>X-High</w:t>
            </w:r>
          </w:p>
        </w:tc>
        <w:tc>
          <w:tcPr>
            <w:tcW w:type="dxa" w:w="1728"/>
            <w:vAlign w:val="center"/>
            <w:tcMar>
              <w:top w:w="70" w:type="dxa"/>
              <w:start w:w="85" w:type="dxa"/>
              <w:bottom w:w="70" w:type="dxa"/>
              <w:end w:w="85" w:type="dxa"/>
            </w:tcMar>
          </w:tcPr>
          <w:p>
            <w:r>
              <w:t>1.00</w:t>
            </w:r>
          </w:p>
        </w:tc>
        <w:tc>
          <w:tcPr>
            <w:tcW w:type="dxa" w:w="2015"/>
            <w:vAlign w:val="center"/>
            <w:tcMar>
              <w:top w:w="70" w:type="dxa"/>
              <w:start w:w="85" w:type="dxa"/>
              <w:bottom w:w="70" w:type="dxa"/>
              <w:end w:w="85" w:type="dxa"/>
            </w:tcMar>
          </w:tcPr>
          <w:p>
            <w:r>
              <w:t>When supplied</w:t>
            </w:r>
          </w:p>
        </w:tc>
      </w:tr>
      <w:tr>
        <w:trPr>
          <w:cantSplit/>
        </w:trPr>
        <w:tc>
          <w:tcPr>
            <w:tcW w:type="dxa" w:w="4320"/>
            <w:vAlign w:val="center"/>
            <w:tcMar>
              <w:top w:w="70" w:type="dxa"/>
              <w:start w:w="85" w:type="dxa"/>
              <w:bottom w:w="70" w:type="dxa"/>
              <w:end w:w="85" w:type="dxa"/>
            </w:tcMar>
            <w:shd w:fill="F2F5F9"/>
          </w:tcPr>
          <w:p>
            <w:r>
              <w:t>Deep Research Stage 1 - Thesis / role-aware plan only (host max_tokens 100000)</w:t>
            </w:r>
          </w:p>
        </w:tc>
        <w:tc>
          <w:tcPr>
            <w:tcW w:type="dxa" w:w="1584"/>
            <w:vAlign w:val="center"/>
            <w:tcMar>
              <w:top w:w="70" w:type="dxa"/>
              <w:start w:w="85" w:type="dxa"/>
              <w:bottom w:w="70" w:type="dxa"/>
              <w:end w:w="85" w:type="dxa"/>
            </w:tcMar>
            <w:shd w:fill="F2F5F9"/>
          </w:tcPr>
          <w:p>
            <w:r>
              <w:t>X-High</w:t>
            </w:r>
          </w:p>
        </w:tc>
        <w:tc>
          <w:tcPr>
            <w:tcW w:type="dxa" w:w="1728"/>
            <w:vAlign w:val="center"/>
            <w:tcMar>
              <w:top w:w="70" w:type="dxa"/>
              <w:start w:w="85" w:type="dxa"/>
              <w:bottom w:w="70" w:type="dxa"/>
              <w:end w:w="85" w:type="dxa"/>
            </w:tcMar>
            <w:shd w:fill="F2F5F9"/>
          </w:tcPr>
          <w:p>
            <w:r>
              <w:t>0.85</w:t>
            </w:r>
          </w:p>
        </w:tc>
        <w:tc>
          <w:tcPr>
            <w:tcW w:type="dxa" w:w="2015"/>
            <w:vAlign w:val="center"/>
            <w:tcMar>
              <w:top w:w="70" w:type="dxa"/>
              <w:start w:w="85" w:type="dxa"/>
              <w:bottom w:w="70" w:type="dxa"/>
              <w:end w:w="85" w:type="dxa"/>
            </w:tcMar>
            <w:shd w:fill="F2F5F9"/>
          </w:tcPr>
          <w:p>
            <w:r>
              <w:t>No</w:t>
            </w:r>
          </w:p>
        </w:tc>
      </w:tr>
      <w:tr>
        <w:trPr>
          <w:cantSplit/>
        </w:trPr>
        <w:tc>
          <w:tcPr>
            <w:tcW w:type="dxa" w:w="4320"/>
            <w:vAlign w:val="center"/>
            <w:tcMar>
              <w:top w:w="70" w:type="dxa"/>
              <w:start w:w="85" w:type="dxa"/>
              <w:bottom w:w="70" w:type="dxa"/>
              <w:end w:w="85" w:type="dxa"/>
            </w:tcMar>
          </w:tcPr>
          <w:p>
            <w:r>
              <w:t>Deep Research Stage 2 - Antithesis / material friction (host max_tokens 20000)</w:t>
            </w:r>
          </w:p>
        </w:tc>
        <w:tc>
          <w:tcPr>
            <w:tcW w:type="dxa" w:w="1584"/>
            <w:vAlign w:val="center"/>
            <w:tcMar>
              <w:top w:w="70" w:type="dxa"/>
              <w:start w:w="85" w:type="dxa"/>
              <w:bottom w:w="70" w:type="dxa"/>
              <w:end w:w="85" w:type="dxa"/>
            </w:tcMar>
          </w:tcPr>
          <w:p>
            <w:r>
              <w:t>Medium</w:t>
            </w:r>
          </w:p>
        </w:tc>
        <w:tc>
          <w:tcPr>
            <w:tcW w:type="dxa" w:w="1728"/>
            <w:vAlign w:val="center"/>
            <w:tcMar>
              <w:top w:w="70" w:type="dxa"/>
              <w:start w:w="85" w:type="dxa"/>
              <w:bottom w:w="70" w:type="dxa"/>
              <w:end w:w="85" w:type="dxa"/>
            </w:tcMar>
          </w:tcPr>
          <w:p>
            <w:r>
              <w:t>0.70</w:t>
            </w:r>
          </w:p>
        </w:tc>
        <w:tc>
          <w:tcPr>
            <w:tcW w:type="dxa" w:w="2015"/>
            <w:vAlign w:val="center"/>
            <w:tcMar>
              <w:top w:w="70" w:type="dxa"/>
              <w:start w:w="85" w:type="dxa"/>
              <w:bottom w:w="70" w:type="dxa"/>
              <w:end w:w="85" w:type="dxa"/>
            </w:tcMar>
          </w:tcPr>
          <w:p>
            <w:r>
              <w:t>No</w:t>
            </w:r>
          </w:p>
        </w:tc>
      </w:tr>
      <w:tr>
        <w:trPr>
          <w:cantSplit/>
        </w:trPr>
        <w:tc>
          <w:tcPr>
            <w:tcW w:type="dxa" w:w="4320"/>
            <w:vAlign w:val="center"/>
            <w:tcMar>
              <w:top w:w="70" w:type="dxa"/>
              <w:start w:w="85" w:type="dxa"/>
              <w:bottom w:w="70" w:type="dxa"/>
              <w:end w:w="85" w:type="dxa"/>
            </w:tcMar>
            <w:shd w:fill="F2F5F9"/>
          </w:tcPr>
          <w:p>
            <w:r>
              <w:t>Deep Research Stage 3 - authoritative Synthesis (host max_tokens 100000)</w:t>
            </w:r>
          </w:p>
        </w:tc>
        <w:tc>
          <w:tcPr>
            <w:tcW w:type="dxa" w:w="1584"/>
            <w:vAlign w:val="center"/>
            <w:tcMar>
              <w:top w:w="70" w:type="dxa"/>
              <w:start w:w="85" w:type="dxa"/>
              <w:bottom w:w="70" w:type="dxa"/>
              <w:end w:w="85" w:type="dxa"/>
            </w:tcMar>
            <w:shd w:fill="F2F5F9"/>
          </w:tcPr>
          <w:p>
            <w:r>
              <w:t>X-High</w:t>
            </w:r>
          </w:p>
        </w:tc>
        <w:tc>
          <w:tcPr>
            <w:tcW w:type="dxa" w:w="1728"/>
            <w:vAlign w:val="center"/>
            <w:tcMar>
              <w:top w:w="70" w:type="dxa"/>
              <w:start w:w="85" w:type="dxa"/>
              <w:bottom w:w="70" w:type="dxa"/>
              <w:end w:w="85" w:type="dxa"/>
            </w:tcMar>
            <w:shd w:fill="F2F5F9"/>
          </w:tcPr>
          <w:p>
            <w:r>
              <w:t>0.70</w:t>
            </w:r>
          </w:p>
        </w:tc>
        <w:tc>
          <w:tcPr>
            <w:tcW w:type="dxa" w:w="2015"/>
            <w:vAlign w:val="center"/>
            <w:tcMar>
              <w:top w:w="70" w:type="dxa"/>
              <w:start w:w="85" w:type="dxa"/>
              <w:bottom w:w="70" w:type="dxa"/>
              <w:end w:w="85" w:type="dxa"/>
            </w:tcMar>
            <w:shd w:fill="F2F5F9"/>
          </w:tcPr>
          <w:p>
            <w:r>
              <w:t>When supplied</w:t>
            </w:r>
          </w:p>
        </w:tc>
      </w:tr>
      <w:tr>
        <w:tc>
          <w:tcPr>
            <w:tcW w:type="dxa" w:w="2498"/>
          </w:tcPr>
          <w:p>
            <w:r>
              <w:t>Deep Research post-final retention</w:t>
            </w:r>
          </w:p>
        </w:tc>
        <w:tc>
          <w:tcPr>
            <w:tcW w:type="dxa" w:w="2498"/>
          </w:tcPr>
          <w:p>
            <w:r>
              <w:t>Retire R1/R2 native reasoning only</w:t>
            </w:r>
          </w:p>
        </w:tc>
        <w:tc>
          <w:tcPr>
            <w:tcW w:type="dxa" w:w="2498"/>
          </w:tcPr>
          <w:p>
            <w:r>
              <w:t>N/A</w:t>
            </w:r>
          </w:p>
        </w:tc>
        <w:tc>
          <w:tcPr>
            <w:tcW w:type="dxa" w:w="2498"/>
          </w:tcPr>
          <w:p>
            <w:r>
              <w:t>Keep Thesis/Antithesis outputs + Stage-3 tools/results/reasoning + final</w:t>
            </w:r>
          </w:p>
        </w:tc>
      </w:tr>
      <w:tr>
        <w:trPr>
          <w:cantSplit/>
        </w:trPr>
        <w:tc>
          <w:tcPr>
            <w:tcW w:type="dxa" w:w="4320"/>
            <w:vAlign w:val="center"/>
            <w:tcMar>
              <w:top w:w="70" w:type="dxa"/>
              <w:start w:w="85" w:type="dxa"/>
              <w:bottom w:w="70" w:type="dxa"/>
              <w:end w:w="85" w:type="dxa"/>
            </w:tcMar>
          </w:tcPr>
          <w:p>
            <w:r>
              <w:t>Agentic Stage 1 - native answer</w:t>
            </w:r>
          </w:p>
        </w:tc>
        <w:tc>
          <w:tcPr>
            <w:tcW w:type="dxa" w:w="1584"/>
            <w:vAlign w:val="center"/>
            <w:tcMar>
              <w:top w:w="70" w:type="dxa"/>
              <w:start w:w="85" w:type="dxa"/>
              <w:bottom w:w="70" w:type="dxa"/>
              <w:end w:w="85" w:type="dxa"/>
            </w:tcMar>
          </w:tcPr>
          <w:p>
            <w:r>
              <w:t>X-High</w:t>
            </w:r>
          </w:p>
        </w:tc>
        <w:tc>
          <w:tcPr>
            <w:tcW w:type="dxa" w:w="1728"/>
            <w:vAlign w:val="center"/>
            <w:tcMar>
              <w:top w:w="70" w:type="dxa"/>
              <w:start w:w="85" w:type="dxa"/>
              <w:bottom w:w="70" w:type="dxa"/>
              <w:end w:w="85" w:type="dxa"/>
            </w:tcMar>
          </w:tcPr>
          <w:p>
            <w:r>
              <w:t>0.70</w:t>
            </w:r>
          </w:p>
        </w:tc>
        <w:tc>
          <w:tcPr>
            <w:tcW w:type="dxa" w:w="2015"/>
            <w:vAlign w:val="center"/>
            <w:tcMar>
              <w:top w:w="70" w:type="dxa"/>
              <w:start w:w="85" w:type="dxa"/>
              <w:bottom w:w="70" w:type="dxa"/>
              <w:end w:w="85" w:type="dxa"/>
            </w:tcMar>
          </w:tcPr>
          <w:p>
            <w:r>
              <w:t>When supplied</w:t>
            </w:r>
          </w:p>
        </w:tc>
      </w:tr>
      <w:tr>
        <w:trPr>
          <w:cantSplit/>
        </w:trPr>
        <w:tc>
          <w:tcPr>
            <w:tcW w:type="dxa" w:w="4320"/>
            <w:vAlign w:val="center"/>
            <w:tcMar>
              <w:top w:w="70" w:type="dxa"/>
              <w:start w:w="85" w:type="dxa"/>
              <w:bottom w:w="70" w:type="dxa"/>
              <w:end w:w="85" w:type="dxa"/>
            </w:tcMar>
            <w:shd w:fill="F2F5F9"/>
          </w:tcPr>
          <w:p>
            <w:r>
              <w:t>Agentic Stage 2 - semantic-consolidation Jack XML checkpoint</w:t>
            </w:r>
          </w:p>
        </w:tc>
        <w:tc>
          <w:tcPr>
            <w:tcW w:type="dxa" w:w="1584"/>
            <w:vAlign w:val="center"/>
            <w:tcMar>
              <w:top w:w="70" w:type="dxa"/>
              <w:start w:w="85" w:type="dxa"/>
              <w:bottom w:w="70" w:type="dxa"/>
              <w:end w:w="85" w:type="dxa"/>
            </w:tcMar>
            <w:shd w:fill="F2F5F9"/>
          </w:tcPr>
          <w:p>
            <w:r>
              <w:t>X-High</w:t>
            </w:r>
          </w:p>
        </w:tc>
        <w:tc>
          <w:tcPr>
            <w:tcW w:type="dxa" w:w="1728"/>
            <w:vAlign w:val="center"/>
            <w:tcMar>
              <w:top w:w="70" w:type="dxa"/>
              <w:start w:w="85" w:type="dxa"/>
              <w:bottom w:w="70" w:type="dxa"/>
              <w:end w:w="85" w:type="dxa"/>
            </w:tcMar>
            <w:shd w:fill="F2F5F9"/>
          </w:tcPr>
          <w:p>
            <w:r>
              <w:t>0.50</w:t>
            </w:r>
          </w:p>
        </w:tc>
        <w:tc>
          <w:tcPr>
            <w:tcW w:type="dxa" w:w="2015"/>
            <w:vAlign w:val="center"/>
            <w:tcMar>
              <w:top w:w="70" w:type="dxa"/>
              <w:start w:w="85" w:type="dxa"/>
              <w:bottom w:w="70" w:type="dxa"/>
              <w:end w:w="85" w:type="dxa"/>
            </w:tcMar>
            <w:shd w:fill="F2F5F9"/>
          </w:tcPr>
          <w:p>
            <w:r>
              <w:t>No</w:t>
            </w:r>
          </w:p>
        </w:tc>
      </w:tr>
      <w:tr>
        <w:trPr>
          <w:cantSplit/>
        </w:trPr>
        <w:tc>
          <w:tcPr>
            <w:tcW w:type="dxa" w:w="4320"/>
            <w:vAlign w:val="center"/>
            <w:tcMar>
              <w:top w:w="70" w:type="dxa"/>
              <w:start w:w="85" w:type="dxa"/>
              <w:bottom w:w="70" w:type="dxa"/>
              <w:end w:w="85" w:type="dxa"/>
            </w:tcMar>
          </w:tcPr>
          <w:p>
            <w:r>
              <w:t>Code Debugging Passes 1-5 / final</w:t>
            </w:r>
          </w:p>
        </w:tc>
        <w:tc>
          <w:tcPr>
            <w:tcW w:type="dxa" w:w="1584"/>
            <w:vAlign w:val="center"/>
            <w:tcMar>
              <w:top w:w="70" w:type="dxa"/>
              <w:start w:w="85" w:type="dxa"/>
              <w:bottom w:w="70" w:type="dxa"/>
              <w:end w:w="85" w:type="dxa"/>
            </w:tcMar>
          </w:tcPr>
          <w:p>
            <w:r>
              <w:t>Medium fresh; pre-pass Medium</w:t>
            </w:r>
          </w:p>
        </w:tc>
        <w:tc>
          <w:tcPr>
            <w:tcW w:type="dxa" w:w="1728"/>
            <w:vAlign w:val="center"/>
            <w:tcMar>
              <w:top w:w="70" w:type="dxa"/>
              <w:start w:w="85" w:type="dxa"/>
              <w:bottom w:w="70" w:type="dxa"/>
              <w:end w:w="85" w:type="dxa"/>
            </w:tcMar>
          </w:tcPr>
          <w:p>
            <w:r>
              <w:t>Passes 1-5: 1.00 / 0.80 / 0.70 / 0.60 / 0.50; final 1.00</w:t>
            </w:r>
          </w:p>
        </w:tc>
        <w:tc>
          <w:tcPr>
            <w:tcW w:type="dxa" w:w="2015"/>
            <w:vAlign w:val="center"/>
            <w:tcMar>
              <w:top w:w="70" w:type="dxa"/>
              <w:start w:w="85" w:type="dxa"/>
              <w:bottom w:w="70" w:type="dxa"/>
              <w:end w:w="85" w:type="dxa"/>
            </w:tcMar>
          </w:tcPr>
          <w:p>
            <w:r>
              <w:t>Pre-pass tools OFF; passes inspection/non-mutating with optional same-pass clarification; no direct mutation; final no tools.</w:t>
            </w:r>
          </w:p>
        </w:tc>
      </w:tr>
      <w:tr>
        <w:tc>
          <w:tcPr>
            <w:tcW w:type="dxa" w:w="2498"/>
          </w:tcPr>
          <w:p>
            <w:r>
              <w:t>Code Debugging (Deep) Passes 1-5 / final</w:t>
            </w:r>
          </w:p>
        </w:tc>
        <w:tc>
          <w:tcPr>
            <w:tcW w:type="dxa" w:w="2498"/>
          </w:tcPr>
          <w:p>
            <w:r>
              <w:t>X-High fresh; pre-pass X-High</w:t>
            </w:r>
          </w:p>
        </w:tc>
        <w:tc>
          <w:tcPr>
            <w:tcW w:type="dxa" w:w="2498"/>
          </w:tcPr>
          <w:p>
            <w:r>
              <w:t>Same 1.00 / 0.80 / 0.70 / 0.60 / 0.50; final 1.00</w:t>
            </w:r>
          </w:p>
        </w:tc>
        <w:tc>
          <w:tcPr>
            <w:tcW w:type="dxa" w:w="2498"/>
          </w:tcPr>
          <w:p>
            <w:r>
              <w:t>Same tool policy and topology as Standard.</w:t>
            </w:r>
          </w:p>
        </w:tc>
      </w:tr>
      <w:tr>
        <w:tc>
          <w:tcPr>
            <w:tcW w:type="dxa" w:w="2498"/>
          </w:tcPr>
          <w:p>
            <w:r>
              <w:t>Debugging Pass 1 prior model state</w:t>
            </w:r>
          </w:p>
        </w:tc>
        <w:tc>
          <w:tcPr>
            <w:tcW w:type="dxa" w:w="2498"/>
          </w:tcPr>
          <w:p>
            <w:r>
              <w:t>None</w:t>
            </w:r>
          </w:p>
        </w:tc>
        <w:tc>
          <w:tcPr>
            <w:tcW w:type="dxa" w:w="2498"/>
          </w:tcPr>
          <w:p>
            <w:r>
              <w:t>N/A</w:t>
            </w:r>
          </w:p>
        </w:tc>
        <w:tc>
          <w:tcPr>
            <w:tcW w:type="dxa" w:w="2498"/>
          </w:tcPr>
          <w:p>
            <w:r>
              <w:t>Exact user-origin Pass 0 only; target independently reread.</w:t>
            </w:r>
          </w:p>
        </w:tc>
      </w:tr>
      <w:tr>
        <w:tc>
          <w:tcPr>
            <w:tcW w:type="dxa" w:w="2498"/>
          </w:tcPr>
          <w:p>
            <w:r>
              <w:t>Debugging Passes 2-5 prior model state</w:t>
            </w:r>
          </w:p>
        </w:tc>
        <w:tc>
          <w:tcPr>
            <w:tcW w:type="dxa" w:w="2498"/>
          </w:tcPr>
          <w:p>
            <w:r>
              <w:t>Host-derived registry only</w:t>
            </w:r>
          </w:p>
        </w:tc>
        <w:tc>
          <w:tcPr>
            <w:tcW w:type="dxa" w:w="2498"/>
          </w:tcPr>
          <w:p>
            <w:r>
              <w:t>N/A</w:t>
            </w:r>
          </w:p>
        </w:tc>
        <w:tc>
          <w:tcPr>
            <w:tcW w:type="dxa" w:w="2498"/>
          </w:tcPr>
          <w:p>
            <w:r>
              <w:t>Exact Pass 0 + compact confirmed prior-finding registry; no full prior handoffs or scratch cognition.</w:t>
            </w:r>
          </w:p>
        </w:tc>
      </w:tr>
      <w:tr>
        <w:tc>
          <w:tcPr>
            <w:tcW w:type="dxa" w:w="2498"/>
          </w:tcPr>
          <w:p>
            <w:r>
              <w:t>Debugging final reporter</w:t>
            </w:r>
          </w:p>
        </w:tc>
        <w:tc>
          <w:tcPr>
            <w:tcW w:type="dxa" w:w="2498"/>
          </w:tcPr>
          <w:p>
            <w:r>
              <w:t>Same selected reasoning effort</w:t>
            </w:r>
          </w:p>
        </w:tc>
        <w:tc>
          <w:tcPr>
            <w:tcW w:type="dxa" w:w="2498"/>
          </w:tcPr>
          <w:p>
            <w:r>
              <w:t>1.00</w:t>
            </w:r>
          </w:p>
        </w:tc>
        <w:tc>
          <w:tcPr>
            <w:tcW w:type="dxa" w:w="2498"/>
          </w:tcPr>
          <w:p>
            <w:r>
              <w:t>Fresh tools-off reporter reads complete saved Pass 0-5 report; no new bug discovery; no Pass 6.</w:t>
            </w:r>
          </w:p>
        </w:tc>
      </w:tr>
    </w:tbl>
    <w:p>
      <w:r/>
    </w:p>
    <w:p>
      <w:pPr/>
      <w:r>
        <w:t>Agentic Stage 1/2 and all three Deep Research stages force Preserve Thinking ON. Agentic intentionally concentrates Preserve Thinking on the immediately adjacent active Stage-1 -&gt; Stage-2 handoff: Stage 2 receives the complete current-turn native cognition/tool trajectory, semantically consolidates its future-relevant epistemic residue into Jack XML, and only then does Jack retire completed native cognition/tool protocol after commit. Deep Research deliberately preserves the complete Thesis/Antithesis/Synthesis trajectory through the authoritative Stage-3 final. On later re-entry after that final, Jack retires only Stage-1 and Stage-2 native reasoning while retaining exact user content, visible Thesis/Antithesis outputs, Synthesis tool calls/results, Stage-3 reasoning, and final answer.</w:t>
      </w:r>
    </w:p>
    <w:p>
      <w:pPr>
        <w:pStyle w:val="Heading2"/>
      </w:pPr>
      <w:r>
        <w:t>4.1 Recommended Model and Workload Fit (Non-Normative)</w:t>
      </w:r>
    </w:p>
    <w:p>
      <w:pPr/>
      <w:r>
        <w:t>Deep Research is not a model-size compatibility mode. Its current purpose is to increase the depth, scrutiny, and rigor with which difficult or complicated tasks are examined before commitment. It MAY be used with models of any size or capability. Agentic has a distinct semantic capability floor because Stage 2 must reliably re-encode messy native cognition into strongly typed semantic state.</w:t>
      </w:r>
    </w:p>
    <w:p>
      <w:pPr>
        <w:pStyle w:val="Heading1"/>
      </w:pPr>
      <w:r>
        <w:t>5. Response Target and Conversation Authority</w:t>
      </w:r>
    </w:p>
    <w:p>
      <w:pPr/>
      <w:r>
        <w:t>Jack retains active_response_target() as a deterministic host utility for identifying the newest real user-role turn and correlating runtime/forensic state. Jack-owned Deep Research stage-transition turns are marked internal and MUST NOT become the active response target. When Stage 2 begins after a completed Thesis, Jack appends and persists a user-role Thesis-&gt;Antithesis transport turn that repeats the exact active user request as reminder context, identifies the immediately preceding assistant response as the THESIS, instructs Antithesis to evaluate that Thesis against the exact request, and states that the transport message is not a new user request. Stage 3 receives and persists the analogous Antithesis-&gt;Synthesis transport turn: it repeats the active request, identifies the immediately preceding assistant response as ANTITHESIS and the assistant response before the prior Jack transition as THESIS, directs Synthesis to produce the final response to the exact request, and again states that the transport message is not a new request. Both causal boundaries remain in the active transaction through Synthesis. If Synthesis calls tools, the Stage-3 identity/reminder boundary is retained exactly once across same-stage continuation. Agentic Stage 2 keeps its explicit runtime-owned Jack-XML serializer trigger.</w:t>
      </w:r>
    </w:p>
    <w:p>
      <w:pPr/>
      <w:r>
        <w:t>Reference words such as original, previous, earlier, latest, that, it, and those instructions do not by themselves make the caller model field or historical assistant output authoritative. Authority is established by the active runtime mode and commit rules.</w:t>
      </w:r>
    </w:p>
    <w:p>
      <w:pPr>
        <w:pStyle w:val="Heading1"/>
      </w:pPr>
      <w:r>
        <w:t>6. Native Modes</w:t>
      </w:r>
    </w:p>
    <w:p>
      <w:pPr/>
      <w:r>
        <w:t>Off, Medium, and X-High are direct baselines. No Jack-authored cognitive stage graph and no Jack XML stage is added. Tools remain available when supplied and may interrupt/resume the same native call. These modes are matched-model controls for measuring the effects of Jack topologies without changing model weights.</w:t>
      </w:r>
    </w:p>
    <w:p>
      <w:pPr>
        <w:pStyle w:val="Heading1"/>
      </w:pPr>
      <w:r>
        <w:t>7. Deep Research Mode: Thesis -&gt; Antithesis -&gt; Authoritative Synthesis</w:t>
      </w:r>
    </w:p>
    <w:p>
      <w:pPr/>
      <w:r>
        <w:t>Deep Research is one user-turn transaction containing exactly three substantive inference stages. Stage 1 is a non-executing but execution-aware First-Principles Thesis that proposes a concentrated plan for Synthesis and may plan required capabilities, implementation, file/artifact changes, verification, and other execution without performing them or inventing unseen tool names. Stage 2 is Antithesis: a Medium-reasoning, questions-only material-friction stage that evaluates Thesis as a plan for a later Synthesis, challenges material premises or alignment with the exact request when there is a real basis, identifies the strongest material adversarial questions, and stops. Stage 3 is Synthesis, the sole reasoning, execution, and final-answer authority: it treats both prior stages as untrusted cognitive inputs, decides independently, uses caller tools when supplied and appropriate, and produces the complete final response. Only actual host-returned tool results establish execution. Deep Research applies host-side max_tokens failsafes of 100000 / 20000 / 100000 to Stages 1/2/3; the numbers are not projected into model context. Deep Research emits no Jack XML.</w:t>
      </w:r>
    </w:p>
    <w:p>
      <w:pPr>
        <w:spacing w:before="60" w:after="140"/>
        <w:ind w:left="317" w:right="173"/>
      </w:pPr>
      <w:r>
        <w:t>EXACT CURRENT USER REQUEST</w:t>
        <w:br/>
        <w:t xml:space="preserve">  -&gt; Stage 1 THESIS: X-High @ 0.85, tools ABSENT, Preserve Thinking forced ON, max_tokens 100000 host failsafe</w:t>
        <w:br/>
        <w:t xml:space="preserve">     First-Principles plan for Synthesis; MAY plan required capabilities/tool/file/artifact/verification actions; MUST NOT execute or claim execution</w:t>
        <w:br/>
        <w:t xml:space="preserve">  -&gt; persisted Jack Thesis-&gt;Antithesis causal boundary: exact active request + explicit THESIS identity + not-a-new-request disclaimer</w:t>
        <w:br/>
        <w:t xml:space="preserve">  -&gt; Stage 2 ANTITHESIS: Medium @ 0.70, tools OFF, Preserve Thinking forced ON, max_tokens 20000 host failsafe</w:t>
        <w:br/>
        <w:t xml:space="preserve">     evaluate Thesis as a plan for Synthesis; strongest materially relevant adversarial questions -&gt; stop; questions only; do not solve</w:t>
        <w:br/>
        <w:t xml:space="preserve">  -&gt; persisted Jack Antithesis-&gt;Synthesis causal boundary: exact active request + explicit THESIS/ANTITHESIS identity + not-a-new-request disclaimer</w:t>
        <w:br/>
        <w:t xml:space="preserve">  -&gt; Stage 3 SYNTHESIS: X-High @ 0.70, caller tools when supplied, Preserve Thinking forced ON, max_tokens 100000 host failsafe</w:t>
        <w:br/>
        <w:t xml:space="preserve">     Thesis = proposed plan; Antithesis = adversarial questions; both untrusted; Synthesis independently fulfills request and executes when appropriate</w:t>
        <w:br/>
        <w:t xml:space="preserve">  -&gt; authoritative final answer / execution result</w:t>
        <w:br/>
        <w:t xml:space="preserve">  -&gt; no numeric budget is projected into model context; no post-EOS artifact resolver; no cognitive-output parser/retry</w:t>
        <w:br/>
        <w:t xml:space="preserve">  -&gt; preserve all through Synthesis; after final, retire only R1/R2 native reasoning on later re-entry</w:t>
      </w:r>
    </w:p>
    <w:p>
      <w:pPr>
        <w:pStyle w:val="Heading2"/>
      </w:pPr>
      <w:r>
        <w:t>7.1 Stage 1 - Thesis: Role-Aware Plan Only, No Stage-1 Execution</w:t>
      </w:r>
    </w:p>
    <w:p>
      <w:pPr/>
      <w:r>
        <w:t>Stage 1 MUST use the current Deep Research Thesis system contract. It is X-High @ 0.85, Preserve Thinking is forced ON, max_tokens is 100000, and caller tools/tool_choice are absent from the Stage-1 backend payload. The 100000 value is a host-side runaway-loop ceiling, not a requested answer length and not model-visible. Thesis MUST reason from First Principles and produce a concentrated plan for Synthesis to fulfill the exact user request. Its lack of tools MUST NOT constrain the plan: when the task requires implementation, tool calls, file or artifact changes, verification, or other execution, Thesis MAY plan those actions for Synthesis. Thesis MUST NOT execute the plan or claim that execution occurred. Before the Stage-1 backend call, Jack's Deep Research Thesis history projection MUST exclude historical role=tool messages and assistant messages with tool_calls while leaving canonical Deep Research retention unchanged for later stages and forensic continuity. Thesis output is intermediate context only and has no final-answer or tool-execution authority.</w:t>
      </w:r>
    </w:p>
    <w:p>
      <w:pPr>
        <w:pStyle w:val="Heading2"/>
      </w:pPr>
      <w:r>
        <w:t>7.2 Stage 2 - Antithesis: Minimal Sage of Friction</w:t>
      </w:r>
    </w:p>
    <w:p>
      <w:pPr/>
      <w:r>
        <w:t>Stage 2 MUST use Medium reasoning @ 0.70, tools OFF, Preserve Thinking forced ON, and max_tokens 20000. The 20000 value is a host-side runaway-loop ceiling, not a target and not model-visible. The stage-local contract MUST tell Antithesis that THESIS is intentionally a plan for Synthesis; that Thesis has no tools; and that Synthesis may receive caller tools and execute the plan. Antithesis MUST NOT criticize Thesis merely for being a plan, withholding final-answer presentation, or not executing work reserved for Synthesis. It MUST challenge material assumptions, incorrect premises, weaknesses, omissions, failure points, or misalignment with the exact user request only when there is a material basis; MUST identify the strongest material adversarial questions and stop; and MUST ask questions only rather than solve the task. Antithesis has zero answer authority. Jack does not parse or reject Antithesis cognition based on superficial output format.</w:t>
      </w:r>
    </w:p>
    <w:p>
      <w:pPr>
        <w:pStyle w:val="Heading2"/>
      </w:pPr>
      <w:r>
        <w:t>7.3 Friction Is Advisory, Not Authority</w:t>
      </w:r>
    </w:p>
    <w:p>
      <w:pPr/>
      <w:r>
        <w:t>Antithesis questions are not facts, requirements, verdicts, or corrections. They are adversarial probes against the proposed Thesis in the scope of the exact user request. Materiality is part of the contract: Antithesis should surface genuine attack surfaces when present and should avoid manufacturing objections when Thesis is materially sound. Synthesis may accept a question's pressure, reject it as irrelevant or unsupported, or use it to sharpen the final reasoning. Jack does not promote Antithesis content into truth. Stage 3 treats both Thesis and Antithesis as untrusted inputs and makes the final decision independently.</w:t>
      </w:r>
    </w:p>
    <w:p>
      <w:pPr>
        <w:pStyle w:val="Heading2"/>
      </w:pPr>
      <w:r>
        <w:t>7.4 Stage 3 - Synthesis: Sole Answer and Execution Authority</w:t>
      </w:r>
    </w:p>
    <w:p>
      <w:pPr/>
      <w:r>
        <w:t>Stage 3 is X-High @ 0.70 with Preserve Thinking forced ON, max_tokens 100000, and caller tools available when supplied. The 100000 value is a host-side runaway-loop ceiling, not a target length and not projected into model context. Stage 3 receives only its own Synthesis system instruction; the Stage-2 Antithesis system prompt is not copied or reasserted into Stage 3. Synthesis MUST fulfill the exact user request, use THESIS as a proposed plan and ANTITHESIS as adversarial questions, and decide independently. When the request requires implementation, file or artifact changes, verification, or other execution and an appropriate caller-authorized tool is available, Synthesis SHOULD carry out the work with the tool rather than merely describing what the user should do. Execution evidence is host-side: assistant-authored claims do not establish an action, edit, verification, or artifact change; only an actual host-returned tool result establishes tool execution. Only the completed Stage-3 output has Deep Research answer authority. The retired post-EOS artifact disposition/resolver remains absent: once Synthesis reaches EOS, Jack commits that completed Synthesis directly.</w:t>
      </w:r>
    </w:p>
    <w:p>
      <w:pPr>
        <w:pStyle w:val="Heading2"/>
      </w:pPr>
      <w:r>
        <w:t>7.5 Preserve Thinking, Input Scope, and Stage Isolation</w:t>
      </w:r>
    </w:p>
    <w:p>
      <w:pPr/>
      <w:r>
        <w:t>Preserve Thinking is forced ON for all three Deep Research stages. Nothing is pruned during the active Thesis -&gt; Antithesis -&gt; Synthesis transaction. Stage 2 receives the full completed Thesis reasoning/output. Stage 3 receives the complete current-turn Thesis and Antithesis reasoning/output chronology plus any applicable tool history/results carried by the transaction and both persisted causal stage boundaries. System prompts remain stage-local: Stage 1 sees only the Thesis contract, Stage 2 only the Antithesis contract, and Stage 3 only the Synthesis contract. The exact active user request is carried in the later-stage transport turns so the model does not have to reconstruct it from older context. The narrower Stage-1 historical execution-protocol projection does not alter canonical retention available to later authoritative stages.</w:t>
      </w:r>
    </w:p>
    <w:p>
      <w:pPr>
        <w:pStyle w:val="Heading2"/>
      </w:pPr>
      <w:r>
        <w:t>7.6 Persisted Stage-Transition Boundaries</w:t>
      </w:r>
    </w:p>
    <w:p>
      <w:pPr>
        <w:pStyle w:val="ListBullet"/>
      </w:pPr>
      <w:r>
        <w:t>Stage-1 completion -&gt; Jack appends one internal user-role Thesis-&gt;Antithesis causal transport turn containing the transition, the exact active user request, explicit identification of the immediately preceding assistant response as THESIS, and a statement that the transport message is not a new user request. This turn persists through Synthesis.</w:t>
      </w:r>
    </w:p>
    <w:p>
      <w:pPr>
        <w:pStyle w:val="ListBullet"/>
      </w:pPr>
      <w:r>
        <w:t>Stage-2 completion -&gt; Jack appends one internal user-role Antithesis-&gt;Synthesis causal transport turn containing the transition, the exact active user request, explicit identification of the immediately preceding assistant response as ANTITHESIS and the assistant response before the prior Jack transition as THESIS, and the same not-a-new-request disclaimer. This turn persists through Synthesis.</w:t>
      </w:r>
    </w:p>
    <w:p>
      <w:pPr>
        <w:pStyle w:val="ListBullet"/>
      </w:pPr>
      <w:r>
        <w:t>The causal transport turns exist because assistant-ended Qwen/LM-Studio staged context may require a generation-opening user-role turn and because consecutive assistant stage outputs can otherwise leave stage identity ambiguous. Jack MUST NOT replay the semantic user command as a fresh request and MUST NOT use an empty user-role boundary.</w:t>
      </w:r>
    </w:p>
    <w:p>
      <w:pPr>
        <w:pStyle w:val="ListBullet"/>
      </w:pPr>
      <w:r>
        <w:t>active_response_target() ignores Jack-owned internal stage boundaries and remains bound to the newest real user request. Private _jack_* metadata is stripped before backend delivery. If Synthesis calls tools, same-stage continuation MUST retain the existing Stage-3 identity/reminder boundary exactly once and MUST NOT inject a second Synthesis boundary or replay the user request.</w:t>
      </w:r>
    </w:p>
    <w:p>
      <w:pPr>
        <w:pStyle w:val="Heading2"/>
      </w:pPr>
      <w:r>
        <w:t>7.7 Loop-Failsafe Budgets, Streaming, Tool Resume, and Commit Authority</w:t>
      </w:r>
    </w:p>
    <w:p>
      <w:pPr/>
      <w:r>
        <w:t>Deep Research StageProfiles set max_tokens to 100000 for Thesis, 20000 for Antithesis, and 100000 for Synthesis. These values are deliberately large host-side runaway-loop failsafes except for the narrower Antithesis ceiling; they are not target lengths and MUST NOT be inserted into the active stage prompts as numeric budget instructions. Deep Research may stream native reasoning from Thesis, Antithesis, and Synthesis for observability, while intermediate Thesis/Antithesis visible outputs remain non-authoritative and are withheld from the normal final-answer surface. Only the complete Synthesis answer is authoritative. Tools are disabled in Thesis and Antithesis. In Synthesis, a tool call interrupts only Stage 3; Jack preserves the same Synthesis transaction, appends the host tool result, and resumes that exact stage with the single persisted Stage-3 boundary already in history. No partial Synthesis answer before a tool interrupt has commit authority. Only the returned host tool result may establish that the requested execution occurred.</w:t>
      </w:r>
    </w:p>
    <w:p>
      <w:pPr>
        <w:pStyle w:val="Heading2"/>
      </w:pPr>
      <w:r>
        <w:t>7.8 Completed-Turn Retention: Preserve Through Synthesis, Then Retire R1/R2 Native Reasoning</w:t>
      </w:r>
    </w:p>
    <w:p>
      <w:pPr/>
      <w:r>
        <w:t>During the active Deep Research turn Jack preserves Stage-1 reasoning/output, Stage-2 reasoning/output, Stage-3 reasoning, and tool chronology/results without pruning. After the authoritative Synthesis final is complete, later history preparation removes only Stage-1 and Stage-2 native-reasoning blocks. Exact user messages, Thesis output, Antithesis output, tool calls/results, Stage-3 reasoning, and the final answer remain eligible for downstream continuity. This deliberate asymmetry keeps the immediately useful full cognitive episode available to Synthesis while avoiding indefinite accumulation of earlier-stage native reasoning after the authority boundary has closed.</w:t>
      </w:r>
    </w:p>
    <w:p>
      <w:pPr>
        <w:pStyle w:val="Heading2"/>
      </w:pPr>
      <w:r>
        <w:t>7.9 Deep Research Forensic Transaction Archive and Cognitive-Guard Boundary</w:t>
      </w:r>
    </w:p>
    <w:p>
      <w:pPr/>
      <w:r>
        <w:t>When JACK_FORENSIC_ARCHIVE_MODE is STAGE, Deep Research may write an out-of-band transaction record containing the Thesis/Antithesis/Synthesis trajectory for diagnosis. Forensic records are observability artifacts and are never automatically rehydrated into live model context. The live retention rule remains the post-final R1/R2-only native-reasoning retirement described above.</w:t>
      </w:r>
    </w:p>
    <w:p>
      <w:pPr/>
      <w:r>
        <w:t>Deep Research deliberately has no deterministic cognitive-output parser, semantic-equality/staleness heuristic, required-native-reasoning guard, or retry loop. Jack enforces structural invariants—stage routing, system-prompt isolation, generation-boundary transport, user-target binding, tool availability, tool-result placement, same-stage resume, retention, and final authority—not whether the model's exposed cognition matches a superficial output shape. Forensic failure after completed authoritative Synthesis is observational and does not rewrite that answer.</w:t>
      </w:r>
    </w:p>
    <w:p>
      <w:pPr>
        <w:pStyle w:val="Heading1"/>
      </w:pPr>
      <w:r>
        <w:t>8. Prior Jack XML Memory Boundary</w:t>
      </w:r>
    </w:p>
    <w:p>
      <w:pPr/>
      <w:r>
        <w:t>Prior Agentic Jack XML may remain in historical conversation presented to Deep Research. Deep Research may use it as historical memory when relevant but emits no new Jack XML. The active user request remains authoritative, and the Deep Research stage-transition reminders explicitly restate that request as reminder context while identifying which current-turn assistant outputs are Thesis and Antithesis. Prior XML, Thesis, and Antithesis remain model-authored context rather than deterministic evidence.</w:t>
      </w:r>
    </w:p>
    <w:p>
      <w:pPr/>
      <w:r>
        <w:t>Agentic retains its existing prepared conversation of exact historical user messages followed by committed strongly semantic Jack XML + exact frozen A1 artifacts, then the new active user message. Jack XML is not a replacement copy of historical user wording and is not independent evidence; it is long-lived semantic working memory / attention guidance distilled from the completed turn while exact user content remains authoritative. Deep Research and Agentic therefore share exact user authority but use different second-stage and retention policies.</w:t>
      </w:r>
    </w:p>
    <w:p>
      <w:pPr>
        <w:pStyle w:val="Heading1"/>
      </w:pPr>
      <w:r>
        <w:t>9. Agentic Mode</w:t>
      </w:r>
    </w:p>
    <w:p>
      <w:pPr/>
      <w:r>
        <w:t>Agentic contains exactly two X-High model stages: Stage 1 full native answer generation -&gt; exact A1 freeze -&gt; Stage 2 strongly semantic Jack XML consolidation -&gt; runtime commit Jack XML + exact frozen A1. It is designed around Qwen-style Preserve Thinking: the backend/model must faithfully carry the complete Stage-1 native cognition/tool trajectory across the immediately adjacent Stage-1 -&gt; Stage-2 boundary so Stage 2 can semantically distill the completed cognitive episode before that raw cognition is retired. Deep Research is a separate three-stage Thesis/Antithesis/Synthesis program with Stage-3 answer authority. There is no A2 in Agentic and no post-XML answer-generation inference. Agentic Stage 2 has zero answer authority.</w:t>
      </w:r>
    </w:p>
    <w:p>
      <w:pPr>
        <w:pStyle w:val="Heading2"/>
      </w:pPr>
      <w:r>
        <w:t>9.1 Agentic Backend Requirement</w:t>
      </w:r>
    </w:p>
    <w:p>
      <w:pPr/>
      <w:r>
        <w:t>Agentic requires Qwen-family or Qwen-compatible Preserve-Thinking semantics capable of exposing complete Stage-1 native reasoning to the immediately following Stage 2. Jack's Qwen control path uses enable_thinking=true and preserve_thinking=true in both active Agentic stages and requests X-High reasoning effort where the backend/model supports it. OpenAI compatibility by itself is insufficient. The model also needs adequate semantic capability to transform high-bandwidth unstructured current-turn cognition into compact grounding, verification scope, prospective challenge, and discovered-error state without confusing those roles.</w:t>
      </w:r>
    </w:p>
    <w:p>
      <w:pPr>
        <w:pStyle w:val="Heading2"/>
      </w:pPr>
      <w:r>
        <w:t>9.2 Stage 1 - Native Answer and Tool Execution</w:t>
      </w:r>
    </w:p>
    <w:p>
      <w:pPr/>
      <w:r>
        <w:t>Stage 1 is X-High @ 0.70. Caller tools are available when supplied. Preserve Thinking is forced ON. Jack supplies no Stage-1 system prompt, no Active Response Target block, and no persistent secondary-system overlay. Within the supplied user/tool surface, Stage 1 is deliberately cognitively unconstrained by Jack so the backend model can reason, branch, use tools, reconsider, and produce A1 using its native design rather than reasoning inside a Jack schema. The exact user-role content is not model-generated and remains authoritative for what was requested. Stage-1 tool calls/results and native reasoning remain active at full fidelity through the Stage-2 boundary.</w:t>
      </w:r>
    </w:p>
    <w:p>
      <w:pPr>
        <w:pStyle w:val="Heading2"/>
      </w:pPr>
      <w:r>
        <w:t>9.3 Exact Stage-1 Answer Freeze</w:t>
      </w:r>
    </w:p>
    <w:p>
      <w:pPr/>
      <w:r>
        <w:t>Stage 1 MUST produce nonempty visible answer content A1. Jack freezes the exact completed Stage-1 answer without a cleanup, selector, extraction, or rewrite pass. A1 is the sole user-answer surface for the Agentic transaction. Stage 2 cannot change it. In streaming mode the evolving A1 may be observable on reasoning_content, but normal authoritative content remains withheld until Stage 2 succeeds and the commit boundary opens.</w:t>
      </w:r>
    </w:p>
    <w:p>
      <w:pPr>
        <w:pStyle w:val="Heading2"/>
      </w:pPr>
      <w:r>
        <w:t>9.4 Stage 2 - Strongly Semantic Jack XML Consolidation</w:t>
      </w:r>
    </w:p>
    <w:p>
      <w:pPr/>
      <w:r>
        <w:t>Stage 2 is X-High @ 0.50, tools OFF, Preserve Thinking forced ON. Its only Jack system instruction is AGENTIC_36_STAGE2_PROMPT. Stage 2 uses the same model reasoning capability to inspect the exact current user message, complete Stage-1 native reasoning, exact frozen A1, and actual Stage-1 tool calls/results while that immediately preceding cognitive episode is still available under Preserve Thinking. Its task is semantic consolidation: re-encode the future-relevant epistemic consequences of the completed turn into exactly four strongly semantic blocks—grounding, verification, challenge, and audit—without reproducing the full reasoning trace. The exact user message is authoritative input and is retained outside Jack XML. Stage 2 MUST NOT reconstruct or declare broad workspace state, create authoritative anchor facts, or copy the user request merely for retention. Stage 2 has zero answer authority.</w:t>
      </w:r>
    </w:p>
    <w:p>
      <w:pPr/>
      <w:r>
        <w:t>The runtime does not run a third serializer. Stage 2 itself is the XML-producing reasoning and semantic-consolidation stage. It is substantive only with respect to current-turn checkpoint construction; it is not an answer-revision stage, a generic conversation-history summarizer, or a model-authored workspace-state compactor. Its durable output is intentionally much smaller and more semantically typed than the native cognition it is allowed to inspect.</w:t>
      </w:r>
    </w:p>
    <w:p>
      <w:pPr>
        <w:pStyle w:val="Heading2"/>
      </w:pPr>
      <w:r>
        <w:t>9.5 Strongly Semantic Jack XML Contract</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304"/>
            <w:vAlign w:val="center"/>
            <w:tcMar>
              <w:top w:w="70" w:type="dxa"/>
              <w:start w:w="85" w:type="dxa"/>
              <w:bottom w:w="70" w:type="dxa"/>
              <w:end w:w="85" w:type="dxa"/>
            </w:tcMar>
            <w:shd w:fill="172033"/>
          </w:tcPr>
          <w:p>
            <w:r>
              <w:rPr>
                <w:b/>
                <w:color w:val="FFFFFF"/>
              </w:rPr>
              <w:t>Structure</w:t>
            </w:r>
          </w:p>
        </w:tc>
        <w:tc>
          <w:tcPr>
            <w:tcW w:type="dxa" w:w="7343"/>
            <w:vAlign w:val="center"/>
            <w:tcMar>
              <w:top w:w="70" w:type="dxa"/>
              <w:start w:w="85" w:type="dxa"/>
              <w:bottom w:w="70" w:type="dxa"/>
              <w:end w:w="85" w:type="dxa"/>
            </w:tcMar>
            <w:shd w:fill="172033"/>
          </w:tcPr>
          <w:p>
            <w:r>
              <w:rPr>
                <w:b/>
                <w:color w:val="FFFFFF"/>
              </w:rPr>
              <w:t>Required fields / strongly semantic role</w:t>
            </w:r>
          </w:p>
        </w:tc>
      </w:tr>
      <w:tr>
        <w:trPr>
          <w:cantSplit/>
        </w:trPr>
        <w:tc>
          <w:tcPr>
            <w:tcW w:type="dxa" w:w="2304"/>
            <w:vAlign w:val="center"/>
            <w:tcMar>
              <w:top w:w="70" w:type="dxa"/>
              <w:start w:w="85" w:type="dxa"/>
              <w:bottom w:w="70" w:type="dxa"/>
              <w:end w:w="85" w:type="dxa"/>
            </w:tcMar>
          </w:tcPr>
          <w:p>
            <w:r>
              <w:t>grounding</w:t>
            </w:r>
          </w:p>
        </w:tc>
        <w:tc>
          <w:tcPr>
            <w:tcW w:type="dxa" w:w="7343"/>
            <w:vAlign w:val="center"/>
            <w:tcMar>
              <w:top w:w="70" w:type="dxa"/>
              <w:start w:w="85" w:type="dxa"/>
              <w:bottom w:w="70" w:type="dxa"/>
              <w:end w:w="85" w:type="dxa"/>
            </w:tcMar>
          </w:tcPr>
          <w:p>
            <w:r>
              <w:t>Observed; Not Observed. Evidence-only current-turn boundary. Prior Jack XML, Stage-1 reasoning, and A1 are not independent evidence. No workspace reconstruction or conversation summary.</w:t>
            </w:r>
          </w:p>
        </w:tc>
      </w:tr>
      <w:tr>
        <w:trPr>
          <w:cantSplit/>
        </w:trPr>
        <w:tc>
          <w:tcPr>
            <w:tcW w:type="dxa" w:w="2304"/>
            <w:vAlign w:val="center"/>
            <w:tcMar>
              <w:top w:w="70" w:type="dxa"/>
              <w:start w:w="85" w:type="dxa"/>
              <w:bottom w:w="70" w:type="dxa"/>
              <w:end w:w="85" w:type="dxa"/>
            </w:tcMar>
            <w:shd w:fill="F2F5F9"/>
          </w:tcPr>
          <w:p>
            <w:r>
              <w:t>verification</w:t>
            </w:r>
          </w:p>
        </w:tc>
        <w:tc>
          <w:tcPr>
            <w:tcW w:type="dxa" w:w="7343"/>
            <w:vAlign w:val="center"/>
            <w:tcMar>
              <w:top w:w="70" w:type="dxa"/>
              <w:start w:w="85" w:type="dxa"/>
              <w:bottom w:w="70" w:type="dxa"/>
              <w:end w:w="85" w:type="dxa"/>
            </w:tcMar>
            <w:shd w:fill="F2F5F9"/>
          </w:tcPr>
          <w:p>
            <w:r>
              <w:t>Verified; Scope; Not Verified. May serialize only actual deterministic Stage-1 tool evidence and must keep the proven scope narrow. No-tool form explicitly says Verified: NONE.</w:t>
            </w:r>
          </w:p>
        </w:tc>
      </w:tr>
      <w:tr>
        <w:trPr>
          <w:cantSplit/>
        </w:trPr>
        <w:tc>
          <w:tcPr>
            <w:tcW w:type="dxa" w:w="2304"/>
            <w:vAlign w:val="center"/>
            <w:tcMar>
              <w:top w:w="70" w:type="dxa"/>
              <w:start w:w="85" w:type="dxa"/>
              <w:bottom w:w="70" w:type="dxa"/>
              <w:end w:w="85" w:type="dxa"/>
            </w:tcMar>
          </w:tcPr>
          <w:p>
            <w:r>
              <w:t>challenge</w:t>
            </w:r>
          </w:p>
        </w:tc>
        <w:tc>
          <w:tcPr>
            <w:tcW w:type="dxa" w:w="7343"/>
            <w:vAlign w:val="center"/>
            <w:tcMar>
              <w:top w:w="70" w:type="dxa"/>
              <w:start w:w="85" w:type="dxa"/>
              <w:bottom w:w="70" w:type="dxa"/>
              <w:end w:w="85" w:type="dxa"/>
            </w:tcMar>
          </w:tcPr>
          <w:p>
            <w:r>
              <w:t>PREMISE; INVALIDATION; HIDDEN ASSUMPTION. Prospective/adversarial: what may make frozen A1 wrong. VERIFIABILITY stays in verification and STATE LOSS remains retired. No unrequested success criteria, replacement answer, or workspace-state ledger.</w:t>
            </w:r>
          </w:p>
        </w:tc>
      </w:tr>
      <w:tr>
        <w:trPr>
          <w:cantSplit/>
        </w:trPr>
        <w:tc>
          <w:tcPr>
            <w:tcW w:type="dxa" w:w="2304"/>
            <w:vAlign w:val="center"/>
            <w:tcMar>
              <w:top w:w="70" w:type="dxa"/>
              <w:start w:w="85" w:type="dxa"/>
              <w:bottom w:w="70" w:type="dxa"/>
              <w:end w:w="85" w:type="dxa"/>
            </w:tcMar>
          </w:tcPr>
          <w:p>
            <w:r>
              <w:t>audit</w:t>
            </w:r>
          </w:p>
        </w:tc>
        <w:tc>
          <w:tcPr>
            <w:tcW w:type="dxa" w:w="7343"/>
            <w:vAlign w:val="center"/>
            <w:tcMar>
              <w:top w:w="70" w:type="dxa"/>
              <w:start w:w="85" w:type="dxa"/>
              <w:bottom w:w="70" w:type="dxa"/>
              <w:end w:w="85" w:type="dxa"/>
            </w:tcMar>
          </w:tcPr>
          <w:p>
            <w:r>
              <w:t>Uncovered Output Mistakes. Generated last. Retrospective/diagnostic: concrete mistakes Stage 2 actually determined are present in frozen A1. Challenge items enter only when established. Audit is not evidence, deterministic verification, a repair plan, future action, or replacement answer; NONE when no concrete mistake is uncovered.</w:t>
            </w:r>
          </w:p>
        </w:tc>
      </w:tr>
    </w:tbl>
    <w:p>
      <w:r/>
    </w:p>
    <w:p>
      <w:pPr/>
      <w:r>
        <w:t>The Stage-2 Prime Directive is intentionally narrow. The exact host-retained user message remains authoritative for what the user requested. Actual user-provided evidence, established conversation evidence, and actual tool results retain evidential status. Prior Jack XML, Stage-1 reasoning, and frozen A1 are working memory/cognition/claims, not independent evidence. Prior Jack XML may act as semantic attention context for downstream reasoning, but its salience does not upgrade it to truth. Premise is not fact; requested conclusion is not evidence; a deterministic check establishes only what it actually tested; absence of evidence is not evidence of safety, success, harm, or failure; user preference does not change truth conditions.</w:t>
      </w:r>
    </w:p>
    <w:p>
      <w:pPr/>
      <w:r>
        <w:t>The four blocks are typed semantic roles, not a transcript or recap of Stage-1 thought. grounding MUST contain only Observed and Not Observed. It records evidence actually available in the completed current turn and material facts that were not observed. It MUST NOT reconstruct the whole workspace, summarize conversation history, or promote prior model-authored state into evidence. verification MUST contain Verified, Scope, and Not Verified and may include only claims directly established by actual deterministic Stage-1 tool/results. challenge MUST contain only PREMISE, INVALIDATION, and HIDDEN ASSUMPTION and MUST materially test frozen A1 against the exact current user request and evidence without introducing requirements the user did not ask for. VERIFIABILITY MUST NOT appear inside challenge because verification already owns proof scope. STATE LOSS MUST NOT appear inside challenge. Challenge MUST NOT manufacture uncertainty, alternative interpretations, failure modes, hypothetical edge cases, or assumptions merely to populate a lens; if no material issue exists for a lens, it MUST write NONE. audit MUST be generated last and contain only Uncovered Output Mistakes: concrete mistakes Stage 2 actually determined are present in frozen A1. A challenge item MUST NOT enter audit unless the error is established. Audit MUST NOT contain hypothetical risks, hidden assumptions, unverified suspicions, stylistic preferences, suggested improvements, future actions, or a replacement answer. If no concrete mistake was uncovered, audit MUST say Uncovered Output Mistakes: NONE. The four semantic blocks SHOULD contribute distinct information and SHOULD NOT repeat the same caution unless the semantic distinction is material.</w:t>
      </w:r>
    </w:p>
    <w:p>
      <w:pPr/>
      <w:r>
        <w:t>The XML contract is model-authored and intentionally strongly semantic. Runtime finalization freezes the Stage-2 XML text apart from surrounding whitespace and does not perform semantic repair, schema completion, truth upgrading, or a second compression pass. Answer authority and deterministic tool receipts remain runtime-owned and do not depend on perfect XML syntax. Audit is diagnostic memory only and MUST NOT be treated as independent evidence or deterministic verification. Legacy parsers still recognize predecessor Agentic/TAS XML tags in old committed artifacts, but new Agentic Stage-2 generations emit only grounding, verification, challenge, and audit.</w:t>
      </w:r>
    </w:p>
    <w:p>
      <w:pPr>
        <w:pStyle w:val="Heading2"/>
      </w:pPr>
      <w:r>
        <w:t>9.6 Audit: Discovered Output Mistakes</w:t>
      </w:r>
    </w:p>
    <w:p>
      <w:pPr/>
      <w:r>
        <w:t>Audit is the fourth and final Agentic XML block. Challenge is prospective/adversarial: it identifies conditions that may make frozen A1 wrong. Audit is retrospective/diagnostic: it records only concrete mistakes Stage 2 actually determines are present in frozen A1 after the preceding grounding, verification, and challenge work. An Audit mistake MUST be supportable from the exact user request, available user/conversation evidence, an actual deterministic Stage-1 tool/result, or a direct logical, arithmetic, or internal contradiction in A1. Audit MUST NOT convert a possible challenge into a fact, propose repairs, infer future work, or create a replacement answer. Its only field is Uncovered Output Mistakes; if none are established, the exact value is NONE. Audit has zero answer authority and no independent evidentiary status.</w:t>
      </w:r>
    </w:p>
    <w:p>
      <w:pPr>
        <w:pStyle w:val="Heading2"/>
      </w:pPr>
      <w:r>
        <w:t>9.7 Deterministic Verification Scope</w:t>
      </w:r>
    </w:p>
    <w:p>
      <w:pPr/>
      <w:r>
        <w:t>Stage 2 MUST NOT call tools, simulate execution, invent a tool identity/result, or infer that verification occurred merely because Stage-1 reasoning or A1 appears correct. verification may encode only actual deterministic Stage-1 tool evidence and MUST NOT generalize a narrow syntax/file/grep/test result into broader success.</w:t>
      </w:r>
    </w:p>
    <w:p>
      <w:pPr>
        <w:spacing w:before="60" w:after="140"/>
        <w:ind w:left="317" w:right="173"/>
      </w:pPr>
      <w:r>
        <w:t>If no deterministic tool verification occurred:</w:t>
        <w:br/>
        <w:t>Verified: NONE</w:t>
        <w:br/>
        <w:t>Scope: No deterministic tool verification occurred during Stage 1.</w:t>
        <w:br/>
        <w:t>Not Verified: Any claim requiring deterministic verification.</w:t>
      </w:r>
    </w:p>
    <w:p>
      <w:pPr>
        <w:pStyle w:val="Heading2"/>
      </w:pPr>
      <w:r>
        <w:t>9.8 Commit and Streaming Authority</w:t>
      </w:r>
    </w:p>
    <w:p>
      <w:pPr/>
      <w:r>
        <w:t>After Stage-2 EOS, when Stage 2 has produced nonempty Jack XML, Jack freezes that XML apart from surrounding whitespace, attempts the enabled Agentic Stage-1 forensic archive on a best-effort basis, clears request-local native cognition after the semantic checkpoint has been generated, and commits exactly Jack XML followed by two newlines and the exact frozen A1. Forensic persistence is observational and is not part of answer authority: archive failure does not rewrite, revoke, or prevent this completed XML + A1 commit. There is no post-XML answer generation and no selector. Together with the exact user message already present in conversation history, this forms a fully completed Agentic turn capsule.</w:t>
      </w:r>
    </w:p>
    <w:p>
      <w:pPr/>
      <w:r>
        <w:t>In streaming mode, Stage-1 native reasoning, Stage-1 A1 generation, Stage-2 native reasoning, and in-progress XML remain on reasoning_content for observability. For a full completion, normal content opens after Stage 2 has produced valid nonempty Jack XML; successful forensic persistence is not required. The final full-completion assistant content is the complete Jack XML + exact A1 artifact, while the exact user message remains the preceding user-role message in the conversation. If Stage 1 has already produced and frozen a trustworthy A1 but Stage 2 or semantic consolidation cannot complete, Jack preserves useful work through a degraded Agentic completion: the exact frozen A1 is returned as normal content, no Jack XML is fabricated or committed, and a Jack-owned degraded diagnostic is emitted on reasoning_content. If no trustworthy frozen Stage-1 A1 exists, the degraded-preservation path is unavailable and the transaction fails.</w:t>
      </w:r>
    </w:p>
    <w:p>
      <w:pPr>
        <w:pStyle w:val="Heading2"/>
      </w:pPr>
      <w:r>
        <w:t>9.9 Completed-Turn Agentic Capsules</w:t>
      </w:r>
    </w:p>
    <w:p>
      <w:pPr/>
      <w:r>
        <w:t>Preserve Thinking is intentionally short-lived in Agentic and is concentrated on the immediately adjacent Stage-1 -&gt; Stage-2 cognitive handoff. Before a new Agentic Stage 1 begins, Jack prepares completed history by retaining exact historical user-role messages and visible assistant commits while removing historical native reasoning and consumed tool-call/result protocol. For a completed Agentic turn, the visible assistant commit is strongly semantic Jack XML + exact frozen A1, so the durable capsule is: exact user message -&gt; grounding/verification/challenge/audit semantic attention anchors + exact frozen A1. All retained completed capsules remain in ordinary conversation order, followed by the new active user turn.</w:t>
      </w:r>
    </w:p>
    <w:tbl>
      <w:tblPr>
        <w:tblStyle w:val="TableGrid"/>
        <w:tblW w:type="auto" w:w="0"/>
        <w:jc w:val="center"/>
        <w:tblLook w:firstColumn="1" w:firstRow="1" w:lastColumn="0" w:lastRow="0" w:noHBand="0" w:noVBand="1" w:val="04A0"/>
      </w:tblPr>
      <w:tblGrid>
        <w:gridCol w:w="9994"/>
      </w:tblGrid>
      <w:tr>
        <w:trPr>
          <w:cantSplit/>
          <w:tblHeader w:val="true"/>
        </w:trPr>
        <w:tc>
          <w:tcPr>
            <w:tcW w:type="dxa" w:w="9994"/>
            <w:shd w:fill="EAF2F8"/>
            <w:tcMar>
              <w:top w:w="110" w:type="dxa"/>
              <w:start w:w="125" w:type="dxa"/>
              <w:bottom w:w="110" w:type="dxa"/>
              <w:end w:w="125" w:type="dxa"/>
            </w:tcMar>
          </w:tcPr>
          <w:p>
            <w:r>
              <w:t>Normative Agentic memory rule</w:t>
              <w:br/>
              <w:t>Agentic is the Qwen Preserve-Thinking semantic-consolidation reference program: Preserve Thinking carries complete Stage-1 cognition across the immediately adjacent active Stage-1 -&gt; Stage-2 boundary. Stage 2 uses that full current-turn cognitive episode to generate compact, strongly semantic grounding + verification + challenge + audit Jack XML with zero answer authority. Each completed Agentic turn remains exact user message + committed Jack XML + exact frozen A1. Completed raw native thinking and consumed tool protocol do not cross the turn boundary. Deep Research and Code Debugging use different retention policies.</w:t>
            </w:r>
          </w:p>
        </w:tc>
      </w:tr>
    </w:tbl>
    <w:p>
      <w:r>
        <w:t>Design rationale (non-normative): native reasoning is high-bandwidth and useful at maximum fidelity when the next generation is the Stage 2 that immediately follows it, but accumulated historical reasoning is verbose, unstructured, internally branching, and expensive for later generations to filter. Agentic therefore gives Stage 1 full native cognitive freedom, gives Stage 2 one full-power Preserve-Thinking opportunity to semantically consolidate that episode while it is fresh, and then retires the raw trace. Jack XML is intended to pick up the long-horizon/downstream burden as a compact semantic attention layer so the live working set can remain smaller and more focused inside a fixed physical context window.</w:t>
      </w:r>
    </w:p>
    <w:p>
      <w:pPr>
        <w:pStyle w:val="Heading2"/>
      </w:pPr>
      <w:r>
        <w:t>9.10 Agentic Stage-1 Forensic Checkpoint</w:t>
      </w:r>
    </w:p>
    <w:p>
      <w:pPr/>
      <w:r>
        <w:t>With forensic mode STAGE, Jack captures completed Stage-1 native reasoning and exact Stage-1 internal tool chronology before consumed tool protocol is retired. The private snapshot is stripped from backend semantic payloads. After Stage 2 succeeds, Jack attempts to add frozen-A1 and Jack-XML hashes and atomically persist the record under %APPDATA%\JackKernel\forensic\agentic\YYYYMMDD\ by default or the configured replacement root. Stage-2 XML reasoning is intentionally not stored in this Stage-1 archive and the record is never automatically rehydrated.</w:t>
      </w:r>
    </w:p>
    <w:p>
      <w:pPr/>
      <w:r>
        <w:t>Agentic STAGE persistence is fail-soft observational state. Failure to create or commit the forensic archive is logged and the private snapshot is discarded; it does not invalidate a completed frozen A1 or Jack XML and does not prevent the full XML + A1 result from being released. OFF writes no Agentic forensic record. A separate degraded-completion path applies when Stage 2 itself cannot complete after a trustworthy A1 has already been frozen: Jack preserves and returns that exact A1 without fabricating Jack XML.</w:t>
      </w:r>
    </w:p>
    <w:p>
      <w:pPr>
        <w:pStyle w:val="Heading2"/>
      </w:pPr>
      <w:r>
        <w:t>9.11 TAS Retirement and Legacy Compatibility</w:t>
      </w:r>
    </w:p>
    <w:p>
      <w:pPr/>
      <w:r>
        <w:t>Active Agentic does not execute Thesis -&gt; Antithesis -&gt; Synthesis; its two-stage frozen-A1/XML architecture remains separate. Active Deep Research DOES execute Thesis -&gt; Antithesis -&gt; Synthesis. The public v0.1.1 selector does not expose the predecessor Extended boolean-thinking compatibility profile. Legacy helper names may remain for source compatibility, but they do not create active profile authority. The predecessor two-stage Deep Research raw-&gt;re-evaluation authority chain is also retired.</w:t>
      </w:r>
    </w:p>
    <w:p>
      <w:pPr>
        <w:pStyle w:val="Heading1"/>
      </w:pPr>
      <w:r>
        <w:t>10. Code Debugging and the General Disk-Governed Loop Pattern</w:t>
      </w:r>
    </w:p>
    <w:p>
      <w:pPr/>
      <w:r>
        <w:t>Code Debugging is report-only and repeatable. Each run SHALL create a new unique timestamped, collision-resistant report under Debugging/Reports/ and SHALL enter a tools-off pre-pass diagnostic intake before Pass 1. The selected reasoning effort SHALL be Medium for Code Debugging and X-High for Code Debugging (Deep); all other topology is identical. The initial user request SHALL be sufficient intake. Optional materially useful clarification MAY be requested but SHALL NOT be required to begin. When stream=true, native pre-stage reasoning and visible intake output SHALL stream rather than buffer until EOS. At freeze, pre-stage native reasoning and assistant intake dialogue SHALL be removed from future context; only user-origin intake SHALL become durable Pass 0.</w:t>
      </w:r>
    </w:p>
    <w:p>
      <w:pPr>
        <w:spacing w:before="60" w:after="140"/>
        <w:ind w:left="317" w:right="173"/>
      </w:pPr>
      <w:r>
        <w:t>Passes 1-5 SHALL be completely fresh audits at the selected debugging reasoning effort over the unchanged target and SHALL independently reread the target. Every pass SHALL search the same broad code-review space: functional correctness/runtime behavior; security/input validation/authorization/trust boundaries; state/lifecycle/concurrency/async behavior/error handling; performance/resource management/scalability/reliability; and interfaces/data integrity/integration/configuration/maintainability/testability. No review category SHALL be bound to a pass number or temperature. Each pass SHALL select at most one strongest new candidate problem, lock its substantive investigation to that problem, and conclude that candidate before ending the pass. A disproved candidate MAY be recorded as rejected; a pass MAY report no material finding rather than invent a defect. Applicable findings SHOULD be classified LOW, MEDIUM, HIGH, or CRITICAL. Temperatures SHALL be 1.00 / 0.80 / 0.70 / 0.60 / 0.50.</w:t>
      </w:r>
    </w:p>
    <w:p>
      <w:pPr/>
      <w:r>
        <w:t>At every fresh pass, Jack SHALL re-project the complete exact user-origin Pass 0 intake. Pass 1 SHALL receive no prior model-authored audit state. Passes 2-5 SHALL additionally receive only a compact host-derived confirmed prior-finding registry distilled from all already committed outcomes. Full prior handoffs, repair guidance, preservation constraints, verification plans, residual observations, future-candidate suggestions, native reasoning, earlier tool traffic, and prior same-pass clarification dialogue SHALL remain outside later live pass context. Exact committed pass summaries remain durable in the run report and are not rewritten by this projection.</w:t>
      </w:r>
    </w:p>
    <w:p>
      <w:pPr/>
      <w:r>
        <w:t>Each completed non-empty pass handoff SHALL be appended exactly as produced to the run-specific report before the host-owned pass counter advances. Useful forensic output SHALL NOT be rejected merely because labels are repeated, reordered, or formatted differently from a preferred template. Code Debugging SHALL remain report-only: direct mutation tools MAY be withheld explicitly, and any remaining inspection or generic execution tools SHALL be used only for non-mutating diagnostics under the program contract. Preserve Thinking MAY survive within an active pass across diagnostic tools or user clarification but SHALL NOT cross a completed pass boundary.</w:t>
      </w:r>
    </w:p>
    <w:p>
      <w:pPr/>
      <w:r>
        <w:t>After Pass 5, Jack SHALL read the complete saved current-run Pass 0-5 report and provide it to one completely fresh tools-off final reporting instance @ 1.00 using the same selected debugging reasoning effort (Medium Standard / X-High Deep). The final reporter SHALL NOT discover new bugs. It SHALL reconcile only saved audits, preserve supported severity/status/evidence, rank supported findings by severity, retain useful negative coverage, produce the final work-agent repair specification, and append that exact final report to the same run-specific file. There is no Pass 6.</w:t>
      </w:r>
    </w:p>
    <w:p>
      <w:pPr/>
      <w:r>
        <w:t>Each pass SHALL independently verify the previous model-authored handoff and produce a repair-ready summary. When supported, findings SHOULD include status, severity, exact location, root cause/evidence, required correction, preservation constraints/interactions, and post-patch verification. Pass scratch MAY be discarded after durable commit.</w:t>
      </w:r>
    </w:p>
    <w:p>
      <w:pPr>
        <w:pStyle w:val="Heading1"/>
      </w:pPr>
      <w:r>
        <w:t>11. Artifact Mutation and Evidence Epochs</w:t>
      </w:r>
    </w:p>
    <w:p>
      <w:pPr/>
      <w:r>
        <w:t>Jack maintains target-aware artifact/evidence metadata. In active Deep Research, Thesis and Antithesis have tools disabled, so governed artifact mutation through the Deep Research cognitive path can occur only in Synthesis when caller tools are supplied. Synthesis owns the resulting answer/execution authority and same-stage tool continuation. Agentic retains Stage1/Stage2 runtime stage semantics, although Agentic Stage 2 tools are disabled. Later governed mutations can stale earlier qualifying evidence; fresh post-mutation evidence can establish POST_MUTATION_EVIDENCE_PRESENT. These states describe execution/provenance scope and MUST NOT be interpreted as automatic semantic correctness of every model claim.</w:t>
      </w:r>
    </w:p>
    <w:p>
      <w:pPr>
        <w:pStyle w:val="Heading2"/>
      </w:pPr>
      <w:r>
        <w:t>11.1 Tool-evidence receipt authority and model-facing projection</w:t>
      </w:r>
    </w:p>
    <w:p>
      <w:pPr/>
      <w:r>
        <w:t>Jack's internal tool-evidence receipt serialization and structural provenance fields are host-authoritative metadata. Reserved &lt;jack_tool_evidence_receipt&gt; wrappers MUST NOT be treated as ordinary model-authored syntax. When a marked internal receipt is projected back into backend-visible stage history, Jack preserves the useful evidence body while removing host-reserved syntax from the ordinary model text surface. Payload text that happens to contain strings such as 'Evidence Origin:', 'Tool Call ID:', 'Stage:', 'Status:', or receipt-like markup remains payload content and MUST NOT acquire host authority merely by resemblance.</w:t>
      </w:r>
    </w:p>
    <w:p>
      <w:pPr/>
      <w:r>
        <w:t>Generic tool-evidence receipts MUST NOT advertise Pi-session recovery authority unless a real Pi-specific recovery path exists. Immediate caller-supplied role=tool resume is explicitly marked by the host as caller_supplied_tool_result while preserving the exact caller payload. Free-form error-looking strings are not parsed into structured failure truth. The reserved-output guard remains authoritative: model-emitted reserved evidence markers are blocked rather than trusted. This preserves useful information while keeping provenance ownership structural and host-controlled.</w:t>
      </w:r>
    </w:p>
    <w:p>
      <w:pPr>
        <w:pStyle w:val="Heading1"/>
      </w:pPr>
      <w:r>
        <w:t>12. Context Lifetime, Turn Capsules, and Mode Isolation</w:t>
      </w:r>
    </w:p>
    <w:p>
      <w:pPr>
        <w:pStyle w:val="ListBullet"/>
      </w:pPr>
      <w:r>
        <w:t>Deep Research active transaction: Preserve Thinking keeps complete Thesis reasoning/output and Antithesis reasoning/output available through Synthesis; Synthesis tool resumes preserve the same Stage-3 reasoning/tool/result chronology.</w:t>
      </w:r>
    </w:p>
    <w:p>
      <w:pPr>
        <w:pStyle w:val="ListBullet"/>
      </w:pPr>
      <w:r>
        <w:t>Deep Research after the final: later history preparation retires only Stage-1 and Stage-2 native reasoning, while exact user content, Thesis/Antithesis outputs, Synthesis tool calls/results, Stage-3 reasoning, and authoritative final remain eligible for downstream continuity.</w:t>
      </w:r>
    </w:p>
    <w:p>
      <w:pPr>
        <w:pStyle w:val="ListBullet"/>
      </w:pPr>
      <w:r>
        <w:t>Deep Research forensic archive: optional disk persistence may retain the complete Thesis/Antithesis/Synthesis transaction for diagnosis, but it is never automatically rehydrated into model context and does not change the live post-final R1/R2-only native-reasoning retirement rule.</w:t>
      </w:r>
    </w:p>
    <w:p>
      <w:pPr>
        <w:pStyle w:val="ListBullet"/>
      </w:pPr>
      <w:r>
        <w:t>Agentic active turn: exact active user message + complete Stage-1 native cognition/tool trajectory + frozen A1 remain available to Stage 2 through ordinary history and Preserve Thinking; Stage 2 uses that immediately adjacent high-bandwidth context for semantic consolidation. A1 is already frozen and Stage 2 has no answer authority.</w:t>
      </w:r>
    </w:p>
    <w:p>
      <w:pPr>
        <w:pStyle w:val="ListBullet"/>
      </w:pPr>
      <w:r>
        <w:t>Agentic after commit: all completed historical user-role messages and visible assistant commits are retained from the caller-supplied conversation history; completed Agentic assistant commits are strongly semantic Jack XML + exact frozen A1, forming ordered per-turn capsules. Historical native thinking and consumed tool-call/result protocol are pruned only after the Stage-2 semantic-consolidation pass has completed. The new active user message is appended as the response target and is not duplicated as completed history.</w:t>
      </w:r>
    </w:p>
    <w:p>
      <w:pPr>
        <w:pStyle w:val="ListBullet"/>
      </w:pPr>
      <w:r>
        <w:t>Agentic forensic archive: optional Stage-1 reasoning/tool record is disk-only, uses the agentic naming/path surface, excludes Stage-2 XML reasoning, and is distinct from live turn-capsule retention.</w:t>
      </w:r>
    </w:p>
    <w:p>
      <w:pPr>
        <w:pStyle w:val="ListBullet"/>
      </w:pPr>
      <w:r>
        <w:t>Code Debugging: durable state is a unique timestamped report under Debugging/Reports/ for each invocation. It contains user-origin Pass 0, every exact Pass 1-5 handoff, and the final work-agent repair specification. Pre-stage native reasoning and assistant intake dialogue are retired at intake freeze; active-pass scratch, tool traffic, and same-pass clarification dialogue are disposable after the handoff is committed. Every fresh pass receives exact Pass 0; Pass 1 receives no prior model audit state; Passes 2-5 receive only the host-derived confirmed prior-finding registry. Full prior handoffs do not enter later live pass context.</w:t>
      </w:r>
    </w:p>
    <w:p>
      <w:pPr>
        <w:pStyle w:val="ListBullet"/>
      </w:pPr>
      <w:r>
        <w:t>Mode switches MUST NOT reinterpret Deep Research stage outputs or forensic records as Agentic durable memory. When Agentic is active, its completed-turn history preparation applies the Agentic exact-user + XML + frozen-A1 policy to caller-supplied history and does not restore forensic traces. When Deep Research is active, its history preparation preserves the complete active TAS transaction through Synthesis and, on later post-final re-entry, retires only R1/R2 native reasoning while retaining the visible Thesis/Antithesis outputs, tool/results, R3, and final answer.</w:t>
      </w:r>
    </w:p>
    <w:p>
      <w:pPr>
        <w:pStyle w:val="Heading1"/>
      </w:pPr>
      <w:r>
        <w:t>13. Runtime Identity and Observability</w:t>
      </w:r>
    </w:p>
    <w:p>
      <w:pPr/>
      <w:r>
        <w:t>Runtime identity exposes Jack version, actual runtime artifact hash, active runtime-component manifest, mode/flow, authoritative stage, reasoning controls, temperatures, tool exposure, context policy, forensic archive mode, and mode-specific retention. The runtime manifest covers jack_kernel.py plus active components registered by the secure entrypoint, including jack_secure_entrypoint.py, jack_evidence_guard.py, and jack_responses_compat.py. Component hashes are deterministic; an unavailable optional component is reported as UNAVAILABLE rather than making startup brittle. Deep Research reports its three-stage Thesis/Antithesis/Synthesis flow with Stage 3 authoritative, Thesis X-High @ 0.85, Antithesis Medium @ 0.70, and Synthesis X-High @ 0.70. Agentic reports frozen-A1 plus zero-answer-authority XML consolidation. Code Debugging reports Standard Medium or Deep X-High reasoning while preserving the same pass topology.</w:t>
      </w:r>
    </w:p>
    <w:p>
      <w:pPr/>
      <w:r>
        <w:t>The runtime manifest is additive forensic identity, not a security gate and not a reason to discard otherwise useful runtime information. /health and root status expose the active component map/digest for diagnosis while preserving fail-soft startup behavior.</w:t>
      </w:r>
    </w:p>
    <w:p>
      <w:pPr>
        <w:pStyle w:val="Heading2"/>
      </w:pPr>
      <w:r>
        <w:t>13.1 Forensic Archive Control</w:t>
      </w:r>
    </w:p>
    <w:p>
      <w:pPr/>
      <w:r>
        <w:t>Launcher option F exposes Forensic archive values STAGE and OFF, with STAGE default. STAGE means mode-appropriate archival for Agentic and Deep Research. Code Debugging uses its separate timestamped Debugging/Reports/ run record and does not use the forensic archive or the static Debugging/Debugging_Report.md template as pass memory. JACK_FORENSIC_ARCHIVE_DIR may replace the default forensic root. No forensic file is automatically rehydrated into model context.</w:t>
      </w:r>
    </w:p>
    <w:p>
      <w:pPr>
        <w:pStyle w:val="Heading1"/>
      </w:pPr>
      <w:r>
        <w:t>14. Control-Plane Extensibility (Non-Normative)</w:t>
      </w:r>
    </w:p>
    <w:p>
      <w:pPr/>
      <w:r>
        <w:t>v0.1.1 ships fixed code-defined reference programs; it does not expose a general end-user stage-graph DSL. Nevertheless, the runtime separates StageProfile, stage prompts, model/reasoning controls, tool permissions, context preparation, resume routing, memory lifetime, evidence state, deterministic user-message retention, safety/policy gates, commit authority, disk-governed loop contracts, and forensic persistence. These primitives make additional code-defined cognition, operations, verification, training-data, routing/escalation, and safety layers possible without redefining the agent or underlying model.</w:t>
      </w:r>
    </w:p>
    <w:p>
      <w:pPr>
        <w:pStyle w:val="Heading1"/>
      </w:pPr>
      <w:r>
        <w:t>15. Additional Use-Case Implications (Non-Normative)</w:t>
      </w:r>
    </w:p>
    <w:p>
      <w:pPr/>
      <w:r>
        <w:t>The following are architectural use cases inferred from implemented control primitives. They are not claims that v0.1.1 already exposes each as a selectable workflow or universal safety policy. Deep Research, Agentic, and Code Debugging are reference programs, not the final product boundary; the purpose of the release is to make the kernel's programmable surfaces concrete enough that new layers can be designed, implemented, and tested.</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951"/>
            <w:vAlign w:val="center"/>
            <w:tcMar>
              <w:top w:w="70" w:type="dxa"/>
              <w:start w:w="85" w:type="dxa"/>
              <w:bottom w:w="70" w:type="dxa"/>
              <w:end w:w="85" w:type="dxa"/>
            </w:tcMar>
            <w:shd w:fill="172033"/>
          </w:tcPr>
          <w:p>
            <w:r>
              <w:rPr>
                <w:b/>
                <w:color w:val="FFFFFF"/>
              </w:rPr>
              <w:t>Use case</w:t>
            </w:r>
          </w:p>
        </w:tc>
        <w:tc>
          <w:tcPr>
            <w:tcW w:type="dxa" w:w="6696"/>
            <w:vAlign w:val="center"/>
            <w:tcMar>
              <w:top w:w="70" w:type="dxa"/>
              <w:start w:w="85" w:type="dxa"/>
              <w:bottom w:w="70" w:type="dxa"/>
              <w:end w:w="85" w:type="dxa"/>
            </w:tcMar>
            <w:shd w:fill="172033"/>
          </w:tcPr>
          <w:p>
            <w:r>
              <w:rPr>
                <w:b/>
                <w:color w:val="FFFFFF"/>
              </w:rPr>
              <w:t>Why Jack primitives are relevant</w:t>
            </w:r>
          </w:p>
        </w:tc>
      </w:tr>
      <w:tr>
        <w:trPr>
          <w:cantSplit/>
        </w:trPr>
        <w:tc>
          <w:tcPr>
            <w:tcW w:type="dxa" w:w="2951"/>
            <w:vAlign w:val="center"/>
            <w:tcMar>
              <w:top w:w="70" w:type="dxa"/>
              <w:start w:w="85" w:type="dxa"/>
              <w:bottom w:w="70" w:type="dxa"/>
              <w:end w:w="85" w:type="dxa"/>
            </w:tcMar>
          </w:tcPr>
          <w:p>
            <w:r>
              <w:t>Human-in-the-loop approval</w:t>
            </w:r>
          </w:p>
        </w:tc>
        <w:tc>
          <w:tcPr>
            <w:tcW w:type="dxa" w:w="6696"/>
            <w:vAlign w:val="center"/>
            <w:tcMar>
              <w:top w:w="70" w:type="dxa"/>
              <w:start w:w="85" w:type="dxa"/>
              <w:bottom w:w="70" w:type="dxa"/>
              <w:end w:w="85" w:type="dxa"/>
            </w:tcMar>
          </w:tcPr>
          <w:p>
            <w:r>
              <w:t>Freeze a candidate before an audit/approval stage; restrict tools after freeze; make release authority external to model preference.</w:t>
            </w:r>
          </w:p>
        </w:tc>
      </w:tr>
      <w:tr>
        <w:trPr>
          <w:cantSplit/>
        </w:trPr>
        <w:tc>
          <w:tcPr>
            <w:tcW w:type="dxa" w:w="2951"/>
            <w:vAlign w:val="center"/>
            <w:tcMar>
              <w:top w:w="70" w:type="dxa"/>
              <w:start w:w="85" w:type="dxa"/>
              <w:bottom w:w="70" w:type="dxa"/>
              <w:end w:w="85" w:type="dxa"/>
            </w:tcMar>
            <w:shd w:fill="F2F5F9"/>
          </w:tcPr>
          <w:p>
            <w:r>
              <w:t>Incident response / forensic review</w:t>
            </w:r>
          </w:p>
        </w:tc>
        <w:tc>
          <w:tcPr>
            <w:tcW w:type="dxa" w:w="6696"/>
            <w:vAlign w:val="center"/>
            <w:tcMar>
              <w:top w:w="70" w:type="dxa"/>
              <w:start w:w="85" w:type="dxa"/>
              <w:bottom w:w="70" w:type="dxa"/>
              <w:end w:w="85" w:type="dxa"/>
            </w:tcMar>
            <w:shd w:fill="F2F5F9"/>
          </w:tcPr>
          <w:p>
            <w:r>
              <w:t>Preserve exact tool chronology out of band, separate model inference from evidence, carry compact grounding/verification/challenge/audit cues, and require fresh artifact inspection when current state matters rather than refeeding retired scratch cognition.</w:t>
            </w:r>
          </w:p>
        </w:tc>
      </w:tr>
      <w:tr>
        <w:trPr>
          <w:cantSplit/>
        </w:trPr>
        <w:tc>
          <w:tcPr>
            <w:tcW w:type="dxa" w:w="2951"/>
            <w:vAlign w:val="center"/>
            <w:tcMar>
              <w:top w:w="70" w:type="dxa"/>
              <w:start w:w="85" w:type="dxa"/>
              <w:bottom w:w="70" w:type="dxa"/>
              <w:end w:w="85" w:type="dxa"/>
            </w:tcMar>
          </w:tcPr>
          <w:p>
            <w:r>
              <w:t>Data migration / infrastructure change</w:t>
            </w:r>
          </w:p>
        </w:tc>
        <w:tc>
          <w:tcPr>
            <w:tcW w:type="dxa" w:w="6696"/>
            <w:vAlign w:val="center"/>
            <w:tcMar>
              <w:top w:w="70" w:type="dxa"/>
              <w:start w:w="85" w:type="dxa"/>
              <w:bottom w:w="70" w:type="dxa"/>
              <w:end w:w="85" w:type="dxa"/>
            </w:tcMar>
          </w:tcPr>
          <w:p>
            <w:r>
              <w:t>Bind mutations to artifact targets, invalidate stale verification after changes, and require fresh evidence before a release boundary.</w:t>
            </w:r>
          </w:p>
        </w:tc>
      </w:tr>
      <w:tr>
        <w:trPr>
          <w:cantSplit/>
        </w:trPr>
        <w:tc>
          <w:tcPr>
            <w:tcW w:type="dxa" w:w="2951"/>
            <w:vAlign w:val="center"/>
            <w:tcMar>
              <w:top w:w="70" w:type="dxa"/>
              <w:start w:w="85" w:type="dxa"/>
              <w:bottom w:w="70" w:type="dxa"/>
              <w:end w:w="85" w:type="dxa"/>
            </w:tcMar>
            <w:shd w:fill="F2F5F9"/>
          </w:tcPr>
          <w:p>
            <w:r>
              <w:t>Local/private document work</w:t>
            </w:r>
          </w:p>
        </w:tc>
        <w:tc>
          <w:tcPr>
            <w:tcW w:type="dxa" w:w="6696"/>
            <w:vAlign w:val="center"/>
            <w:tcMar>
              <w:top w:w="70" w:type="dxa"/>
              <w:start w:w="85" w:type="dxa"/>
              <w:bottom w:w="70" w:type="dxa"/>
              <w:end w:w="85" w:type="dxa"/>
            </w:tcMar>
            <w:shd w:fill="F2F5F9"/>
          </w:tcPr>
          <w:p>
            <w:r>
              <w:t>Use local OpenAI-compatible backends while grounding preserves observed evidence, verification records deterministic scope, and exact user-role history remains authoritative.</w:t>
            </w:r>
          </w:p>
        </w:tc>
      </w:tr>
      <w:tr>
        <w:trPr>
          <w:cantSplit/>
        </w:trPr>
        <w:tc>
          <w:tcPr>
            <w:tcW w:type="dxa" w:w="2951"/>
            <w:vAlign w:val="center"/>
            <w:tcMar>
              <w:top w:w="70" w:type="dxa"/>
              <w:start w:w="85" w:type="dxa"/>
              <w:bottom w:w="70" w:type="dxa"/>
              <w:end w:w="85" w:type="dxa"/>
            </w:tcMar>
          </w:tcPr>
          <w:p>
            <w:r>
              <w:t>Project or worker handoff</w:t>
            </w:r>
          </w:p>
        </w:tc>
        <w:tc>
          <w:tcPr>
            <w:tcW w:type="dxa" w:w="6696"/>
            <w:vAlign w:val="center"/>
            <w:tcMar>
              <w:top w:w="70" w:type="dxa"/>
              <w:start w:w="85" w:type="dxa"/>
              <w:bottom w:w="70" w:type="dxa"/>
              <w:end w:w="85" w:type="dxa"/>
            </w:tcMar>
          </w:tcPr>
          <w:p>
            <w:r>
              <w:t>Carry exact user instructions and committed outputs while strongly semantic Jack XML preserves evidence limits, prospective invalidators/assumptions, and discovered-error state as downstream attention guidance; require fresh inspection/tools for current workspace state.</w:t>
            </w:r>
          </w:p>
        </w:tc>
      </w:tr>
      <w:tr>
        <w:trPr>
          <w:cantSplit/>
        </w:trPr>
        <w:tc>
          <w:tcPr>
            <w:tcW w:type="dxa" w:w="2951"/>
            <w:vAlign w:val="center"/>
            <w:tcMar>
              <w:top w:w="70" w:type="dxa"/>
              <w:start w:w="85" w:type="dxa"/>
              <w:bottom w:w="70" w:type="dxa"/>
              <w:end w:w="85" w:type="dxa"/>
            </w:tcMar>
            <w:shd w:fill="F2F5F9"/>
          </w:tcPr>
          <w:p>
            <w:r>
              <w:t>Permission-staged tool use</w:t>
            </w:r>
          </w:p>
        </w:tc>
        <w:tc>
          <w:tcPr>
            <w:tcW w:type="dxa" w:w="6696"/>
            <w:vAlign w:val="center"/>
            <w:tcMar>
              <w:top w:w="70" w:type="dxa"/>
              <w:start w:w="85" w:type="dxa"/>
              <w:bottom w:w="70" w:type="dxa"/>
              <w:end w:w="85" w:type="dxa"/>
            </w:tcMar>
            <w:shd w:fill="F2F5F9"/>
          </w:tcPr>
          <w:p>
            <w:r>
              <w:t>Expose read/search tools to discovery, mutation tools to execution, and no tools to review/checkpoint stages so evaluation cannot alter the object it judges.</w:t>
            </w:r>
          </w:p>
        </w:tc>
      </w:tr>
      <w:tr>
        <w:trPr>
          <w:cantSplit/>
        </w:trPr>
        <w:tc>
          <w:tcPr>
            <w:tcW w:type="dxa" w:w="2951"/>
            <w:vAlign w:val="center"/>
            <w:tcMar>
              <w:top w:w="70" w:type="dxa"/>
              <w:start w:w="85" w:type="dxa"/>
              <w:bottom w:w="70" w:type="dxa"/>
              <w:end w:w="85" w:type="dxa"/>
            </w:tcMar>
          </w:tcPr>
          <w:p>
            <w:r>
              <w:t>Confirmation-bias / sycophancy resistance</w:t>
            </w:r>
          </w:p>
        </w:tc>
        <w:tc>
          <w:tcPr>
            <w:tcW w:type="dxa" w:w="6696"/>
            <w:vAlign w:val="center"/>
            <w:tcMar>
              <w:top w:w="70" w:type="dxa"/>
              <w:start w:w="85" w:type="dxa"/>
              <w:bottom w:w="70" w:type="dxa"/>
              <w:end w:w="85" w:type="dxa"/>
            </w:tcMar>
          </w:tcPr>
          <w:p>
            <w:r>
              <w:t>Use the three-lens challenge to test premises, material invalidators, and unsupported hidden assumptions; keep verifiability in the dedicated verification block. User preference cannot change truth conditions.</w:t>
            </w:r>
          </w:p>
        </w:tc>
      </w:tr>
      <w:tr>
        <w:trPr>
          <w:cantSplit/>
        </w:trPr>
        <w:tc>
          <w:tcPr>
            <w:tcW w:type="dxa" w:w="4997"/>
          </w:tcPr>
          <w:p>
            <w:r>
              <w:t>Long-horizon instruction provenance</w:t>
            </w:r>
          </w:p>
        </w:tc>
        <w:tc>
          <w:tcPr>
            <w:tcW w:type="dxa" w:w="4997"/>
          </w:tcPr>
          <w:p>
            <w:r>
              <w:t>Keep exact user requests paired with the strongly semantic checkpoint and committed result for their own turns, enabling later verbatim/ordinal/supersession and epistemic-state questions without relying on a probabilistic rolling summary or retained raw reasoning.</w:t>
            </w:r>
          </w:p>
        </w:tc>
      </w:tr>
      <w:tr>
        <w:trPr>
          <w:cantSplit/>
        </w:trPr>
        <w:tc>
          <w:tcPr>
            <w:tcW w:type="dxa" w:w="4997"/>
          </w:tcPr>
          <w:p>
            <w:r>
              <w:t>Independent safety / policy enforcement</w:t>
            </w:r>
          </w:p>
        </w:tc>
        <w:tc>
          <w:tcPr>
            <w:tcW w:type="dxa" w:w="4997"/>
          </w:tcPr>
          <w:p>
            <w:r>
              <w:t>Place code-defined request, tool, validator, approval, or output/commit gates in Jack so a denied transition remains denied regardless of agent intent or LLM compliance. Policy contents are deployment-defined unless separately specified.</w:t>
            </w:r>
          </w:p>
        </w:tc>
      </w:tr>
      <w:tr>
        <w:trPr>
          <w:cantSplit/>
        </w:trPr>
        <w:tc>
          <w:tcPr>
            <w:tcW w:type="dxa" w:w="4997"/>
          </w:tcPr>
          <w:p>
            <w:r>
              <w:t>Model-fit mode routing</w:t>
            </w:r>
          </w:p>
        </w:tc>
        <w:tc>
          <w:tcPr>
            <w:tcW w:type="dxa" w:w="4997"/>
          </w:tcPr>
          <w:p>
            <w:r>
              <w:t>Use Deep Research when a model or task benefits from role-aware planning, concentrated adversarial friction, independent authoritative finalization, and loop-failsafe output ceilings; use Agentic with capable Qwen Preserve-Thinking models when full native current-turn cognition can be semantically consolidated into context-efficient downstream attention anchors; use/adapt disk-governed pass contracts for long-horizon tasks.</w:t>
            </w:r>
          </w:p>
        </w:tc>
      </w:tr>
      <w:tr>
        <w:trPr>
          <w:cantSplit/>
        </w:trPr>
        <w:tc>
          <w:tcPr>
            <w:tcW w:type="dxa" w:w="4997"/>
          </w:tcPr>
          <w:p>
            <w:r>
              <w:t>Safety-layer composition</w:t>
            </w:r>
          </w:p>
        </w:tc>
        <w:tc>
          <w:tcPr>
            <w:tcW w:type="dxa" w:w="4997"/>
          </w:tcPr>
          <w:p>
            <w:r>
              <w:t>Compose input policy, stage/tool permission, deterministic validator, human approval, output screening, and commit/release gates in the kernel so safety decisions remain external to agent/model compliance.</w:t>
            </w:r>
          </w:p>
        </w:tc>
      </w:tr>
      <w:tr>
        <w:trPr>
          <w:cantSplit/>
        </w:trPr>
        <w:tc>
          <w:tcPr>
            <w:tcW w:type="dxa" w:w="4997"/>
          </w:tcPr>
          <w:p>
            <w:r>
              <w:t>Auditable diagnostic loop</w:t>
            </w:r>
          </w:p>
        </w:tc>
        <w:tc>
          <w:tcPr>
            <w:tcW w:type="dxa" w:w="4997"/>
          </w:tcPr>
          <w:p>
            <w:r>
              <w:t>Streamed intake -&gt; user-only Pass 0 freeze -&gt; five fresh shared-category one-problem audits under cascading temperature -&gt; append each handoff to a unique run report -&gt; retire transient state -&gt; host-derived confirmed-prior-finding-registry next pass -&gt; tools-off final synthesis over all saved current-run summaries.</w:t>
            </w:r>
          </w:p>
        </w:tc>
      </w:tr>
      <w:tr>
        <w:tc>
          <w:tcPr>
            <w:tcW w:type="dxa" w:w="4997"/>
          </w:tcPr>
          <w:p>
            <w:r>
              <w:t>New programmable layer development</w:t>
            </w:r>
          </w:p>
        </w:tc>
        <w:tc>
          <w:tcPr>
            <w:tcW w:type="dxa" w:w="4997"/>
          </w:tcPr>
          <w:p>
            <w:r>
              <w:t>Use StageProfile, context, tools, evidence, validators, safety gates, model-routing, disk state, forensic and commit surfaces to build task-specific layers beyond the packaged examples; evaluate whether host authority is explicit, testable, and observable.</w:t>
            </w:r>
          </w:p>
        </w:tc>
      </w:tr>
    </w:tbl>
    <w:p>
      <w:r/>
    </w:p>
    <w:p>
      <w:pPr>
        <w:pStyle w:val="Heading1"/>
      </w:pPr>
      <w:r>
        <w:t>16. Validation Status and Limits</w:t>
      </w:r>
    </w:p>
    <w:p>
      <w:pPr>
        <w:pStyle w:val="ListBullet"/>
      </w:pPr>
      <w:r>
        <w:t>Python compilation and release profile checks: PASS.</w:t>
      </w:r>
    </w:p>
    <w:p>
      <w:pPr>
        <w:pStyle w:val="ListBullet"/>
      </w:pPr>
      <w:r>
        <w:t>Deep Research current Thesis/Antithesis/Synthesis stage-local contracts, system isolation, causal stage-boundary topology, and full active-turn retention through Synthesis: PASS.</w:t>
      </w:r>
    </w:p>
    <w:p>
      <w:pPr>
        <w:pStyle w:val="ListBullet"/>
      </w:pPr>
      <w:r>
        <w:t>Deep Research Stage 1: X-High @ 0.85, Preserve Thinking ON, tools/tool_choice absent, host max_tokens 100000, First-Principles plan for Synthesis, may plan required capabilities/execution but cannot execute or claim execution: PASS.</w:t>
      </w:r>
    </w:p>
    <w:p>
      <w:pPr>
        <w:pStyle w:val="ListBullet"/>
      </w:pPr>
      <w:r>
        <w:t>Deep Research Stage 2: Medium @ 0.70, Preserve Thinking ON, tools OFF, host max_tokens 20000, Thesis-as-plan awareness, material premises/alignment/failure questioning, strongest-material-questions-and-stop, questions only, zero answer authority: PASS.</w:t>
      </w:r>
    </w:p>
    <w:p>
      <w:pPr>
        <w:pStyle w:val="ListBullet"/>
      </w:pPr>
      <w:r>
        <w:t>Deep Research Stage 3: X-High @ 0.70, Preserve Thinking ON, host max_tokens 100000, caller tools enabled when supplied, sole reasoning/execution/final-answer authority, host-tool-result-only execution evidence, same-stage tool resume: PASS.</w:t>
      </w:r>
    </w:p>
    <w:p>
      <w:pPr>
        <w:pStyle w:val="ListBullet"/>
      </w:pPr>
      <w:r>
        <w:t>Thesis-&gt;Antithesis and Antithesis-&gt;Synthesis causal generation boundaries include the exact active user request as reminder context, explicit THESIS/ANTITHESIS input identity, and a not-a-new-user-request disclaimer; both boundaries persist through Synthesis; active_response_target ignores internal boundaries: PASS.</w:t>
      </w:r>
    </w:p>
    <w:p>
      <w:pPr>
        <w:pStyle w:val="ListBullet"/>
      </w:pPr>
      <w:r>
        <w:t>Deep Research Thesis history projection excludes historical role=tool messages and assistant messages carrying tool_calls from the Stage-1 backend view while canonical retention remains unchanged; active-turn history performs no R1/R2 pruning before Synthesis, and Stage 3 receives complete Thesis + Antithesis reasoning/output chronology: PASS.</w:t>
      </w:r>
    </w:p>
    <w:p>
      <w:pPr>
        <w:pStyle w:val="ListBullet"/>
      </w:pPr>
      <w:r>
        <w:t>Deep Research host-side max_tokens failsafes are 100000 / 20000 / 100000 and are not projected into model context; Agentic remains X-High -&gt; X-High and is not given those Deep Research ceilings: PASS.</w:t>
      </w:r>
    </w:p>
    <w:p>
      <w:pPr>
        <w:pStyle w:val="ListBullet"/>
      </w:pPr>
      <w:r>
        <w:t>Deep Research post-final history preparation retires Stage-1/Stage-2 native reasoning only and retains Thesis/Antithesis outputs, tool chronology/results, Stage-3 reasoning, and final answer; non-stream and stream paths commit only the completed Stage-3 Synthesis answer as authoritative and tool resumes continue the same Synthesis transaction: PASS.</w:t>
      </w:r>
    </w:p>
    <w:p>
      <w:pPr>
        <w:pStyle w:val="ListBullet"/>
      </w:pPr>
      <w:r>
        <w:t>Deep Research has no reintroduced cognitive-output validator, semantic-equality/staleness heuristic, post-EOS artifact resolver, or retry loop; forensic archive remains out-of-band from live authority: PASS.</w:t>
      </w:r>
    </w:p>
    <w:p>
      <w:pPr>
        <w:pStyle w:val="ListBullet"/>
      </w:pPr>
      <w:r>
        <w:t>Agentic four-block semantic-consolidation checkpoint: native X-High Stage 1 @ 0.70; tools-off X-High Jack-XML Stage 2 @ 0.50 with full immediate Preserve-Thinking access to Stage-1 cognition/tools/A1; exact frozen A1; exact-user retention; completed native-cognition/tool retirement; challenge PREMISE / INVALIDATION / HIDDEN ASSUMPTION; audit limited to concrete discovered A1 mistakes: PASS.</w:t>
      </w:r>
    </w:p>
    <w:p>
      <w:pPr>
        <w:pStyle w:val="ListBullet"/>
      </w:pPr>
      <w:r>
        <w:t>Code Debugging profile split: Standard uses Medium reasoning; Code Debugging (Deep) uses X-High; topology, prompts, tools, context isolation, temperature cascade, durable reporting, and final synthesis otherwise match: PASS.</w:t>
      </w:r>
    </w:p>
    <w:p>
      <w:pPr>
        <w:pStyle w:val="ListBullet"/>
      </w:pPr>
      <w:r>
        <w:t>Backend retry, debugging modes, release profiles, Pi BOM/default-URL regression coverage, resilience, and authority-boundary tests supplied with the public release: PASS.</w:t>
      </w:r>
    </w:p>
    <w:p>
      <w:pPr>
        <w:pStyle w:val="ListBullet"/>
      </w:pPr>
      <w:r>
        <w:t>Orchestration Gateway v2 boundary validation: Jack-only supervisor routing/isolation; five-tool reference surface; semantic instruction-&gt;prompt adapter; run-bound task/run/epoch identity; agent_settled closure; 512-event replay plus explicit 409 gap; cancellation/physical settlement; unsettled-run admission guard; direct and full-topology concurrency; Primary-Pi-unavailable HTTP 502; current validated Windows CRLF bridge SHA-256 E758883F3C18CBEFBF5590C720DBEDF7AB8E85D3314B5EA77E277B1A8C3BD3E4 (canonical repository LF SHA-256 723338D4F67295AEC5B75886EFEF7843C1A44D01934BF9CBB7C2304B4603F92C): PASS.</w:t>
      </w:r>
    </w:p>
    <w:p>
      <w:pPr>
        <w:pStyle w:val="ListBullet"/>
      </w:pPr>
      <w:r>
        <w:t>General orchestration-agent contract: local-model supervisor cognition through Jack /v1, cloud-model supervisor native cloud cognition, all worker control through /jack/orchestration, active-task SSE consumption, replay from last seq after disconnect, silence-not-settlement semantics, no direct bridge/backend fallback, and separation between probabilistic cancellation judgment and Jack-owned cancellation/settlement facts: documented in the canonical Gateway v2 Technical Specification and Orchestrator Instructions.</w:t>
      </w:r>
    </w:p>
    <w:p>
      <w:pPr>
        <w:pStyle w:val="ListBullet"/>
      </w:pPr>
      <w:r>
        <w:t>Evidence/provenance hardening: reserved receipt syntax remains host-owned; payload provenance-lookalike text cannot impersonate host truth; immediate caller-supplied tool resume carries explicit structural origin; useful payload is preserved; generic tool results do not inherit Pi-specific recovery authority: PASS.</w:t>
      </w:r>
    </w:p>
    <w:p>
      <w:pPr>
        <w:pStyle w:val="ListBullet"/>
      </w:pPr>
      <w:r>
        <w:t>Surgical resilience regression set: compatibility-adjusted payloads remain adjusted across later 5xx retries in stream and non-stream paths; active runtime manifest identity is deterministic and fail-soft; Pi retry epochs separate historical assistant failure from a newer live retry; recoverable structured tool failures remain diagnostic without forcing an otherwise successful task to fail; 41 Python tests, four Pi bridge harnesses, and a live Pi recoverable-tool-failure run passed at the validated resilience baseline.</w:t>
      </w:r>
    </w:p>
    <w:p>
      <w:pPr>
        <w:pStyle w:val="ListBullet"/>
      </w:pPr>
      <w:r>
        <w:t>Live semantic quality remains model/task dependent. Host regressions validate control-plane behavior, not whether a particular model uses Preserve Thinking, Thesis/Antithesis friction, Synthesis authority, or Jack XML well enough to improve answers.</w:t>
      </w:r>
    </w:p>
    <w:p>
      <w:pPr>
        <w:pStyle w:val="ListBullet"/>
      </w:pPr>
      <w:r>
        <w:t>Program-level matched-model studies remain useful research, but they are not the primary product claim of this release. A central platform question is whether developers can use the same kernel surfaces to construct new explicit, testable layers for cognition, memory, verification, safety, routing, disk-governed loops, and training-data generation.</w:t>
      </w:r>
    </w:p>
    <w:p>
      <w:pPr>
        <w:pStyle w:val="ListBullet"/>
      </w:pPr>
      <w:r>
        <w:t>Recommended-use positioning - Deep Research for deeply studying difficult and complicated tasks with governed planning, material adversarial scrutiny, and independent authoritative finalization; Agentic for capable Qwen Preserve-Thinking multi-turn context management through native-cognition -&gt; semantic-consolidation -&gt; raw-cognition retirement; Code Debugging Standard for the five-audit forensic loop at Medium reasoning; Code Debugging (Deep) for the same loop at X-High reasoning. These are reference programs, not selector-enforced model-size categories.</w:t>
      </w:r>
    </w:p>
    <w:p>
      <w:pPr>
        <w:pStyle w:val="ListBullet"/>
      </w:pPr>
      <w:r>
        <w:t>Independent safety-layer composition is a control-plane capability; the regression suite does not certify any particular deployment policy as complete or sufficient.</w:t>
      </w:r>
    </w:p>
    <w:p>
      <w:pPr/>
      <w:r>
        <w:t>Package regressions establish deterministic host orchestration. They do not establish semantic correctness, prove that a model used preserved cognition effectively, or prove reductions in hallucination, confirmation bias, sycophancy, or long-horizon error. Nor should the bundled examples be mistaken for the boundary of Jack. The release-level platform thesis is that these same host-authoritative surfaces can support additional code-defined layers whose behavior and authority can be independently tested.</w:t>
      </w:r>
    </w:p>
    <w:p>
      <w:pPr>
        <w:pStyle w:val="Heading1"/>
      </w:pPr>
      <w:r>
        <w:t>17. Distribution and Commercial Licensing (Non-Normative)</w:t>
      </w:r>
    </w:p>
    <w:p>
      <w:pPr/>
      <w:r>
        <w:t>The public repository is source-available under the full, unmodified PolyForm Noncommercial License 1.0.0 included in LICENSE. Use is permitted only as provided by those terms. Commercial use requires a separate written commercial license from the licensor. NOTICE contains the required copyright notice and licensing contact; COMMERCIAL_LICENSE.md describes the separate commercial-licensing path.</w:t>
      </w:r>
    </w:p>
    <w:p>
      <w:pPr/>
      <w:r>
        <w:t>Licensing is separate from runtime semantics. This specification describes the published v0.1.1 implementation with the live-accepted Orchestration Gateway v2 integration; it does not itself grant software-use rights and is not a substitute for the repository LICENSE or a separately executed commercial agreement. Where licensing language differs, the applicable license agreement controls.</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1008"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Jack Kernel v0.1.1  |  Orchestration Gateway v2 accepted  |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JackKicker"/>
      <w:jc w:val="left"/>
      <w:pBdr>
        <w:bottom w:val="single" w:sz="6" w:space="4" w:color="D7DEE8"/>
      </w:pBdr>
    </w:pPr>
    <w:r>
      <w:t>RUNTIME SPECIFICATION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4" w:line="259" w:lineRule="auto"/>
    </w:pPr>
    <w:rPr>
      <w:rFonts w:ascii="Aptos" w:hAnsi="Aptos"/>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72033"/>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44546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72033"/>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ackSubtitle">
    <w:name w:val="Jack Subtitle"/>
    <w:pPr>
      <w:spacing w:after="140"/>
    </w:pPr>
    <w:rPr>
      <w:rFonts w:ascii="Aptos" w:hAnsi="Aptos"/>
      <w:color w:val="44546A"/>
      <w:sz w:val="24"/>
    </w:rPr>
  </w:style>
  <w:style w:type="paragraph" w:customStyle="1" w:styleId="JackKicker">
    <w:name w:val="Jack Kicker"/>
    <w:pPr>
      <w:spacing w:after="120"/>
    </w:pPr>
    <w:rPr>
      <w:rFonts w:ascii="Aptos" w:hAnsi="Aptos"/>
      <w:b/>
      <w:color w:val="2F5597"/>
      <w:sz w:val="17"/>
    </w:rPr>
  </w:style>
  <w:style w:type="paragraph" w:customStyle="1" w:styleId="JackQuote">
    <w:name w:val="Jack Quote"/>
    <w:pPr>
      <w:spacing w:before="140" w:after="160"/>
      <w:ind w:left="317" w:right="317"/>
    </w:pPr>
    <w:rPr>
      <w:rFonts w:ascii="Aptos" w:hAnsi="Aptos"/>
      <w:i/>
      <w:color w:val="44546A"/>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Jack Kernel v0.1.1 Runtime Specification</dc:title>
  <dc:subject>Jack Kernel v0.1.1 current release documentation</dc:subject>
  <dc:creator>python-docx</dc:creator>
  <cp:keywords/>
  <dc:description>generated by python-docx</dc:description>
  <cp:lastModifiedBy/>
  <cp:revision>1</cp:revision>
  <dcterms:created xsi:type="dcterms:W3CDTF">2013-12-23T23:15:00Z</dcterms:created>
  <dcterms:modified xsi:type="dcterms:W3CDTF">2026-09-17T00:00:00Z</dcterms:modified>
  <cp:category/>
</cp:coreProperties>
</file>