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7390E" w14:textId="77777777" w:rsidR="002E5BBE" w:rsidRDefault="00000000">
      <w:pPr>
        <w:pStyle w:val="Heading1"/>
      </w:pPr>
      <w:bookmarkStart w:id="0" w:name="X37741d1036213c5a4cd068eb0e2bc6335a8eed7"/>
      <w:r>
        <w:t>Ballot Complexity, Voter Error, and Invalid Votes</w:t>
      </w:r>
    </w:p>
    <w:p w14:paraId="79E4A73F" w14:textId="77777777" w:rsidR="002E5BBE" w:rsidRDefault="00000000">
      <w:pPr>
        <w:pStyle w:val="Heading2"/>
      </w:pPr>
      <w:bookmarkStart w:id="1" w:name="X642d3aa0191f84122e91a5d5cd14da708478c12"/>
      <w:r>
        <w:t>A Systematic Review with Comparison Tables — Including Policy Recommendations, Turnout Inequality Analysis, and Consequences for Minority Representation</w:t>
      </w:r>
    </w:p>
    <w:p w14:paraId="53F121EF" w14:textId="77777777" w:rsidR="002E5BBE" w:rsidRDefault="00000000">
      <w:pPr>
        <w:pStyle w:val="FirstParagraph"/>
      </w:pPr>
      <w:r>
        <w:rPr>
          <w:b/>
          <w:bCs/>
        </w:rPr>
        <w:t>Consolidated Working Document — March 2026 (v2, May 2026: Coll integration)</w:t>
      </w:r>
    </w:p>
    <w:p w14:paraId="64AFA603" w14:textId="77777777" w:rsidR="002E5BBE" w:rsidRDefault="004224A1">
      <w:r>
        <w:rPr>
          <w:noProof/>
        </w:rPr>
        <w:pict w14:anchorId="462DFA01">
          <v:rect id="_x0000_i1026" alt="" style="width:468pt;height:.05pt;mso-width-percent:0;mso-height-percent:0;mso-width-percent:0;mso-height-percent:0" o:hralign="center" o:hrstd="t" o:hr="t"/>
        </w:pict>
      </w:r>
    </w:p>
    <w:p w14:paraId="4180B946" w14:textId="77777777" w:rsidR="002E5BBE" w:rsidRDefault="00000000">
      <w:pPr>
        <w:pStyle w:val="Heading2"/>
      </w:pPr>
      <w:bookmarkStart w:id="2" w:name="scope-and-purpose"/>
      <w:bookmarkEnd w:id="1"/>
      <w:r>
        <w:t>1. Scope and Purpose</w:t>
      </w:r>
    </w:p>
    <w:p w14:paraId="025099C3" w14:textId="77777777" w:rsidR="002E5BBE" w:rsidRDefault="00000000">
      <w:pPr>
        <w:pStyle w:val="FirstParagraph"/>
      </w:pPr>
      <w:r>
        <w:t>This document provides a consolidated, topic-ordered survey of the scholarly literature on the relationship between ballot structure, electoral system design, and invalid or faulty voting, together with comparison matrices, policy recommendations, and an analysis of turnout inequality and representational bias. It is intended as a preparatory resource for a meta-analysis. The review synthesizes findings from experimental studies, observational cross-national analyses, single-country case studies, formal theoretical models, and US-based studies of ballot rejection. It covers work from the mid-1990s through early 2026.</w:t>
      </w:r>
    </w:p>
    <w:p w14:paraId="69276D75" w14:textId="77777777" w:rsidR="002E5BBE" w:rsidRDefault="00000000">
      <w:pPr>
        <w:pStyle w:val="BodyText"/>
      </w:pPr>
      <w:r>
        <w:t>The document is organized as follows: Sections 2–6 present the thematic literature review. Section 7 contains four comparison tables covering error rates, participation effects, turnout inequality, and US ballot rejection studies. Section 8 presents policy recommendations for minimizing voter error. Section 9 integrates participation as a design dimension. Section 10 addresses turnout inequalities and bias in results. Section 11 identifies research gaps. Section 12 provides the full topic-ordered bibliography.</w:t>
      </w:r>
    </w:p>
    <w:p w14:paraId="289F1460" w14:textId="77777777" w:rsidR="002E5BBE" w:rsidRDefault="00000000">
      <w:pPr>
        <w:pStyle w:val="Heading2"/>
      </w:pPr>
      <w:bookmarkStart w:id="3" w:name="Xa4b1a12f71e3396f609be5dd5bb3a4f55323f01"/>
      <w:bookmarkEnd w:id="2"/>
      <w:r>
        <w:t>2. Conceptual Landscape: What Are Invalid Votes?</w:t>
      </w:r>
    </w:p>
    <w:p w14:paraId="79DD5C72" w14:textId="77777777" w:rsidR="002E5BBE" w:rsidRDefault="00000000">
      <w:pPr>
        <w:pStyle w:val="Heading3"/>
      </w:pPr>
      <w:bookmarkStart w:id="4" w:name="X3beca880345d42c251edb85915a1bf579f0c3e9"/>
      <w:r>
        <w:t>2.1 Defining Invalid, Spoiled, and Faulty Votes</w:t>
      </w:r>
    </w:p>
    <w:p w14:paraId="3C307CBF" w14:textId="77777777" w:rsidR="002E5BBE" w:rsidRDefault="00000000">
      <w:pPr>
        <w:pStyle w:val="FirstParagraph"/>
      </w:pPr>
      <w:r>
        <w:t>The literature uses overlapping terms. Kouba and Lysek (2019), in their comprehensive review and meta-analysis of 54 studies, propose a two-dimensional framework distinguishing the level of political support from subjective political empowerment, generating four ideal types: the protester, the disenchanted, the confused, and the indifferent. Haase Formánková et al. (2026) sharpen this by separating invalid votes (entirely disqualified) from mismarked votes (containing errors but with partial intent captured). Flis and Kaminski (2025) further expand the concept to “faulty votes,” which include formally valid ballots driven by primacy effects rather than considered preferences.</w:t>
      </w:r>
    </w:p>
    <w:p w14:paraId="2B2E847A" w14:textId="77777777" w:rsidR="002E5BBE" w:rsidRDefault="00000000">
      <w:pPr>
        <w:pStyle w:val="Heading3"/>
      </w:pPr>
      <w:bookmarkStart w:id="5" w:name="X5679c4ce266dcd4f6b21e807b9667a685f2fbe0"/>
      <w:bookmarkEnd w:id="4"/>
      <w:r>
        <w:t>2.2 Intentional vs. Accidental Invalid Voting</w:t>
      </w:r>
    </w:p>
    <w:p w14:paraId="329D1509" w14:textId="77777777" w:rsidR="002E5BBE" w:rsidRDefault="00000000">
      <w:pPr>
        <w:pStyle w:val="FirstParagraph"/>
      </w:pPr>
      <w:r>
        <w:t xml:space="preserve">Uggla (2008), analyzing over 200 elections in 39 countries, finds that political competition structure—particularly the dominance of a single large party—is the strongest predictor of </w:t>
      </w:r>
      <w:r>
        <w:lastRenderedPageBreak/>
        <w:t>invalid ballot rates. Cohen (2018) shows that invalid voting in Latin American presidential elections is driven by government-performance evaluations among politically knowledgeable citizens. Arbache, Freire, and Rodrigues (2015) complicate this for Brazil, showing that sheer lack of preference is a significant predictor distinct from both distrust and incompetence. Experimental designs offer the clearest resolution: Haase Formánková et al. (2026) show that blank ballots in their experimental setting reflect confusion rather than protest.</w:t>
      </w:r>
    </w:p>
    <w:p w14:paraId="4F3CD681" w14:textId="77777777" w:rsidR="002E5BBE" w:rsidRDefault="00000000">
      <w:pPr>
        <w:pStyle w:val="Heading2"/>
      </w:pPr>
      <w:bookmarkStart w:id="6" w:name="X39f7074686b6f49e082fde3216e124a6fa68cb3"/>
      <w:bookmarkEnd w:id="3"/>
      <w:bookmarkEnd w:id="5"/>
      <w:r>
        <w:t>3. Electoral System and Institutional Determinants</w:t>
      </w:r>
    </w:p>
    <w:p w14:paraId="6BFE03B4" w14:textId="77777777" w:rsidR="002E5BBE" w:rsidRDefault="00000000">
      <w:pPr>
        <w:pStyle w:val="Heading3"/>
      </w:pPr>
      <w:bookmarkStart w:id="7" w:name="electoral-system-type"/>
      <w:r>
        <w:t>3.1 Electoral System Type</w:t>
      </w:r>
    </w:p>
    <w:p w14:paraId="0AE0FF5D" w14:textId="77777777" w:rsidR="002E5BBE" w:rsidRDefault="00000000">
      <w:pPr>
        <w:pStyle w:val="FirstParagraph"/>
      </w:pPr>
      <w:r>
        <w:t>Kouba and Lysek (2016, 2019) find compulsory voting is the most consistent positive predictor of invalid voting. Flis and Kaminski (2025) directly compare OLPR with SMD elections held simultaneously among the same Polish voters, finding 12.87% more eligible voters cast a “faulty” vote under OLPR—over 25% more as a share of actual voters. Their “PR blow” is similar in magnitude but opposite in direction to the well-documented “PR boost” in turnout. Fatke and Heinsohn (2017) study invalid voting in Germany’s mixed system and find support for politico-institutional explanations.</w:t>
      </w:r>
    </w:p>
    <w:p w14:paraId="74B146B5" w14:textId="77777777" w:rsidR="002E5BBE" w:rsidRDefault="00000000">
      <w:pPr>
        <w:pStyle w:val="Heading3"/>
      </w:pPr>
      <w:bookmarkStart w:id="8" w:name="concurrent-elections"/>
      <w:bookmarkEnd w:id="7"/>
      <w:r>
        <w:t>3.2 Concurrent Elections</w:t>
      </w:r>
    </w:p>
    <w:p w14:paraId="4FF2893C" w14:textId="77777777" w:rsidR="002E5BBE" w:rsidRDefault="00000000">
      <w:pPr>
        <w:pStyle w:val="FirstParagraph"/>
      </w:pPr>
      <w:r>
        <w:t>Lysek and Kouba (2022) exploit a natural experiment in Czech precincts showing that concurrent elections produce strong effects on invalid voting even when turnout gains are modest. Spáč and Zagrapan (2025) find similar results in Slovakia. The accumulation of ballots taxes voter attention.</w:t>
      </w:r>
    </w:p>
    <w:p w14:paraId="2687A9D3" w14:textId="77777777" w:rsidR="002E5BBE" w:rsidRDefault="00000000">
      <w:pPr>
        <w:pStyle w:val="Heading3"/>
      </w:pPr>
      <w:bookmarkStart w:id="9" w:name="electoral-competition-and-scrutiny"/>
      <w:bookmarkEnd w:id="8"/>
      <w:r>
        <w:t>3.3 Electoral Competition and Scrutiny</w:t>
      </w:r>
    </w:p>
    <w:p w14:paraId="3D8AD420" w14:textId="77777777" w:rsidR="002E5BBE" w:rsidRDefault="00000000">
      <w:pPr>
        <w:pStyle w:val="FirstParagraph"/>
      </w:pPr>
      <w:r>
        <w:t>Aldashev and Mastrobuoni (2019), studying Italian parliamentary elections 1994–2001, find a strong negative relationship between margin of victory and invalid ballot share. They argue this reflects rational effort allocation by election officers who scrutinize ballots more carefully in close contests—implying observed invalid rates may be endogenous to competitiveness.</w:t>
      </w:r>
    </w:p>
    <w:p w14:paraId="11F8AC9D" w14:textId="77777777" w:rsidR="002E5BBE" w:rsidRDefault="00000000">
      <w:pPr>
        <w:pStyle w:val="Heading2"/>
      </w:pPr>
      <w:bookmarkStart w:id="10" w:name="X4a82bd9749d65e8684d4361d34bd54bccfd472d"/>
      <w:bookmarkEnd w:id="6"/>
      <w:bookmarkEnd w:id="9"/>
      <w:r>
        <w:t>4. Ballot Design and Complexity as Sources of Error</w:t>
      </w:r>
    </w:p>
    <w:p w14:paraId="0C02C679" w14:textId="77777777" w:rsidR="002E5BBE" w:rsidRDefault="00000000">
      <w:pPr>
        <w:pStyle w:val="Heading3"/>
      </w:pPr>
      <w:bookmarkStart w:id="11" w:name="dimensions-of-complexity"/>
      <w:r>
        <w:t>4.1 Dimensions of Complexity</w:t>
      </w:r>
    </w:p>
    <w:p w14:paraId="6184D5B7" w14:textId="77777777" w:rsidR="002E5BBE" w:rsidRDefault="00000000">
      <w:pPr>
        <w:pStyle w:val="FirstParagraph"/>
      </w:pPr>
      <w:r>
        <w:t>Haase Formánková et al. (2026) propose three dimensions: input structure, instruction length, and type of action. Testing six methods on 2,265 Czech participants, they find instant-runoff voting produced an 8.4% invalid rate—over four times FPTP. The conditional D21 method produced 16% mismarked votes. Approval voting actually reduced errors below FPTP. Their key finding: there is no direct trade-off between voting errors and precise preference expression.</w:t>
      </w:r>
    </w:p>
    <w:p w14:paraId="4007AB71" w14:textId="77777777" w:rsidR="002E5BBE" w:rsidRDefault="00000000">
      <w:pPr>
        <w:pStyle w:val="Heading3"/>
      </w:pPr>
      <w:bookmarkStart w:id="12" w:name="ballot-paper-design-and-layout"/>
      <w:bookmarkEnd w:id="11"/>
      <w:r>
        <w:lastRenderedPageBreak/>
        <w:t>4.2 Ballot Paper Design and Layout</w:t>
      </w:r>
    </w:p>
    <w:p w14:paraId="0148DF5A" w14:textId="77777777" w:rsidR="002E5BBE" w:rsidRDefault="00000000">
      <w:pPr>
        <w:pStyle w:val="FirstParagraph"/>
      </w:pPr>
      <w:r>
        <w:t>Pachón, Carroll, and Barragán (2017) show ballot readability affects invalid voting in Colombia. Kimball and Kropf (2005) find ballot design explains variation in unrecorded US votes. Carman, Mitchell, and Johns (2008) document the Scottish 2007 “natural experiment in ballot design.” Engstrom and Roberts (2016, 2020) demonstrate that ballot format (party column vs. office bloc) independently affects roll-off and split-ticket voting.</w:t>
      </w:r>
    </w:p>
    <w:p w14:paraId="63AD363E" w14:textId="77777777" w:rsidR="002E5BBE" w:rsidRDefault="00000000">
      <w:pPr>
        <w:pStyle w:val="Heading3"/>
      </w:pPr>
      <w:bookmarkStart w:id="13" w:name="ranking-systems"/>
      <w:bookmarkEnd w:id="12"/>
      <w:r>
        <w:t>4.3 Ranking Systems</w:t>
      </w:r>
    </w:p>
    <w:p w14:paraId="0706CB5C" w14:textId="77777777" w:rsidR="002E5BBE" w:rsidRDefault="00000000">
      <w:pPr>
        <w:pStyle w:val="FirstParagraph"/>
      </w:pPr>
      <w:r>
        <w:t>Endersby and Towle (2014) analyze Irish STV elections finding substantial nontransferable ballots growing in later rounds. Santucci et al. (2025), analyzing 3 million US RCV ballots, find 4.8% improper marking—roughly double the residual vote rate on non-ranked offices. Burnett and Kogan (2015) document 9.6–27.1% ballot exhaustion across four US IRV elections.</w:t>
      </w:r>
    </w:p>
    <w:p w14:paraId="2AB43767" w14:textId="77777777" w:rsidR="002E5BBE" w:rsidRDefault="00000000">
      <w:pPr>
        <w:pStyle w:val="Heading3"/>
      </w:pPr>
      <w:bookmarkStart w:id="14" w:name="open-list-pr"/>
      <w:bookmarkEnd w:id="13"/>
      <w:r>
        <w:t>4.4 Open-List PR</w:t>
      </w:r>
    </w:p>
    <w:p w14:paraId="5EBE3FFC" w14:textId="77777777" w:rsidR="002E5BBE" w:rsidRDefault="00000000">
      <w:pPr>
        <w:pStyle w:val="FirstParagraph"/>
      </w:pPr>
      <w:r>
        <w:t>Cheibub and Sin (2020) examine Brazilian elections finding contained intra-party competition despite appearances. Spadaro (2018) finds the number of preferential votes inversely affects minority representation: unlimited preference voting amplifies majority power.</w:t>
      </w:r>
    </w:p>
    <w:p w14:paraId="43A99105" w14:textId="77777777" w:rsidR="002E5BBE" w:rsidRDefault="00000000">
      <w:pPr>
        <w:pStyle w:val="Heading3"/>
      </w:pPr>
      <w:bookmarkStart w:id="15" w:name="online-vs.-paper-voting"/>
      <w:bookmarkEnd w:id="14"/>
      <w:r>
        <w:t>4.5 Online vs. Paper Voting</w:t>
      </w:r>
    </w:p>
    <w:p w14:paraId="5B2D4AED" w14:textId="77777777" w:rsidR="002E5BBE" w:rsidRDefault="00000000">
      <w:pPr>
        <w:pStyle w:val="FirstParagraph"/>
      </w:pPr>
      <w:r>
        <w:t>Haase Formánková et al. (2026) find online respondents had 1.48 times higher odds of mismarking compared to paper respondents, possibly reflecting lower digital attentiveness.</w:t>
      </w:r>
    </w:p>
    <w:p w14:paraId="73A04554" w14:textId="77777777" w:rsidR="002E5BBE" w:rsidRDefault="00000000">
      <w:pPr>
        <w:pStyle w:val="Heading2"/>
      </w:pPr>
      <w:bookmarkStart w:id="16" w:name="sociodemographic-correlates"/>
      <w:bookmarkEnd w:id="10"/>
      <w:bookmarkEnd w:id="15"/>
      <w:r>
        <w:t>5. Sociodemographic Correlates</w:t>
      </w:r>
    </w:p>
    <w:p w14:paraId="6690A28C" w14:textId="77777777" w:rsidR="002E5BBE" w:rsidRDefault="00000000">
      <w:pPr>
        <w:pStyle w:val="FirstParagraph"/>
      </w:pPr>
      <w:r>
        <w:t>Education is the strongest individual-level predictor. Haase Formánková et al. (2026) show participants without university degrees were 2.44–2.75 times more likely to cast invalid ballots. Flis and Kaminski (2025) find the “PR blow” is larger in lower-education constituencies. Kouba and Lysek (2019) find mixed results for age. McAllister and Makkai (1993) establish that both institutional factors (ballot complexity) and societal factors (education, language) contribute to invalid voting in Australian elections.</w:t>
      </w:r>
    </w:p>
    <w:p w14:paraId="55B8B870" w14:textId="77777777" w:rsidR="002E5BBE" w:rsidRDefault="00000000">
      <w:pPr>
        <w:pStyle w:val="BodyText"/>
      </w:pPr>
      <w:r>
        <w:rPr>
          <w:b/>
          <w:bCs/>
        </w:rPr>
        <w:t>The intersectional dimension is sharper than additive education and race effects suggest.</w:t>
      </w:r>
      <w:r>
        <w:t xml:space="preserve"> Coll and Juelich (2022), using Current Population Survey data (2000–2016) merged with state-level Cost of Voting Index measures, find that increases in voting costs affect young voters of color disproportionately relative to both older voters of the same racial/ethnic group and white voters of the same age. The effect is not merely additive: race and age interact such that the participation cost of complex or restrictive electoral environments compounds along both dimensions simultaneously. This intersectional finding qualifies the literature’s standard education-as-master-predictor framing: </w:t>
      </w:r>
      <w:r>
        <w:lastRenderedPageBreak/>
        <w:t>education explains within-group variance, but cross-group disparities depend on how environments interact with multiple identities at once.</w:t>
      </w:r>
    </w:p>
    <w:p w14:paraId="2A8889E3" w14:textId="77777777" w:rsidR="002E5BBE" w:rsidRDefault="00000000">
      <w:pPr>
        <w:pStyle w:val="BodyText"/>
      </w:pPr>
      <w:r>
        <w:rPr>
          <w:b/>
          <w:bCs/>
        </w:rPr>
        <w:t>Voter ID requirements introduce an additional race-conditional moderator.</w:t>
      </w:r>
      <w:r>
        <w:t xml:space="preserve"> Coll (2023) shows that the depressive effect of strict voter identification requirements on Black and Latino turnout is moderated by </w:t>
      </w:r>
      <w:r>
        <w:rPr>
          <w:i/>
          <w:iCs/>
        </w:rPr>
        <w:t>collective descriptive representation</w:t>
      </w:r>
      <w:r>
        <w:t xml:space="preserve"> — when minority voters live in jurisdictions where co-ethnic candidates and officials are present, the negative ID effect attenuates. This is a structural finding about how administrative barriers interact with substantive representation: descriptive representation has protective participatory consequences beyond its symbolic value.</w:t>
      </w:r>
    </w:p>
    <w:p w14:paraId="531EA434" w14:textId="77777777" w:rsidR="002E5BBE" w:rsidRDefault="00000000">
      <w:pPr>
        <w:pStyle w:val="Heading2"/>
      </w:pPr>
      <w:bookmarkStart w:id="17" w:name="consequences-for-minority-representation"/>
      <w:bookmarkEnd w:id="16"/>
      <w:r>
        <w:t>6. Consequences for Minority Representation</w:t>
      </w:r>
    </w:p>
    <w:p w14:paraId="598E3774" w14:textId="77777777" w:rsidR="002E5BBE" w:rsidRDefault="00000000">
      <w:pPr>
        <w:pStyle w:val="FirstParagraph"/>
      </w:pPr>
      <w:r>
        <w:t>Tomz and Van Houweling (2003) show racial disparities in voided US ballots are largely attributable to voting equipment type. Shue and Luttmer (2009) demonstrate that differential cognition costs affect outcomes. McCarty (2025) documents significant racial and ethnic disparities in RCV ballot exhaustion in NYC and Alaska. Spadaro (2018) shows that limiting preferential votes improves minority representation under open-list PR.</w:t>
      </w:r>
    </w:p>
    <w:p w14:paraId="3FF251CE" w14:textId="77777777" w:rsidR="002E5BBE" w:rsidRDefault="00000000">
      <w:pPr>
        <w:pStyle w:val="BodyText"/>
      </w:pPr>
      <w:r>
        <w:t>Wada and Kamahara (2024) propose a unified alpha-divergence framework for measuring unequal representation. The broader literature suggests a paradox: PR improves minority descriptive representation but its increased complexity may simultaneously increase error rates among precisely the populations whose representation is most at stake.</w:t>
      </w:r>
    </w:p>
    <w:p w14:paraId="4E391E8E" w14:textId="77777777" w:rsidR="002E5BBE" w:rsidRDefault="00000000">
      <w:pPr>
        <w:pStyle w:val="BodyText"/>
      </w:pPr>
      <w:r>
        <w:rPr>
          <w:b/>
          <w:bCs/>
        </w:rPr>
        <w:t>Administrative-side mechanisms compound ballot-design effects.</w:t>
      </w:r>
      <w:r>
        <w:t xml:space="preserve"> Coll, Maltby, and Rocha (2024), analyzing roughly 4,000 US counties using 2016 and 2018 Election Administration and Voting Survey data, find that counties experiencing growing Latino populations </w:t>
      </w:r>
      <w:r>
        <w:rPr>
          <w:i/>
          <w:iCs/>
        </w:rPr>
        <w:t>reduce</w:t>
      </w:r>
      <w:r>
        <w:t xml:space="preserve"> their number of polling sites and poll workers — a relationship that intensifies in jurisdictions formerly covered by Section 5 of the Voting Rights Act under the preclearance regime overturned by </w:t>
      </w:r>
      <w:r>
        <w:rPr>
          <w:i/>
          <w:iCs/>
        </w:rPr>
        <w:t>Shelby County v. Holder</w:t>
      </w:r>
      <w:r>
        <w:t xml:space="preserve"> (2013). The mechanism is administrative rather than ballot-design-based: as minority populations grow, the local infrastructure for casting ballots in person shrinks. This shifts the burden onto the mail-voting channel — where rejection disparities documented by Baringer et al. (2020), Shino et al. (2022), and Cottrell et al. (2021) are most pronounced. The implication is that disparate-impact analysis of any ballot-design reform must account simultaneously for the administrative-resource environment in which the ballot is deployed; an “improved” ballot design rolled out in jurisdictions with degraded infrastructure may produce smaller equity gains than expected.</w:t>
      </w:r>
    </w:p>
    <w:p w14:paraId="00561BCF" w14:textId="77777777" w:rsidR="002E5BBE" w:rsidRDefault="00000000">
      <w:pPr>
        <w:pStyle w:val="Heading2"/>
      </w:pPr>
      <w:bookmarkStart w:id="18" w:name="comparison-tables"/>
      <w:bookmarkEnd w:id="17"/>
      <w:r>
        <w:lastRenderedPageBreak/>
        <w:t>7. Comparison Tables</w:t>
      </w:r>
    </w:p>
    <w:p w14:paraId="02758F19" w14:textId="77777777" w:rsidR="002E5BBE" w:rsidRDefault="00000000">
      <w:pPr>
        <w:pStyle w:val="Heading3"/>
      </w:pPr>
      <w:bookmarkStart w:id="19" w:name="X6f60457ea45a1221586fba8280eaefb97154117"/>
      <w:r>
        <w:t>Table 1. Electoral System Comparison Matrix: Voter Error, Participation, and Minority Representation</w:t>
      </w:r>
    </w:p>
    <w:tbl>
      <w:tblPr>
        <w:tblStyle w:val="Table"/>
        <w:tblW w:w="5000" w:type="pct"/>
        <w:tblLayout w:type="fixed"/>
        <w:tblLook w:val="0020" w:firstRow="1" w:lastRow="0" w:firstColumn="0" w:lastColumn="0" w:noHBand="0" w:noVBand="0"/>
      </w:tblPr>
      <w:tblGrid>
        <w:gridCol w:w="1197"/>
        <w:gridCol w:w="1197"/>
        <w:gridCol w:w="1197"/>
        <w:gridCol w:w="1197"/>
        <w:gridCol w:w="1197"/>
        <w:gridCol w:w="1197"/>
        <w:gridCol w:w="1197"/>
        <w:gridCol w:w="1197"/>
      </w:tblGrid>
      <w:tr w:rsidR="002E5BBE" w14:paraId="68A9A383" w14:textId="77777777" w:rsidTr="002E5BBE">
        <w:trPr>
          <w:cnfStyle w:val="100000000000" w:firstRow="1" w:lastRow="0" w:firstColumn="0" w:lastColumn="0" w:oddVBand="0" w:evenVBand="0" w:oddHBand="0" w:evenHBand="0" w:firstRowFirstColumn="0" w:firstRowLastColumn="0" w:lastRowFirstColumn="0" w:lastRowLastColumn="0"/>
          <w:tblHeader/>
        </w:trPr>
        <w:tc>
          <w:tcPr>
            <w:tcW w:w="990" w:type="dxa"/>
          </w:tcPr>
          <w:p w14:paraId="72FF5CB7" w14:textId="77777777" w:rsidR="002E5BBE" w:rsidRDefault="00000000">
            <w:pPr>
              <w:pStyle w:val="Compact"/>
            </w:pPr>
            <w:r>
              <w:t>Electoral System</w:t>
            </w:r>
          </w:p>
        </w:tc>
        <w:tc>
          <w:tcPr>
            <w:tcW w:w="990" w:type="dxa"/>
          </w:tcPr>
          <w:p w14:paraId="4994CE41" w14:textId="77777777" w:rsidR="002E5BBE" w:rsidRDefault="00000000">
            <w:pPr>
              <w:pStyle w:val="Compact"/>
            </w:pPr>
            <w:r>
              <w:t>Error Ordering</w:t>
            </w:r>
          </w:p>
        </w:tc>
        <w:tc>
          <w:tcPr>
            <w:tcW w:w="990" w:type="dxa"/>
          </w:tcPr>
          <w:p w14:paraId="6CB98248" w14:textId="77777777" w:rsidR="002E5BBE" w:rsidRDefault="00000000">
            <w:pPr>
              <w:pStyle w:val="Compact"/>
            </w:pPr>
            <w:r>
              <w:t>Observed / Exp. Invalid Rate</w:t>
            </w:r>
          </w:p>
        </w:tc>
        <w:tc>
          <w:tcPr>
            <w:tcW w:w="990" w:type="dxa"/>
          </w:tcPr>
          <w:p w14:paraId="23C7E8DD" w14:textId="77777777" w:rsidR="002E5BBE" w:rsidRDefault="00000000">
            <w:pPr>
              <w:pStyle w:val="Compact"/>
            </w:pPr>
            <w:r>
              <w:t>Participation Effect</w:t>
            </w:r>
          </w:p>
        </w:tc>
        <w:tc>
          <w:tcPr>
            <w:tcW w:w="990" w:type="dxa"/>
          </w:tcPr>
          <w:p w14:paraId="473D1E8E" w14:textId="77777777" w:rsidR="002E5BBE" w:rsidRDefault="00000000">
            <w:pPr>
              <w:pStyle w:val="Compact"/>
            </w:pPr>
            <w:r>
              <w:t>Error Rate Sources</w:t>
            </w:r>
          </w:p>
        </w:tc>
        <w:tc>
          <w:tcPr>
            <w:tcW w:w="990" w:type="dxa"/>
          </w:tcPr>
          <w:p w14:paraId="0ECA173D" w14:textId="77777777" w:rsidR="002E5BBE" w:rsidRDefault="00000000">
            <w:pPr>
              <w:pStyle w:val="Compact"/>
            </w:pPr>
            <w:r>
              <w:t>Participation Sources</w:t>
            </w:r>
          </w:p>
        </w:tc>
        <w:tc>
          <w:tcPr>
            <w:tcW w:w="990" w:type="dxa"/>
          </w:tcPr>
          <w:p w14:paraId="79EA36FB" w14:textId="77777777" w:rsidR="002E5BBE" w:rsidRDefault="00000000">
            <w:pPr>
              <w:pStyle w:val="Compact"/>
            </w:pPr>
            <w:r>
              <w:t>Key Design Notes</w:t>
            </w:r>
          </w:p>
        </w:tc>
        <w:tc>
          <w:tcPr>
            <w:tcW w:w="990" w:type="dxa"/>
          </w:tcPr>
          <w:p w14:paraId="294C2163" w14:textId="77777777" w:rsidR="002E5BBE" w:rsidRDefault="00000000">
            <w:pPr>
              <w:pStyle w:val="Compact"/>
            </w:pPr>
            <w:r>
              <w:t>Minority Impact</w:t>
            </w:r>
          </w:p>
        </w:tc>
      </w:tr>
      <w:tr w:rsidR="002E5BBE" w14:paraId="186221E3" w14:textId="77777777">
        <w:tc>
          <w:tcPr>
            <w:tcW w:w="990" w:type="dxa"/>
          </w:tcPr>
          <w:p w14:paraId="4EF2BC8B" w14:textId="77777777" w:rsidR="002E5BBE" w:rsidRDefault="00000000">
            <w:pPr>
              <w:pStyle w:val="Compact"/>
            </w:pPr>
            <w:r>
              <w:t>Closed-list party vote</w:t>
            </w:r>
          </w:p>
        </w:tc>
        <w:tc>
          <w:tcPr>
            <w:tcW w:w="990" w:type="dxa"/>
          </w:tcPr>
          <w:p w14:paraId="5138062C" w14:textId="77777777" w:rsidR="002E5BBE" w:rsidRDefault="00000000">
            <w:pPr>
              <w:pStyle w:val="Compact"/>
            </w:pPr>
            <w:r>
              <w:t>Lowest</w:t>
            </w:r>
          </w:p>
        </w:tc>
        <w:tc>
          <w:tcPr>
            <w:tcW w:w="990" w:type="dxa"/>
          </w:tcPr>
          <w:p w14:paraId="6D51B27A" w14:textId="77777777" w:rsidR="002E5BBE" w:rsidRDefault="00000000">
            <w:pPr>
              <w:pStyle w:val="Compact"/>
            </w:pPr>
            <w:r>
              <w:t>&lt;1–2% invalid (cross-national obs.)</w:t>
            </w:r>
          </w:p>
        </w:tc>
        <w:tc>
          <w:tcPr>
            <w:tcW w:w="990" w:type="dxa"/>
          </w:tcPr>
          <w:p w14:paraId="7238F31F" w14:textId="77777777" w:rsidR="002E5BBE" w:rsidRDefault="00000000">
            <w:pPr>
              <w:pStyle w:val="Compact"/>
            </w:pPr>
            <w:r>
              <w:t>+3–5 pp (PR boost)</w:t>
            </w:r>
          </w:p>
        </w:tc>
        <w:tc>
          <w:tcPr>
            <w:tcW w:w="990" w:type="dxa"/>
          </w:tcPr>
          <w:p w14:paraId="0DD3CF65" w14:textId="77777777" w:rsidR="002E5BBE" w:rsidRDefault="00000000">
            <w:pPr>
              <w:pStyle w:val="Compact"/>
            </w:pPr>
            <w:r>
              <w:t>Kouba &amp; Lysek 2019</w:t>
            </w:r>
          </w:p>
        </w:tc>
        <w:tc>
          <w:tcPr>
            <w:tcW w:w="990" w:type="dxa"/>
          </w:tcPr>
          <w:p w14:paraId="11C81529" w14:textId="77777777" w:rsidR="002E5BBE" w:rsidRDefault="00000000">
            <w:pPr>
              <w:pStyle w:val="Compact"/>
            </w:pPr>
            <w:r>
              <w:t>Norris 2004; Blais &amp; Dobrzynska 1998; Cancela &amp; Geys 2016</w:t>
            </w:r>
          </w:p>
        </w:tc>
        <w:tc>
          <w:tcPr>
            <w:tcW w:w="990" w:type="dxa"/>
          </w:tcPr>
          <w:p w14:paraId="43E0739A" w14:textId="77777777" w:rsidR="002E5BBE" w:rsidRDefault="00000000">
            <w:pPr>
              <w:pStyle w:val="Compact"/>
            </w:pPr>
            <w:r>
              <w:t>Minimal cognitive load. One mark, one party. No within-party choice.</w:t>
            </w:r>
          </w:p>
        </w:tc>
        <w:tc>
          <w:tcPr>
            <w:tcW w:w="990" w:type="dxa"/>
          </w:tcPr>
          <w:p w14:paraId="14BFAD25" w14:textId="77777777" w:rsidR="002E5BBE" w:rsidRDefault="00000000">
            <w:pPr>
              <w:pStyle w:val="Compact"/>
            </w:pPr>
            <w:r>
              <w:t>Strong descriptive repr. via party list quotas (Krook &amp; O’Brien 2010)</w:t>
            </w:r>
          </w:p>
        </w:tc>
      </w:tr>
      <w:tr w:rsidR="002E5BBE" w14:paraId="430E15DB" w14:textId="77777777">
        <w:tc>
          <w:tcPr>
            <w:tcW w:w="990" w:type="dxa"/>
          </w:tcPr>
          <w:p w14:paraId="07BAB2D9" w14:textId="77777777" w:rsidR="002E5BBE" w:rsidRDefault="00000000">
            <w:pPr>
              <w:pStyle w:val="Compact"/>
            </w:pPr>
            <w:r>
              <w:t>Approval voting</w:t>
            </w:r>
          </w:p>
        </w:tc>
        <w:tc>
          <w:tcPr>
            <w:tcW w:w="990" w:type="dxa"/>
          </w:tcPr>
          <w:p w14:paraId="206BD6D9" w14:textId="77777777" w:rsidR="002E5BBE" w:rsidRDefault="00000000">
            <w:pPr>
              <w:pStyle w:val="Compact"/>
            </w:pPr>
            <w:r>
              <w:t>Lowest</w:t>
            </w:r>
          </w:p>
        </w:tc>
        <w:tc>
          <w:tcPr>
            <w:tcW w:w="990" w:type="dxa"/>
          </w:tcPr>
          <w:p w14:paraId="641DF628" w14:textId="77777777" w:rsidR="002E5BBE" w:rsidRDefault="00000000">
            <w:pPr>
              <w:pStyle w:val="Compact"/>
            </w:pPr>
            <w:r>
              <w:t>&lt;1% invalid (exp.)</w:t>
            </w:r>
          </w:p>
        </w:tc>
        <w:tc>
          <w:tcPr>
            <w:tcW w:w="990" w:type="dxa"/>
          </w:tcPr>
          <w:p w14:paraId="6C7946A1" w14:textId="77777777" w:rsidR="002E5BBE" w:rsidRDefault="00000000">
            <w:pPr>
              <w:pStyle w:val="Compact"/>
            </w:pPr>
            <w:r>
              <w:t>Lower than FPTP; neutral to slight +</w:t>
            </w:r>
          </w:p>
        </w:tc>
        <w:tc>
          <w:tcPr>
            <w:tcW w:w="990" w:type="dxa"/>
          </w:tcPr>
          <w:p w14:paraId="03977020" w14:textId="77777777" w:rsidR="002E5BBE" w:rsidRDefault="00000000">
            <w:pPr>
              <w:pStyle w:val="Compact"/>
            </w:pPr>
            <w:r>
              <w:t>Haase Formánková et al. 2026; Alós-Ferrer &amp; Granić 2012</w:t>
            </w:r>
          </w:p>
        </w:tc>
        <w:tc>
          <w:tcPr>
            <w:tcW w:w="990" w:type="dxa"/>
          </w:tcPr>
          <w:p w14:paraId="63B522D0" w14:textId="77777777" w:rsidR="002E5BBE" w:rsidRDefault="00000000">
            <w:pPr>
              <w:pStyle w:val="Compact"/>
            </w:pPr>
            <w:r>
              <w:t>Alós-Ferrer &amp; Granić 2012</w:t>
            </w:r>
          </w:p>
        </w:tc>
        <w:tc>
          <w:tcPr>
            <w:tcW w:w="990" w:type="dxa"/>
          </w:tcPr>
          <w:p w14:paraId="37055F54" w14:textId="77777777" w:rsidR="002E5BBE" w:rsidRDefault="00000000">
            <w:pPr>
              <w:pStyle w:val="Compact"/>
            </w:pPr>
            <w:r>
              <w:t>No overvote possible. Partial ballot always valid.</w:t>
            </w:r>
          </w:p>
        </w:tc>
        <w:tc>
          <w:tcPr>
            <w:tcW w:w="990" w:type="dxa"/>
          </w:tcPr>
          <w:p w14:paraId="6426E438" w14:textId="77777777" w:rsidR="002E5BBE" w:rsidRDefault="00000000">
            <w:pPr>
              <w:pStyle w:val="Compact"/>
            </w:pPr>
            <w:r>
              <w:t>Negligible invalidation. Untested for minority impact specifically.</w:t>
            </w:r>
          </w:p>
        </w:tc>
      </w:tr>
      <w:tr w:rsidR="002E5BBE" w14:paraId="55275B32" w14:textId="77777777">
        <w:tc>
          <w:tcPr>
            <w:tcW w:w="990" w:type="dxa"/>
          </w:tcPr>
          <w:p w14:paraId="0E69406A" w14:textId="77777777" w:rsidR="002E5BBE" w:rsidRDefault="00000000">
            <w:pPr>
              <w:pStyle w:val="Compact"/>
            </w:pPr>
            <w:r>
              <w:t>FPTP (single mark)</w:t>
            </w:r>
          </w:p>
        </w:tc>
        <w:tc>
          <w:tcPr>
            <w:tcW w:w="990" w:type="dxa"/>
          </w:tcPr>
          <w:p w14:paraId="76D8CB6A" w14:textId="77777777" w:rsidR="002E5BBE" w:rsidRDefault="00000000">
            <w:pPr>
              <w:pStyle w:val="Compact"/>
            </w:pPr>
            <w:r>
              <w:t>Low</w:t>
            </w:r>
          </w:p>
        </w:tc>
        <w:tc>
          <w:tcPr>
            <w:tcW w:w="990" w:type="dxa"/>
          </w:tcPr>
          <w:p w14:paraId="7600A873" w14:textId="77777777" w:rsidR="002E5BBE" w:rsidRDefault="00000000">
            <w:pPr>
              <w:pStyle w:val="Compact"/>
            </w:pPr>
            <w:r>
              <w:t>~1.5–2% invalid (exp.); 0.5–1.5% (US residual)</w:t>
            </w:r>
          </w:p>
        </w:tc>
        <w:tc>
          <w:tcPr>
            <w:tcW w:w="990" w:type="dxa"/>
          </w:tcPr>
          <w:p w14:paraId="124B493A" w14:textId="77777777" w:rsidR="002E5BBE" w:rsidRDefault="00000000">
            <w:pPr>
              <w:pStyle w:val="Compact"/>
            </w:pPr>
            <w:r>
              <w:t>Baseline reference</w:t>
            </w:r>
          </w:p>
        </w:tc>
        <w:tc>
          <w:tcPr>
            <w:tcW w:w="990" w:type="dxa"/>
          </w:tcPr>
          <w:p w14:paraId="6D44FCE0" w14:textId="77777777" w:rsidR="002E5BBE" w:rsidRDefault="00000000">
            <w:pPr>
              <w:pStyle w:val="Compact"/>
            </w:pPr>
            <w:r>
              <w:t>Haase Formánková et al. 2026; Ansolabehere &amp; Stewart 2005; Kimball &amp; Kropf 2005</w:t>
            </w:r>
          </w:p>
        </w:tc>
        <w:tc>
          <w:tcPr>
            <w:tcW w:w="990" w:type="dxa"/>
          </w:tcPr>
          <w:p w14:paraId="0AA6102B" w14:textId="77777777" w:rsidR="002E5BBE" w:rsidRDefault="00000000">
            <w:pPr>
              <w:pStyle w:val="Compact"/>
            </w:pPr>
            <w:r>
              <w:t>Blais 2006; Cancela &amp; Geys 2016</w:t>
            </w:r>
          </w:p>
        </w:tc>
        <w:tc>
          <w:tcPr>
            <w:tcW w:w="990" w:type="dxa"/>
          </w:tcPr>
          <w:p w14:paraId="1FC6FF97" w14:textId="77777777" w:rsidR="002E5BBE" w:rsidRDefault="00000000">
            <w:pPr>
              <w:pStyle w:val="Compact"/>
            </w:pPr>
            <w:r>
              <w:t>Simple but strict: one mark or invalid. Errors rise with many candidates (Fatke &amp; Heinsohn 2017).</w:t>
            </w:r>
          </w:p>
        </w:tc>
        <w:tc>
          <w:tcPr>
            <w:tcW w:w="990" w:type="dxa"/>
          </w:tcPr>
          <w:p w14:paraId="3047FFA6" w14:textId="77777777" w:rsidR="002E5BBE" w:rsidRDefault="00000000">
            <w:pPr>
              <w:pStyle w:val="Compact"/>
            </w:pPr>
            <w:r>
              <w:t>High wasted votes. Poor minority repr. (Norris 2004)</w:t>
            </w:r>
          </w:p>
        </w:tc>
      </w:tr>
      <w:tr w:rsidR="002E5BBE" w14:paraId="0EDC94D9" w14:textId="77777777">
        <w:tc>
          <w:tcPr>
            <w:tcW w:w="990" w:type="dxa"/>
          </w:tcPr>
          <w:p w14:paraId="61E26979" w14:textId="77777777" w:rsidR="002E5BBE" w:rsidRDefault="00000000">
            <w:pPr>
              <w:pStyle w:val="Compact"/>
            </w:pPr>
            <w:r>
              <w:lastRenderedPageBreak/>
              <w:t>Multi-vote (D21+)</w:t>
            </w:r>
          </w:p>
        </w:tc>
        <w:tc>
          <w:tcPr>
            <w:tcW w:w="990" w:type="dxa"/>
          </w:tcPr>
          <w:p w14:paraId="45F53EC4" w14:textId="77777777" w:rsidR="002E5BBE" w:rsidRDefault="00000000">
            <w:pPr>
              <w:pStyle w:val="Compact"/>
            </w:pPr>
            <w:r>
              <w:t>Low</w:t>
            </w:r>
          </w:p>
        </w:tc>
        <w:tc>
          <w:tcPr>
            <w:tcW w:w="990" w:type="dxa"/>
          </w:tcPr>
          <w:p w14:paraId="6C75D00C" w14:textId="77777777" w:rsidR="002E5BBE" w:rsidRDefault="00000000">
            <w:pPr>
              <w:pStyle w:val="Compact"/>
            </w:pPr>
            <w:r>
              <w:t>~1.5% invalid (exp.)</w:t>
            </w:r>
          </w:p>
        </w:tc>
        <w:tc>
          <w:tcPr>
            <w:tcW w:w="990" w:type="dxa"/>
          </w:tcPr>
          <w:p w14:paraId="7EBB5D4F" w14:textId="77777777" w:rsidR="002E5BBE" w:rsidRDefault="00000000">
            <w:pPr>
              <w:pStyle w:val="Compact"/>
            </w:pPr>
            <w:r>
              <w:t>Slight + over FPTP</w:t>
            </w:r>
          </w:p>
        </w:tc>
        <w:tc>
          <w:tcPr>
            <w:tcW w:w="990" w:type="dxa"/>
          </w:tcPr>
          <w:p w14:paraId="74F790C3" w14:textId="77777777" w:rsidR="002E5BBE" w:rsidRDefault="00000000">
            <w:pPr>
              <w:pStyle w:val="Compact"/>
            </w:pPr>
            <w:r>
              <w:t>Haase Formánková et al. 2026; Jarabinský et al. 2025</w:t>
            </w:r>
          </w:p>
        </w:tc>
        <w:tc>
          <w:tcPr>
            <w:tcW w:w="990" w:type="dxa"/>
          </w:tcPr>
          <w:p w14:paraId="58798CCA" w14:textId="77777777" w:rsidR="002E5BBE" w:rsidRDefault="00000000">
            <w:pPr>
              <w:pStyle w:val="Compact"/>
            </w:pPr>
            <w:r>
              <w:t>Haase Formánková et al. 2026</w:t>
            </w:r>
          </w:p>
        </w:tc>
        <w:tc>
          <w:tcPr>
            <w:tcW w:w="990" w:type="dxa"/>
          </w:tcPr>
          <w:p w14:paraId="4A1AF647" w14:textId="77777777" w:rsidR="002E5BBE" w:rsidRDefault="00000000">
            <w:pPr>
              <w:pStyle w:val="Compact"/>
            </w:pPr>
            <w:r>
              <w:t>Flexible maximum: fewer than max is valid.</w:t>
            </w:r>
          </w:p>
        </w:tc>
        <w:tc>
          <w:tcPr>
            <w:tcW w:w="990" w:type="dxa"/>
          </w:tcPr>
          <w:p w14:paraId="0766D3EB" w14:textId="77777777" w:rsidR="002E5BBE" w:rsidRDefault="00000000">
            <w:pPr>
              <w:pStyle w:val="Compact"/>
            </w:pPr>
            <w:r>
              <w:t>Better than FPTP for minority expression.</w:t>
            </w:r>
          </w:p>
        </w:tc>
      </w:tr>
      <w:tr w:rsidR="002E5BBE" w14:paraId="78D556A5" w14:textId="77777777">
        <w:tc>
          <w:tcPr>
            <w:tcW w:w="990" w:type="dxa"/>
          </w:tcPr>
          <w:p w14:paraId="3F46FE55" w14:textId="77777777" w:rsidR="002E5BBE" w:rsidRDefault="00000000">
            <w:pPr>
              <w:pStyle w:val="Compact"/>
            </w:pPr>
            <w:r>
              <w:t>Flexible-list PR</w:t>
            </w:r>
          </w:p>
        </w:tc>
        <w:tc>
          <w:tcPr>
            <w:tcW w:w="990" w:type="dxa"/>
          </w:tcPr>
          <w:p w14:paraId="2197D0E2" w14:textId="77777777" w:rsidR="002E5BBE" w:rsidRDefault="00000000">
            <w:pPr>
              <w:pStyle w:val="Compact"/>
            </w:pPr>
            <w:r>
              <w:t>Low–Mod.</w:t>
            </w:r>
          </w:p>
        </w:tc>
        <w:tc>
          <w:tcPr>
            <w:tcW w:w="990" w:type="dxa"/>
          </w:tcPr>
          <w:p w14:paraId="583524F3" w14:textId="77777777" w:rsidR="002E5BBE" w:rsidRDefault="00000000">
            <w:pPr>
              <w:pStyle w:val="Compact"/>
            </w:pPr>
            <w:r>
              <w:t>~2–4% mismark (est.)</w:t>
            </w:r>
          </w:p>
        </w:tc>
        <w:tc>
          <w:tcPr>
            <w:tcW w:w="990" w:type="dxa"/>
          </w:tcPr>
          <w:p w14:paraId="09D7569F" w14:textId="77777777" w:rsidR="002E5BBE" w:rsidRDefault="00000000">
            <w:pPr>
              <w:pStyle w:val="Compact"/>
            </w:pPr>
            <w:r>
              <w:t>+3–5 pp (PR boost)</w:t>
            </w:r>
          </w:p>
        </w:tc>
        <w:tc>
          <w:tcPr>
            <w:tcW w:w="990" w:type="dxa"/>
          </w:tcPr>
          <w:p w14:paraId="2522CB29" w14:textId="77777777" w:rsidR="002E5BBE" w:rsidRDefault="00000000">
            <w:pPr>
              <w:pStyle w:val="Compact"/>
            </w:pPr>
            <w:r>
              <w:t>Flis &amp; Kaminski 2025; Söderlund et al. 2021</w:t>
            </w:r>
          </w:p>
        </w:tc>
        <w:tc>
          <w:tcPr>
            <w:tcW w:w="990" w:type="dxa"/>
          </w:tcPr>
          <w:p w14:paraId="42D89C9E" w14:textId="77777777" w:rsidR="002E5BBE" w:rsidRDefault="00000000">
            <w:pPr>
              <w:pStyle w:val="Compact"/>
            </w:pPr>
            <w:r>
              <w:t>Blais &amp; Dobrzynska 1998; Cancela &amp; Geys 2016</w:t>
            </w:r>
          </w:p>
        </w:tc>
        <w:tc>
          <w:tcPr>
            <w:tcW w:w="990" w:type="dxa"/>
          </w:tcPr>
          <w:p w14:paraId="0AFD2022" w14:textId="77777777" w:rsidR="002E5BBE" w:rsidRDefault="00000000">
            <w:pPr>
              <w:pStyle w:val="Compact"/>
            </w:pPr>
            <w:r>
              <w:t xml:space="preserve">Party vote = low floor. Preference votes optional. </w:t>
            </w:r>
            <w:r>
              <w:rPr>
                <w:b/>
                <w:bCs/>
              </w:rPr>
              <w:t>Best compromise system.</w:t>
            </w:r>
          </w:p>
        </w:tc>
        <w:tc>
          <w:tcPr>
            <w:tcW w:w="990" w:type="dxa"/>
          </w:tcPr>
          <w:p w14:paraId="2BC67DD0" w14:textId="77777777" w:rsidR="002E5BBE" w:rsidRDefault="00000000">
            <w:pPr>
              <w:pStyle w:val="Compact"/>
            </w:pPr>
            <w:r>
              <w:t>Spadaro 2018: limit preference votes → better minority representation.</w:t>
            </w:r>
          </w:p>
        </w:tc>
      </w:tr>
      <w:tr w:rsidR="002E5BBE" w14:paraId="4672DF30" w14:textId="77777777">
        <w:tc>
          <w:tcPr>
            <w:tcW w:w="990" w:type="dxa"/>
          </w:tcPr>
          <w:p w14:paraId="2B6A0016" w14:textId="77777777" w:rsidR="002E5BBE" w:rsidRDefault="00000000">
            <w:pPr>
              <w:pStyle w:val="Compact"/>
            </w:pPr>
            <w:r>
              <w:t>Range / grading</w:t>
            </w:r>
          </w:p>
        </w:tc>
        <w:tc>
          <w:tcPr>
            <w:tcW w:w="990" w:type="dxa"/>
          </w:tcPr>
          <w:p w14:paraId="1C92277B" w14:textId="77777777" w:rsidR="002E5BBE" w:rsidRDefault="00000000">
            <w:pPr>
              <w:pStyle w:val="Compact"/>
            </w:pPr>
            <w:r>
              <w:t>Moderate</w:t>
            </w:r>
          </w:p>
        </w:tc>
        <w:tc>
          <w:tcPr>
            <w:tcW w:w="990" w:type="dxa"/>
          </w:tcPr>
          <w:p w14:paraId="2E016B35" w14:textId="77777777" w:rsidR="002E5BBE" w:rsidRDefault="00000000">
            <w:pPr>
              <w:pStyle w:val="Compact"/>
            </w:pPr>
            <w:r>
              <w:t>~5–7% mismark (exp.); 0% invalid by design</w:t>
            </w:r>
          </w:p>
        </w:tc>
        <w:tc>
          <w:tcPr>
            <w:tcW w:w="990" w:type="dxa"/>
          </w:tcPr>
          <w:p w14:paraId="077A9BB6" w14:textId="77777777" w:rsidR="002E5BBE" w:rsidRDefault="00000000">
            <w:pPr>
              <w:pStyle w:val="Compact"/>
            </w:pPr>
            <w:r>
              <w:t>Untested at scale</w:t>
            </w:r>
          </w:p>
        </w:tc>
        <w:tc>
          <w:tcPr>
            <w:tcW w:w="990" w:type="dxa"/>
          </w:tcPr>
          <w:p w14:paraId="05B4453A" w14:textId="77777777" w:rsidR="002E5BBE" w:rsidRDefault="00000000">
            <w:pPr>
              <w:pStyle w:val="Compact"/>
            </w:pPr>
            <w:r>
              <w:t>Haase Formánková et al. 2026; Balinski &amp; Laraki 2011</w:t>
            </w:r>
          </w:p>
        </w:tc>
        <w:tc>
          <w:tcPr>
            <w:tcW w:w="990" w:type="dxa"/>
          </w:tcPr>
          <w:p w14:paraId="6FD066B5" w14:textId="77777777" w:rsidR="002E5BBE" w:rsidRDefault="00000000">
            <w:pPr>
              <w:pStyle w:val="Compact"/>
            </w:pPr>
            <w:r>
              <w:t>—</w:t>
            </w:r>
          </w:p>
        </w:tc>
        <w:tc>
          <w:tcPr>
            <w:tcW w:w="990" w:type="dxa"/>
          </w:tcPr>
          <w:p w14:paraId="29012724" w14:textId="77777777" w:rsidR="002E5BBE" w:rsidRDefault="00000000">
            <w:pPr>
              <w:pStyle w:val="Compact"/>
            </w:pPr>
            <w:r>
              <w:t>Cannot cast invalid vote. Mismarks affect one candidate, not whole ballot.</w:t>
            </w:r>
          </w:p>
        </w:tc>
        <w:tc>
          <w:tcPr>
            <w:tcW w:w="990" w:type="dxa"/>
          </w:tcPr>
          <w:p w14:paraId="2C474D72" w14:textId="77777777" w:rsidR="002E5BBE" w:rsidRDefault="00000000">
            <w:pPr>
              <w:pStyle w:val="Compact"/>
            </w:pPr>
            <w:r>
              <w:t>Theoretically neutral; no empirical data.</w:t>
            </w:r>
          </w:p>
        </w:tc>
      </w:tr>
      <w:tr w:rsidR="002E5BBE" w14:paraId="0313FF19" w14:textId="77777777">
        <w:tc>
          <w:tcPr>
            <w:tcW w:w="990" w:type="dxa"/>
          </w:tcPr>
          <w:p w14:paraId="3FE906EF" w14:textId="77777777" w:rsidR="002E5BBE" w:rsidRDefault="00000000">
            <w:pPr>
              <w:pStyle w:val="Compact"/>
            </w:pPr>
            <w:r>
              <w:t>Open-list PR (mandatory)</w:t>
            </w:r>
          </w:p>
        </w:tc>
        <w:tc>
          <w:tcPr>
            <w:tcW w:w="990" w:type="dxa"/>
          </w:tcPr>
          <w:p w14:paraId="69BBD823" w14:textId="77777777" w:rsidR="002E5BBE" w:rsidRDefault="00000000">
            <w:pPr>
              <w:pStyle w:val="Compact"/>
            </w:pPr>
            <w:r>
              <w:t>Mod.–Higher</w:t>
            </w:r>
          </w:p>
        </w:tc>
        <w:tc>
          <w:tcPr>
            <w:tcW w:w="990" w:type="dxa"/>
          </w:tcPr>
          <w:p w14:paraId="665FA455" w14:textId="77777777" w:rsidR="002E5BBE" w:rsidRDefault="00000000">
            <w:pPr>
              <w:pStyle w:val="Compact"/>
            </w:pPr>
            <w:r>
              <w:t>~12.9% “faulty” (obs.) vs. SMD in Poland</w:t>
            </w:r>
          </w:p>
        </w:tc>
        <w:tc>
          <w:tcPr>
            <w:tcW w:w="990" w:type="dxa"/>
          </w:tcPr>
          <w:p w14:paraId="7E30471D" w14:textId="77777777" w:rsidR="002E5BBE" w:rsidRDefault="00000000">
            <w:pPr>
              <w:pStyle w:val="Compact"/>
            </w:pPr>
            <w:r>
              <w:t>+3–5 pp (PR boost)</w:t>
            </w:r>
          </w:p>
        </w:tc>
        <w:tc>
          <w:tcPr>
            <w:tcW w:w="990" w:type="dxa"/>
          </w:tcPr>
          <w:p w14:paraId="1D251581" w14:textId="77777777" w:rsidR="002E5BBE" w:rsidRDefault="00000000">
            <w:pPr>
              <w:pStyle w:val="Compact"/>
            </w:pPr>
            <w:r>
              <w:t>Flis &amp; Kaminski 2025; Cheibub &amp; Sin 2020</w:t>
            </w:r>
          </w:p>
        </w:tc>
        <w:tc>
          <w:tcPr>
            <w:tcW w:w="990" w:type="dxa"/>
          </w:tcPr>
          <w:p w14:paraId="32B6B3FB" w14:textId="77777777" w:rsidR="002E5BBE" w:rsidRDefault="00000000">
            <w:pPr>
              <w:pStyle w:val="Compact"/>
            </w:pPr>
            <w:r>
              <w:t>Blais &amp; Dobrzynska 1998</w:t>
            </w:r>
          </w:p>
        </w:tc>
        <w:tc>
          <w:tcPr>
            <w:tcW w:w="990" w:type="dxa"/>
          </w:tcPr>
          <w:p w14:paraId="26236DEA" w14:textId="77777777" w:rsidR="002E5BBE" w:rsidRDefault="00000000">
            <w:pPr>
              <w:pStyle w:val="Compact"/>
            </w:pPr>
            <w:r>
              <w:t>Ballot primacy effects strong. 25%+ more faulty votes than SMD.</w:t>
            </w:r>
          </w:p>
        </w:tc>
        <w:tc>
          <w:tcPr>
            <w:tcW w:w="990" w:type="dxa"/>
          </w:tcPr>
          <w:p w14:paraId="383C79A8" w14:textId="77777777" w:rsidR="002E5BBE" w:rsidRDefault="00000000">
            <w:pPr>
              <w:pStyle w:val="Compact"/>
            </w:pPr>
            <w:r>
              <w:t>Spadaro 2018: unlimited preference votes amplify majority power.</w:t>
            </w:r>
          </w:p>
        </w:tc>
      </w:tr>
      <w:tr w:rsidR="002E5BBE" w14:paraId="0D0F8080" w14:textId="77777777">
        <w:tc>
          <w:tcPr>
            <w:tcW w:w="990" w:type="dxa"/>
          </w:tcPr>
          <w:p w14:paraId="312E0620" w14:textId="77777777" w:rsidR="002E5BBE" w:rsidRDefault="00000000">
            <w:pPr>
              <w:pStyle w:val="Compact"/>
            </w:pPr>
            <w:r>
              <w:lastRenderedPageBreak/>
              <w:t>Conditional (D21−)</w:t>
            </w:r>
          </w:p>
        </w:tc>
        <w:tc>
          <w:tcPr>
            <w:tcW w:w="990" w:type="dxa"/>
          </w:tcPr>
          <w:p w14:paraId="4DADBB44" w14:textId="77777777" w:rsidR="002E5BBE" w:rsidRDefault="00000000">
            <w:pPr>
              <w:pStyle w:val="Compact"/>
            </w:pPr>
            <w:r>
              <w:t>Higher</w:t>
            </w:r>
          </w:p>
        </w:tc>
        <w:tc>
          <w:tcPr>
            <w:tcW w:w="990" w:type="dxa"/>
          </w:tcPr>
          <w:p w14:paraId="1CF5EEAE" w14:textId="77777777" w:rsidR="002E5BBE" w:rsidRDefault="00000000">
            <w:pPr>
              <w:pStyle w:val="Compact"/>
            </w:pPr>
            <w:r>
              <w:t>~4% invalid + 16% mismarked (exp.)</w:t>
            </w:r>
          </w:p>
        </w:tc>
        <w:tc>
          <w:tcPr>
            <w:tcW w:w="990" w:type="dxa"/>
          </w:tcPr>
          <w:p w14:paraId="21D24DEC" w14:textId="77777777" w:rsidR="002E5BBE" w:rsidRDefault="00000000">
            <w:pPr>
              <w:pStyle w:val="Compact"/>
            </w:pPr>
            <w:r>
              <w:t>Untested</w:t>
            </w:r>
          </w:p>
        </w:tc>
        <w:tc>
          <w:tcPr>
            <w:tcW w:w="990" w:type="dxa"/>
          </w:tcPr>
          <w:p w14:paraId="1C041FDE" w14:textId="77777777" w:rsidR="002E5BBE" w:rsidRDefault="00000000">
            <w:pPr>
              <w:pStyle w:val="Compact"/>
            </w:pPr>
            <w:r>
              <w:t>Haase Formánková et al. 2026</w:t>
            </w:r>
          </w:p>
        </w:tc>
        <w:tc>
          <w:tcPr>
            <w:tcW w:w="990" w:type="dxa"/>
          </w:tcPr>
          <w:p w14:paraId="654745E9" w14:textId="77777777" w:rsidR="002E5BBE" w:rsidRDefault="00000000">
            <w:pPr>
              <w:pStyle w:val="Compact"/>
            </w:pPr>
            <w:r>
              <w:t>—</w:t>
            </w:r>
          </w:p>
        </w:tc>
        <w:tc>
          <w:tcPr>
            <w:tcW w:w="990" w:type="dxa"/>
          </w:tcPr>
          <w:p w14:paraId="7A51F9AC" w14:textId="77777777" w:rsidR="002E5BBE" w:rsidRDefault="00000000">
            <w:pPr>
              <w:pStyle w:val="Compact"/>
            </w:pPr>
            <w:r>
              <w:t>Condition confuses. Plus votes also affected.</w:t>
            </w:r>
          </w:p>
        </w:tc>
        <w:tc>
          <w:tcPr>
            <w:tcW w:w="990" w:type="dxa"/>
          </w:tcPr>
          <w:p w14:paraId="35E42941" w14:textId="77777777" w:rsidR="002E5BBE" w:rsidRDefault="00000000">
            <w:pPr>
              <w:pStyle w:val="Compact"/>
            </w:pPr>
            <w:r>
              <w:t>High error burden on less-educated voters.</w:t>
            </w:r>
          </w:p>
        </w:tc>
      </w:tr>
      <w:tr w:rsidR="002E5BBE" w14:paraId="54EC1AFD" w14:textId="77777777">
        <w:tc>
          <w:tcPr>
            <w:tcW w:w="990" w:type="dxa"/>
          </w:tcPr>
          <w:p w14:paraId="26C178D5" w14:textId="77777777" w:rsidR="002E5BBE" w:rsidRDefault="00000000">
            <w:pPr>
              <w:pStyle w:val="Compact"/>
            </w:pPr>
            <w:r>
              <w:t>RCV/IRV (optional)</w:t>
            </w:r>
          </w:p>
        </w:tc>
        <w:tc>
          <w:tcPr>
            <w:tcW w:w="990" w:type="dxa"/>
          </w:tcPr>
          <w:p w14:paraId="67453E0C" w14:textId="77777777" w:rsidR="002E5BBE" w:rsidRDefault="00000000">
            <w:pPr>
              <w:pStyle w:val="Compact"/>
            </w:pPr>
            <w:r>
              <w:t>Higher</w:t>
            </w:r>
          </w:p>
        </w:tc>
        <w:tc>
          <w:tcPr>
            <w:tcW w:w="990" w:type="dxa"/>
          </w:tcPr>
          <w:p w14:paraId="666A34D0" w14:textId="77777777" w:rsidR="002E5BBE" w:rsidRDefault="00000000">
            <w:pPr>
              <w:pStyle w:val="Compact"/>
            </w:pPr>
            <w:r>
              <w:t>~4.8% improper mark; 9.6–27.1% exhausted</w:t>
            </w:r>
          </w:p>
        </w:tc>
        <w:tc>
          <w:tcPr>
            <w:tcW w:w="990" w:type="dxa"/>
          </w:tcPr>
          <w:p w14:paraId="13790354" w14:textId="77777777" w:rsidR="002E5BBE" w:rsidRDefault="00000000">
            <w:pPr>
              <w:pStyle w:val="Compact"/>
            </w:pPr>
            <w:r>
              <w:t>Mixed vs. runoff</w:t>
            </w:r>
          </w:p>
        </w:tc>
        <w:tc>
          <w:tcPr>
            <w:tcW w:w="990" w:type="dxa"/>
          </w:tcPr>
          <w:p w14:paraId="24817958" w14:textId="77777777" w:rsidR="002E5BBE" w:rsidRDefault="00000000">
            <w:pPr>
              <w:pStyle w:val="Compact"/>
            </w:pPr>
            <w:r>
              <w:t>Santucci et al. 2025; Burnett &amp; Kogan 2015; Kimball et al. (UMSL)</w:t>
            </w:r>
          </w:p>
        </w:tc>
        <w:tc>
          <w:tcPr>
            <w:tcW w:w="990" w:type="dxa"/>
          </w:tcPr>
          <w:p w14:paraId="1618F7EB" w14:textId="77777777" w:rsidR="002E5BBE" w:rsidRDefault="00000000">
            <w:pPr>
              <w:pStyle w:val="Compact"/>
            </w:pPr>
            <w:r>
              <w:t>Donovan et al. 2019</w:t>
            </w:r>
          </w:p>
        </w:tc>
        <w:tc>
          <w:tcPr>
            <w:tcW w:w="990" w:type="dxa"/>
          </w:tcPr>
          <w:p w14:paraId="56EBA8C5" w14:textId="77777777" w:rsidR="002E5BBE" w:rsidRDefault="00000000">
            <w:pPr>
              <w:pStyle w:val="Compact"/>
            </w:pPr>
            <w:r>
              <w:t>Optional ranking halves invalid rate vs. full. Exhaustion still 10%+.</w:t>
            </w:r>
          </w:p>
        </w:tc>
        <w:tc>
          <w:tcPr>
            <w:tcW w:w="990" w:type="dxa"/>
          </w:tcPr>
          <w:p w14:paraId="29B66276" w14:textId="77777777" w:rsidR="002E5BBE" w:rsidRDefault="00000000">
            <w:pPr>
              <w:pStyle w:val="Compact"/>
            </w:pPr>
            <w:r>
              <w:t>McCarty 2025: minority districts higher exhaustion in NYC.</w:t>
            </w:r>
          </w:p>
        </w:tc>
      </w:tr>
      <w:tr w:rsidR="002E5BBE" w14:paraId="043C76C7" w14:textId="77777777">
        <w:tc>
          <w:tcPr>
            <w:tcW w:w="990" w:type="dxa"/>
          </w:tcPr>
          <w:p w14:paraId="00D438C0" w14:textId="77777777" w:rsidR="002E5BBE" w:rsidRDefault="00000000">
            <w:pPr>
              <w:pStyle w:val="Compact"/>
            </w:pPr>
            <w:r>
              <w:t>IRV/STV (full rank)</w:t>
            </w:r>
          </w:p>
        </w:tc>
        <w:tc>
          <w:tcPr>
            <w:tcW w:w="990" w:type="dxa"/>
          </w:tcPr>
          <w:p w14:paraId="6891D33F" w14:textId="77777777" w:rsidR="002E5BBE" w:rsidRDefault="00000000">
            <w:pPr>
              <w:pStyle w:val="Compact"/>
            </w:pPr>
            <w:r>
              <w:t>Highest</w:t>
            </w:r>
          </w:p>
        </w:tc>
        <w:tc>
          <w:tcPr>
            <w:tcW w:w="990" w:type="dxa"/>
          </w:tcPr>
          <w:p w14:paraId="3D620C41" w14:textId="77777777" w:rsidR="002E5BBE" w:rsidRDefault="00000000">
            <w:pPr>
              <w:pStyle w:val="Compact"/>
            </w:pPr>
            <w:r>
              <w:t>8.4% invalid (exp.); 14.9% exhausted (NYC); ~4% nontransf. (IRE)</w:t>
            </w:r>
          </w:p>
        </w:tc>
        <w:tc>
          <w:tcPr>
            <w:tcW w:w="990" w:type="dxa"/>
          </w:tcPr>
          <w:p w14:paraId="757CDBEC" w14:textId="77777777" w:rsidR="002E5BBE" w:rsidRDefault="00000000">
            <w:pPr>
              <w:pStyle w:val="Compact"/>
            </w:pPr>
            <w:r>
              <w:t>STV: slight + in MMD</w:t>
            </w:r>
          </w:p>
        </w:tc>
        <w:tc>
          <w:tcPr>
            <w:tcW w:w="990" w:type="dxa"/>
          </w:tcPr>
          <w:p w14:paraId="520DE36C" w14:textId="77777777" w:rsidR="002E5BBE" w:rsidRDefault="00000000">
            <w:pPr>
              <w:pStyle w:val="Compact"/>
            </w:pPr>
            <w:r>
              <w:t>Haase Formánková et al. 2026; Endersby &amp; Towle 2014</w:t>
            </w:r>
          </w:p>
        </w:tc>
        <w:tc>
          <w:tcPr>
            <w:tcW w:w="990" w:type="dxa"/>
          </w:tcPr>
          <w:p w14:paraId="79DA7548" w14:textId="77777777" w:rsidR="002E5BBE" w:rsidRDefault="00000000">
            <w:pPr>
              <w:pStyle w:val="Compact"/>
            </w:pPr>
            <w:r>
              <w:t>Endersby &amp; Towle 2014</w:t>
            </w:r>
          </w:p>
        </w:tc>
        <w:tc>
          <w:tcPr>
            <w:tcW w:w="990" w:type="dxa"/>
          </w:tcPr>
          <w:p w14:paraId="4CD23D32" w14:textId="77777777" w:rsidR="002E5BBE" w:rsidRDefault="00000000">
            <w:pPr>
              <w:pStyle w:val="Compact"/>
            </w:pPr>
            <w:r>
              <w:t>Full ranking = highest cognitive load. Single skip invalidates all.</w:t>
            </w:r>
          </w:p>
        </w:tc>
        <w:tc>
          <w:tcPr>
            <w:tcW w:w="990" w:type="dxa"/>
          </w:tcPr>
          <w:p w14:paraId="38829289" w14:textId="77777777" w:rsidR="002E5BBE" w:rsidRDefault="00000000">
            <w:pPr>
              <w:pStyle w:val="Compact"/>
            </w:pPr>
            <w:r>
              <w:t>Significant racial gaps in ballot exhaustion.</w:t>
            </w:r>
          </w:p>
        </w:tc>
      </w:tr>
      <w:tr w:rsidR="002E5BBE" w14:paraId="0F2582B0" w14:textId="77777777">
        <w:tc>
          <w:tcPr>
            <w:tcW w:w="990" w:type="dxa"/>
          </w:tcPr>
          <w:p w14:paraId="1EA55E14" w14:textId="77777777" w:rsidR="002E5BBE" w:rsidRDefault="00000000">
            <w:pPr>
              <w:pStyle w:val="Compact"/>
            </w:pPr>
            <w:r>
              <w:t>Free list (panachage)</w:t>
            </w:r>
          </w:p>
        </w:tc>
        <w:tc>
          <w:tcPr>
            <w:tcW w:w="990" w:type="dxa"/>
          </w:tcPr>
          <w:p w14:paraId="4916D811" w14:textId="77777777" w:rsidR="002E5BBE" w:rsidRDefault="00000000">
            <w:pPr>
              <w:pStyle w:val="Compact"/>
            </w:pPr>
            <w:r>
              <w:t>Highest</w:t>
            </w:r>
          </w:p>
        </w:tc>
        <w:tc>
          <w:tcPr>
            <w:tcW w:w="990" w:type="dxa"/>
          </w:tcPr>
          <w:p w14:paraId="0C6BE3DD" w14:textId="77777777" w:rsidR="002E5BBE" w:rsidRDefault="00000000">
            <w:pPr>
              <w:pStyle w:val="Compact"/>
            </w:pPr>
            <w:r>
              <w:t>Limited direct data. Predicted high by complexity framework.</w:t>
            </w:r>
          </w:p>
        </w:tc>
        <w:tc>
          <w:tcPr>
            <w:tcW w:w="990" w:type="dxa"/>
          </w:tcPr>
          <w:p w14:paraId="2211470A" w14:textId="77777777" w:rsidR="002E5BBE" w:rsidRDefault="00000000">
            <w:pPr>
              <w:pStyle w:val="Compact"/>
            </w:pPr>
            <w:r>
              <w:t>Slight + (Swiss data)</w:t>
            </w:r>
          </w:p>
        </w:tc>
        <w:tc>
          <w:tcPr>
            <w:tcW w:w="990" w:type="dxa"/>
          </w:tcPr>
          <w:p w14:paraId="0BDF157D" w14:textId="77777777" w:rsidR="002E5BBE" w:rsidRDefault="00000000">
            <w:pPr>
              <w:pStyle w:val="Compact"/>
            </w:pPr>
            <w:r>
              <w:t>[Predicted: Haase Formánková et al. 2026 framework]</w:t>
            </w:r>
          </w:p>
        </w:tc>
        <w:tc>
          <w:tcPr>
            <w:tcW w:w="990" w:type="dxa"/>
          </w:tcPr>
          <w:p w14:paraId="0848217F" w14:textId="77777777" w:rsidR="002E5BBE" w:rsidRDefault="00000000">
            <w:pPr>
              <w:pStyle w:val="Compact"/>
            </w:pPr>
            <w:r>
              <w:t>Lutz 2010</w:t>
            </w:r>
          </w:p>
        </w:tc>
        <w:tc>
          <w:tcPr>
            <w:tcW w:w="990" w:type="dxa"/>
          </w:tcPr>
          <w:p w14:paraId="5239CABF" w14:textId="77777777" w:rsidR="002E5BBE" w:rsidRDefault="00000000">
            <w:pPr>
              <w:pStyle w:val="Compact"/>
            </w:pPr>
            <w:r>
              <w:t>Cross-list + cumulation = max complexity. Mitigated by familiarity.</w:t>
            </w:r>
          </w:p>
        </w:tc>
        <w:tc>
          <w:tcPr>
            <w:tcW w:w="990" w:type="dxa"/>
          </w:tcPr>
          <w:p w14:paraId="0E23D16A" w14:textId="77777777" w:rsidR="002E5BBE" w:rsidRDefault="00000000">
            <w:pPr>
              <w:pStyle w:val="Compact"/>
            </w:pPr>
            <w:r>
              <w:t>Cross-list voting could benefit or fragment minority blocs.</w:t>
            </w:r>
          </w:p>
        </w:tc>
      </w:tr>
    </w:tbl>
    <w:p w14:paraId="2D134FBD" w14:textId="77777777" w:rsidR="002E5BBE" w:rsidRDefault="00000000">
      <w:pPr>
        <w:pStyle w:val="BodyText"/>
      </w:pPr>
      <w:r>
        <w:rPr>
          <w:i/>
          <w:iCs/>
        </w:rPr>
        <w:t>Notes:</w:t>
      </w:r>
      <w:r>
        <w:t xml:space="preserve"> Error ordering reflects synthesis of experimental, quasi-experimental, and observational evidence. Rates from specific studies and may not be directly comparable </w:t>
      </w:r>
      <w:r>
        <w:lastRenderedPageBreak/>
        <w:t>across rows. “Faulty” in Flis &amp; Kaminski (2025) includes formally invalid votes plus primacy-effect-driven votes. Exhaustion rates include initially valid but later uncountable ballots.</w:t>
      </w:r>
    </w:p>
    <w:p w14:paraId="58E6C92B" w14:textId="77777777" w:rsidR="002E5BBE" w:rsidRDefault="00000000">
      <w:pPr>
        <w:pStyle w:val="Heading3"/>
      </w:pPr>
      <w:bookmarkStart w:id="20" w:name="Xa6bc7d7bc8785575f9ee08a2ca26fc08a5ac7e7"/>
      <w:bookmarkEnd w:id="19"/>
      <w:r>
        <w:t>Table 2. US-Based Studies of Ballot Rejection, Residual Votes, and Improper Marking</w:t>
      </w:r>
    </w:p>
    <w:tbl>
      <w:tblPr>
        <w:tblStyle w:val="Table"/>
        <w:tblW w:w="5000" w:type="pct"/>
        <w:tblLayout w:type="fixed"/>
        <w:tblLook w:val="0020" w:firstRow="1" w:lastRow="0" w:firstColumn="0" w:lastColumn="0" w:noHBand="0" w:noVBand="0"/>
      </w:tblPr>
      <w:tblGrid>
        <w:gridCol w:w="2394"/>
        <w:gridCol w:w="2394"/>
        <w:gridCol w:w="2394"/>
        <w:gridCol w:w="2394"/>
      </w:tblGrid>
      <w:tr w:rsidR="002E5BBE" w14:paraId="5930FC62" w14:textId="77777777" w:rsidTr="002E5BBE">
        <w:trPr>
          <w:cnfStyle w:val="100000000000" w:firstRow="1" w:lastRow="0" w:firstColumn="0" w:lastColumn="0" w:oddVBand="0" w:evenVBand="0" w:oddHBand="0" w:evenHBand="0" w:firstRowFirstColumn="0" w:firstRowLastColumn="0" w:lastRowFirstColumn="0" w:lastRowLastColumn="0"/>
          <w:tblHeader/>
        </w:trPr>
        <w:tc>
          <w:tcPr>
            <w:tcW w:w="1980" w:type="dxa"/>
          </w:tcPr>
          <w:p w14:paraId="28C069B6" w14:textId="77777777" w:rsidR="002E5BBE" w:rsidRDefault="00000000">
            <w:pPr>
              <w:pStyle w:val="Compact"/>
            </w:pPr>
            <w:r>
              <w:t>Study</w:t>
            </w:r>
          </w:p>
        </w:tc>
        <w:tc>
          <w:tcPr>
            <w:tcW w:w="1980" w:type="dxa"/>
          </w:tcPr>
          <w:p w14:paraId="78A444F4" w14:textId="77777777" w:rsidR="002E5BBE" w:rsidRDefault="00000000">
            <w:pPr>
              <w:pStyle w:val="Compact"/>
            </w:pPr>
            <w:r>
              <w:t>Context</w:t>
            </w:r>
          </w:p>
        </w:tc>
        <w:tc>
          <w:tcPr>
            <w:tcW w:w="1980" w:type="dxa"/>
          </w:tcPr>
          <w:p w14:paraId="50F63CAD" w14:textId="77777777" w:rsidR="002E5BBE" w:rsidRDefault="00000000">
            <w:pPr>
              <w:pStyle w:val="Compact"/>
            </w:pPr>
            <w:r>
              <w:t>Key Metric</w:t>
            </w:r>
          </w:p>
        </w:tc>
        <w:tc>
          <w:tcPr>
            <w:tcW w:w="1980" w:type="dxa"/>
          </w:tcPr>
          <w:p w14:paraId="1182923E" w14:textId="77777777" w:rsidR="002E5BBE" w:rsidRDefault="00000000">
            <w:pPr>
              <w:pStyle w:val="Compact"/>
            </w:pPr>
            <w:r>
              <w:t>Finding</w:t>
            </w:r>
          </w:p>
        </w:tc>
      </w:tr>
      <w:tr w:rsidR="002E5BBE" w14:paraId="0BB5DA83" w14:textId="77777777">
        <w:tc>
          <w:tcPr>
            <w:tcW w:w="1980" w:type="dxa"/>
          </w:tcPr>
          <w:p w14:paraId="474F2DB8" w14:textId="77777777" w:rsidR="002E5BBE" w:rsidRDefault="00000000">
            <w:pPr>
              <w:pStyle w:val="Compact"/>
            </w:pPr>
            <w:r>
              <w:t>Cottrell, Herron &amp; Smith (2021)</w:t>
            </w:r>
          </w:p>
        </w:tc>
        <w:tc>
          <w:tcPr>
            <w:tcW w:w="1980" w:type="dxa"/>
          </w:tcPr>
          <w:p w14:paraId="4399B7D2" w14:textId="77777777" w:rsidR="002E5BBE" w:rsidRDefault="00000000">
            <w:pPr>
              <w:pStyle w:val="Compact"/>
            </w:pPr>
            <w:r>
              <w:t>FL VBM 2016–20</w:t>
            </w:r>
          </w:p>
        </w:tc>
        <w:tc>
          <w:tcPr>
            <w:tcW w:w="1980" w:type="dxa"/>
          </w:tcPr>
          <w:p w14:paraId="7B2DD42B" w14:textId="77777777" w:rsidR="002E5BBE" w:rsidRDefault="00000000">
            <w:pPr>
              <w:pStyle w:val="Compact"/>
            </w:pPr>
            <w:r>
              <w:t>~1–2% VBM rejection</w:t>
            </w:r>
          </w:p>
        </w:tc>
        <w:tc>
          <w:tcPr>
            <w:tcW w:w="1980" w:type="dxa"/>
          </w:tcPr>
          <w:p w14:paraId="28317081" w14:textId="77777777" w:rsidR="002E5BBE" w:rsidRDefault="00000000">
            <w:pPr>
              <w:pStyle w:val="Compact"/>
            </w:pPr>
            <w:r>
              <w:t>Inexperienced mail voters 3× more likely rejected. Penalty varies by party, race/ethnicity, and age.</w:t>
            </w:r>
          </w:p>
        </w:tc>
      </w:tr>
      <w:tr w:rsidR="002E5BBE" w14:paraId="0040AEF7" w14:textId="77777777">
        <w:tc>
          <w:tcPr>
            <w:tcW w:w="1980" w:type="dxa"/>
          </w:tcPr>
          <w:p w14:paraId="5A8C784E" w14:textId="77777777" w:rsidR="002E5BBE" w:rsidRDefault="00000000">
            <w:pPr>
              <w:pStyle w:val="Compact"/>
            </w:pPr>
            <w:r>
              <w:t>Baringer, Herron &amp; Smith (2020)</w:t>
            </w:r>
          </w:p>
        </w:tc>
        <w:tc>
          <w:tcPr>
            <w:tcW w:w="1980" w:type="dxa"/>
          </w:tcPr>
          <w:p w14:paraId="59F02253" w14:textId="77777777" w:rsidR="002E5BBE" w:rsidRDefault="00000000">
            <w:pPr>
              <w:pStyle w:val="Compact"/>
            </w:pPr>
            <w:r>
              <w:t>FL VBM 2012–18</w:t>
            </w:r>
          </w:p>
        </w:tc>
        <w:tc>
          <w:tcPr>
            <w:tcW w:w="1980" w:type="dxa"/>
          </w:tcPr>
          <w:p w14:paraId="6C61A9C2" w14:textId="77777777" w:rsidR="002E5BBE" w:rsidRDefault="00000000">
            <w:pPr>
              <w:pStyle w:val="Compact"/>
            </w:pPr>
            <w:r>
              <w:t>0.8–1.5% rejection</w:t>
            </w:r>
          </w:p>
        </w:tc>
        <w:tc>
          <w:tcPr>
            <w:tcW w:w="1980" w:type="dxa"/>
          </w:tcPr>
          <w:p w14:paraId="79BA6EFC" w14:textId="77777777" w:rsidR="002E5BBE" w:rsidRDefault="00000000">
            <w:pPr>
              <w:pStyle w:val="Compact"/>
            </w:pPr>
            <w:r>
              <w:t>Black &amp; Latino VBM ballots 2×+ rejection rate vs. white. Late arrival and signature defects primary causes.</w:t>
            </w:r>
          </w:p>
        </w:tc>
      </w:tr>
      <w:tr w:rsidR="002E5BBE" w14:paraId="241B8B9B" w14:textId="77777777">
        <w:tc>
          <w:tcPr>
            <w:tcW w:w="1980" w:type="dxa"/>
          </w:tcPr>
          <w:p w14:paraId="4C84DF1F" w14:textId="77777777" w:rsidR="002E5BBE" w:rsidRDefault="00000000">
            <w:pPr>
              <w:pStyle w:val="Compact"/>
            </w:pPr>
            <w:r>
              <w:t>Shino, Suttmann-Lea &amp; Smith (2022)</w:t>
            </w:r>
          </w:p>
        </w:tc>
        <w:tc>
          <w:tcPr>
            <w:tcW w:w="1980" w:type="dxa"/>
          </w:tcPr>
          <w:p w14:paraId="2070743E" w14:textId="77777777" w:rsidR="002E5BBE" w:rsidRDefault="00000000">
            <w:pPr>
              <w:pStyle w:val="Compact"/>
            </w:pPr>
            <w:r>
              <w:t>GA VBM 2018</w:t>
            </w:r>
          </w:p>
        </w:tc>
        <w:tc>
          <w:tcPr>
            <w:tcW w:w="1980" w:type="dxa"/>
          </w:tcPr>
          <w:p w14:paraId="1528376E" w14:textId="77777777" w:rsidR="002E5BBE" w:rsidRDefault="00000000">
            <w:pPr>
              <w:pStyle w:val="Compact"/>
            </w:pPr>
            <w:r>
              <w:t>~3.5% rejection</w:t>
            </w:r>
          </w:p>
        </w:tc>
        <w:tc>
          <w:tcPr>
            <w:tcW w:w="1980" w:type="dxa"/>
          </w:tcPr>
          <w:p w14:paraId="42E346AF" w14:textId="77777777" w:rsidR="002E5BBE" w:rsidRDefault="00000000">
            <w:pPr>
              <w:pStyle w:val="Compact"/>
            </w:pPr>
            <w:r>
              <w:t>Young, first-time, and minority voters disproportionately rejected. Signature match dominant cause.</w:t>
            </w:r>
          </w:p>
        </w:tc>
      </w:tr>
      <w:tr w:rsidR="002E5BBE" w14:paraId="543C276A" w14:textId="77777777">
        <w:tc>
          <w:tcPr>
            <w:tcW w:w="1980" w:type="dxa"/>
          </w:tcPr>
          <w:p w14:paraId="4FC77F97" w14:textId="77777777" w:rsidR="002E5BBE" w:rsidRDefault="00000000">
            <w:pPr>
              <w:pStyle w:val="Compact"/>
            </w:pPr>
            <w:r>
              <w:t>Hopkins, Meredith, Chainani &amp; Olin (2022)</w:t>
            </w:r>
          </w:p>
        </w:tc>
        <w:tc>
          <w:tcPr>
            <w:tcW w:w="1980" w:type="dxa"/>
          </w:tcPr>
          <w:p w14:paraId="3376AC3B" w14:textId="77777777" w:rsidR="002E5BBE" w:rsidRDefault="00000000">
            <w:pPr>
              <w:pStyle w:val="Compact"/>
            </w:pPr>
            <w:r>
              <w:t>Philadelphia 2020</w:t>
            </w:r>
          </w:p>
        </w:tc>
        <w:tc>
          <w:tcPr>
            <w:tcW w:w="1980" w:type="dxa"/>
          </w:tcPr>
          <w:p w14:paraId="6ABA2E3F" w14:textId="77777777" w:rsidR="002E5BBE" w:rsidRDefault="00000000">
            <w:pPr>
              <w:pStyle w:val="Compact"/>
            </w:pPr>
            <w:r>
              <w:t>~1.5–2% lost votes</w:t>
            </w:r>
          </w:p>
        </w:tc>
        <w:tc>
          <w:tcPr>
            <w:tcW w:w="1980" w:type="dxa"/>
          </w:tcPr>
          <w:p w14:paraId="038D066D" w14:textId="77777777" w:rsidR="002E5BBE" w:rsidRDefault="00000000">
            <w:pPr>
              <w:pStyle w:val="Compact"/>
            </w:pPr>
            <w:r>
              <w:t>“Naked ballots” (missing secrecy envelope) major cause. Minority voters more likely to submit naked ballots.</w:t>
            </w:r>
          </w:p>
        </w:tc>
      </w:tr>
      <w:tr w:rsidR="002E5BBE" w14:paraId="37FA4626" w14:textId="77777777">
        <w:tc>
          <w:tcPr>
            <w:tcW w:w="1980" w:type="dxa"/>
          </w:tcPr>
          <w:p w14:paraId="22C0E09B" w14:textId="77777777" w:rsidR="002E5BBE" w:rsidRDefault="00000000">
            <w:pPr>
              <w:pStyle w:val="Compact"/>
            </w:pPr>
            <w:r>
              <w:t>Street (2024)</w:t>
            </w:r>
          </w:p>
        </w:tc>
        <w:tc>
          <w:tcPr>
            <w:tcW w:w="1980" w:type="dxa"/>
          </w:tcPr>
          <w:p w14:paraId="5C755EA4" w14:textId="77777777" w:rsidR="002E5BBE" w:rsidRDefault="00000000">
            <w:pPr>
              <w:pStyle w:val="Compact"/>
            </w:pPr>
            <w:r>
              <w:t>US multi-state</w:t>
            </w:r>
          </w:p>
        </w:tc>
        <w:tc>
          <w:tcPr>
            <w:tcW w:w="1980" w:type="dxa"/>
          </w:tcPr>
          <w:p w14:paraId="1DBCAC98" w14:textId="77777777" w:rsidR="002E5BBE" w:rsidRDefault="00000000">
            <w:pPr>
              <w:pStyle w:val="Compact"/>
            </w:pPr>
            <w:r>
              <w:t>Tens of thousands/election</w:t>
            </w:r>
          </w:p>
        </w:tc>
        <w:tc>
          <w:tcPr>
            <w:tcW w:w="1980" w:type="dxa"/>
          </w:tcPr>
          <w:p w14:paraId="6A361616" w14:textId="77777777" w:rsidR="002E5BBE" w:rsidRDefault="00000000">
            <w:pPr>
              <w:pStyle w:val="Compact"/>
            </w:pPr>
            <w:r>
              <w:t>Bayesian analysis of signature verification errors. High false-rejection rates; calibration varies by jurisdiction.</w:t>
            </w:r>
          </w:p>
        </w:tc>
      </w:tr>
      <w:tr w:rsidR="002E5BBE" w14:paraId="58F94058" w14:textId="77777777">
        <w:tc>
          <w:tcPr>
            <w:tcW w:w="1980" w:type="dxa"/>
          </w:tcPr>
          <w:p w14:paraId="1761F8D3" w14:textId="77777777" w:rsidR="002E5BBE" w:rsidRDefault="00000000">
            <w:pPr>
              <w:pStyle w:val="Compact"/>
            </w:pPr>
            <w:r>
              <w:t>Morse, Herron, Meredith, Smith &amp; Martinez (2025)</w:t>
            </w:r>
          </w:p>
        </w:tc>
        <w:tc>
          <w:tcPr>
            <w:tcW w:w="1980" w:type="dxa"/>
          </w:tcPr>
          <w:p w14:paraId="2493620A" w14:textId="77777777" w:rsidR="002E5BBE" w:rsidRDefault="00000000">
            <w:pPr>
              <w:pStyle w:val="Compact"/>
            </w:pPr>
            <w:r>
              <w:t>FL Senate 2018</w:t>
            </w:r>
          </w:p>
        </w:tc>
        <w:tc>
          <w:tcPr>
            <w:tcW w:w="1980" w:type="dxa"/>
          </w:tcPr>
          <w:p w14:paraId="4524D3A1" w14:textId="77777777" w:rsidR="002E5BBE" w:rsidRDefault="00000000">
            <w:pPr>
              <w:pStyle w:val="Compact"/>
            </w:pPr>
            <w:r>
              <w:t>~25,000 excess undervotes</w:t>
            </w:r>
          </w:p>
        </w:tc>
        <w:tc>
          <w:tcPr>
            <w:tcW w:w="1980" w:type="dxa"/>
          </w:tcPr>
          <w:p w14:paraId="30D79198" w14:textId="77777777" w:rsidR="002E5BBE" w:rsidRDefault="00000000">
            <w:pPr>
              <w:pStyle w:val="Compact"/>
            </w:pPr>
            <w:r>
              <w:t xml:space="preserve">Confusing ballot format in Broward County. Concentrated </w:t>
            </w:r>
            <w:r>
              <w:lastRenderedPageBreak/>
              <w:t>among low-information voters.</w:t>
            </w:r>
          </w:p>
        </w:tc>
      </w:tr>
      <w:tr w:rsidR="002E5BBE" w14:paraId="6D9748E2" w14:textId="77777777">
        <w:tc>
          <w:tcPr>
            <w:tcW w:w="1980" w:type="dxa"/>
          </w:tcPr>
          <w:p w14:paraId="6D265EC9" w14:textId="77777777" w:rsidR="002E5BBE" w:rsidRDefault="00000000">
            <w:pPr>
              <w:pStyle w:val="Compact"/>
            </w:pPr>
            <w:r>
              <w:lastRenderedPageBreak/>
              <w:t>Cottrell, F. Herron, M. Herron &amp; Smith (2022)</w:t>
            </w:r>
          </w:p>
        </w:tc>
        <w:tc>
          <w:tcPr>
            <w:tcW w:w="1980" w:type="dxa"/>
          </w:tcPr>
          <w:p w14:paraId="740F37A8" w14:textId="77777777" w:rsidR="002E5BBE" w:rsidRDefault="00000000">
            <w:pPr>
              <w:pStyle w:val="Compact"/>
            </w:pPr>
            <w:r>
              <w:t>GA general 2020</w:t>
            </w:r>
          </w:p>
        </w:tc>
        <w:tc>
          <w:tcPr>
            <w:tcW w:w="1980" w:type="dxa"/>
          </w:tcPr>
          <w:p w14:paraId="06D724CA" w14:textId="77777777" w:rsidR="002E5BBE" w:rsidRDefault="00000000">
            <w:pPr>
              <w:pStyle w:val="Compact"/>
            </w:pPr>
            <w:r>
              <w:t>Elevated residual vote</w:t>
            </w:r>
          </w:p>
        </w:tc>
        <w:tc>
          <w:tcPr>
            <w:tcW w:w="1980" w:type="dxa"/>
          </w:tcPr>
          <w:p w14:paraId="06AB1D7F" w14:textId="77777777" w:rsidR="002E5BBE" w:rsidRDefault="00000000">
            <w:pPr>
              <w:pStyle w:val="Compact"/>
            </w:pPr>
            <w:r>
              <w:t>Confusing ballot format produced anomalous residual vote rates in the 2020 Georgia general election.</w:t>
            </w:r>
          </w:p>
        </w:tc>
      </w:tr>
      <w:tr w:rsidR="002E5BBE" w14:paraId="0A90FC3A" w14:textId="77777777">
        <w:tc>
          <w:tcPr>
            <w:tcW w:w="1980" w:type="dxa"/>
          </w:tcPr>
          <w:p w14:paraId="5FD3E555" w14:textId="77777777" w:rsidR="002E5BBE" w:rsidRDefault="00000000">
            <w:pPr>
              <w:pStyle w:val="Compact"/>
            </w:pPr>
            <w:r>
              <w:t>Ansolabehere &amp; Stewart (2005)</w:t>
            </w:r>
          </w:p>
        </w:tc>
        <w:tc>
          <w:tcPr>
            <w:tcW w:w="1980" w:type="dxa"/>
          </w:tcPr>
          <w:p w14:paraId="5F11E8FC" w14:textId="77777777" w:rsidR="002E5BBE" w:rsidRDefault="00000000">
            <w:pPr>
              <w:pStyle w:val="Compact"/>
            </w:pPr>
            <w:r>
              <w:t>US national 2000</w:t>
            </w:r>
          </w:p>
        </w:tc>
        <w:tc>
          <w:tcPr>
            <w:tcW w:w="1980" w:type="dxa"/>
          </w:tcPr>
          <w:p w14:paraId="4D23F618" w14:textId="77777777" w:rsidR="002E5BBE" w:rsidRDefault="00000000">
            <w:pPr>
              <w:pStyle w:val="Compact"/>
            </w:pPr>
            <w:r>
              <w:t>1–2% residual vote</w:t>
            </w:r>
          </w:p>
        </w:tc>
        <w:tc>
          <w:tcPr>
            <w:tcW w:w="1980" w:type="dxa"/>
          </w:tcPr>
          <w:p w14:paraId="77A4DBCB" w14:textId="77777777" w:rsidR="002E5BBE" w:rsidRDefault="00000000">
            <w:pPr>
              <w:pStyle w:val="Compact"/>
            </w:pPr>
            <w:r>
              <w:t>Residual vote rates vary by technology: optical scan ~1%, punch card ~2.5%. Equipment is policy.</w:t>
            </w:r>
          </w:p>
        </w:tc>
      </w:tr>
      <w:tr w:rsidR="002E5BBE" w14:paraId="30D60D40" w14:textId="77777777">
        <w:tc>
          <w:tcPr>
            <w:tcW w:w="1980" w:type="dxa"/>
          </w:tcPr>
          <w:p w14:paraId="7728EBBF" w14:textId="77777777" w:rsidR="002E5BBE" w:rsidRDefault="00000000">
            <w:pPr>
              <w:pStyle w:val="Compact"/>
            </w:pPr>
            <w:r>
              <w:t>Tomz &amp; Van Houweling (2003)</w:t>
            </w:r>
          </w:p>
        </w:tc>
        <w:tc>
          <w:tcPr>
            <w:tcW w:w="1980" w:type="dxa"/>
          </w:tcPr>
          <w:p w14:paraId="77E904CE" w14:textId="77777777" w:rsidR="002E5BBE" w:rsidRDefault="00000000">
            <w:pPr>
              <w:pStyle w:val="Compact"/>
            </w:pPr>
            <w:r>
              <w:t>US national 2000</w:t>
            </w:r>
          </w:p>
        </w:tc>
        <w:tc>
          <w:tcPr>
            <w:tcW w:w="1980" w:type="dxa"/>
          </w:tcPr>
          <w:p w14:paraId="416A4DCB" w14:textId="77777777" w:rsidR="002E5BBE" w:rsidRDefault="00000000">
            <w:pPr>
              <w:pStyle w:val="Compact"/>
            </w:pPr>
            <w:r>
              <w:t>Racial gap in voided ballots</w:t>
            </w:r>
          </w:p>
        </w:tc>
        <w:tc>
          <w:tcPr>
            <w:tcW w:w="1980" w:type="dxa"/>
          </w:tcPr>
          <w:p w14:paraId="2637416F" w14:textId="77777777" w:rsidR="002E5BBE" w:rsidRDefault="00000000">
            <w:pPr>
              <w:pStyle w:val="Compact"/>
            </w:pPr>
            <w:r>
              <w:t>Voting equipment explains most of black-white gap. Appropriate technology virtually eliminates disparity.</w:t>
            </w:r>
          </w:p>
        </w:tc>
      </w:tr>
      <w:tr w:rsidR="002E5BBE" w14:paraId="1B148AC4" w14:textId="77777777">
        <w:tc>
          <w:tcPr>
            <w:tcW w:w="1980" w:type="dxa"/>
          </w:tcPr>
          <w:p w14:paraId="1EC7267F" w14:textId="77777777" w:rsidR="002E5BBE" w:rsidRDefault="00000000">
            <w:pPr>
              <w:pStyle w:val="Compact"/>
            </w:pPr>
            <w:r>
              <w:t>Engstrom &amp; Roberts (2016, 2020)</w:t>
            </w:r>
          </w:p>
        </w:tc>
        <w:tc>
          <w:tcPr>
            <w:tcW w:w="1980" w:type="dxa"/>
          </w:tcPr>
          <w:p w14:paraId="591C8C3C" w14:textId="77777777" w:rsidR="002E5BBE" w:rsidRDefault="00000000">
            <w:pPr>
              <w:pStyle w:val="Compact"/>
            </w:pPr>
            <w:r>
              <w:t>US state-level</w:t>
            </w:r>
          </w:p>
        </w:tc>
        <w:tc>
          <w:tcPr>
            <w:tcW w:w="1980" w:type="dxa"/>
          </w:tcPr>
          <w:p w14:paraId="373CB92E" w14:textId="77777777" w:rsidR="002E5BBE" w:rsidRDefault="00000000">
            <w:pPr>
              <w:pStyle w:val="Compact"/>
            </w:pPr>
            <w:r>
              <w:t>Roll-off by ballot format</w:t>
            </w:r>
          </w:p>
        </w:tc>
        <w:tc>
          <w:tcPr>
            <w:tcW w:w="1980" w:type="dxa"/>
          </w:tcPr>
          <w:p w14:paraId="2F98FC51" w14:textId="77777777" w:rsidR="002E5BBE" w:rsidRDefault="00000000">
            <w:pPr>
              <w:pStyle w:val="Compact"/>
            </w:pPr>
            <w:r>
              <w:t>Office bloc ballots produce higher roll-off and split-ticket voting. Ballot format independently shapes completion.</w:t>
            </w:r>
          </w:p>
        </w:tc>
      </w:tr>
      <w:tr w:rsidR="002E5BBE" w14:paraId="2AA89CFB" w14:textId="77777777">
        <w:tc>
          <w:tcPr>
            <w:tcW w:w="1980" w:type="dxa"/>
          </w:tcPr>
          <w:p w14:paraId="7E1C44C9" w14:textId="77777777" w:rsidR="002E5BBE" w:rsidRDefault="00000000">
            <w:pPr>
              <w:pStyle w:val="Compact"/>
            </w:pPr>
            <w:r>
              <w:t>Santucci, Atkeson et al. (2025)</w:t>
            </w:r>
          </w:p>
        </w:tc>
        <w:tc>
          <w:tcPr>
            <w:tcW w:w="1980" w:type="dxa"/>
          </w:tcPr>
          <w:p w14:paraId="1D87CD15" w14:textId="77777777" w:rsidR="002E5BBE" w:rsidRDefault="00000000">
            <w:pPr>
              <w:pStyle w:val="Compact"/>
            </w:pPr>
            <w:r>
              <w:t>US RCV multi-city</w:t>
            </w:r>
          </w:p>
        </w:tc>
        <w:tc>
          <w:tcPr>
            <w:tcW w:w="1980" w:type="dxa"/>
          </w:tcPr>
          <w:p w14:paraId="7DD34E0E" w14:textId="77777777" w:rsidR="002E5BBE" w:rsidRDefault="00000000">
            <w:pPr>
              <w:pStyle w:val="Compact"/>
            </w:pPr>
            <w:r>
              <w:t>4.8% improper marking</w:t>
            </w:r>
          </w:p>
        </w:tc>
        <w:tc>
          <w:tcPr>
            <w:tcW w:w="1980" w:type="dxa"/>
          </w:tcPr>
          <w:p w14:paraId="2E666E77" w14:textId="77777777" w:rsidR="002E5BBE" w:rsidRDefault="00000000">
            <w:pPr>
              <w:pStyle w:val="Compact"/>
            </w:pPr>
            <w:r>
              <w:t>3M+ cast vote records. Overvotes, overranks, and skips. ~1 in 20 RCV ballots improperly marked.</w:t>
            </w:r>
          </w:p>
        </w:tc>
      </w:tr>
      <w:tr w:rsidR="002E5BBE" w14:paraId="6DCDC4D8" w14:textId="77777777">
        <w:tc>
          <w:tcPr>
            <w:tcW w:w="1980" w:type="dxa"/>
          </w:tcPr>
          <w:p w14:paraId="219B032E" w14:textId="77777777" w:rsidR="002E5BBE" w:rsidRDefault="00000000">
            <w:pPr>
              <w:pStyle w:val="Compact"/>
            </w:pPr>
            <w:r>
              <w:t>Burnett &amp; Kogan (2015)</w:t>
            </w:r>
          </w:p>
        </w:tc>
        <w:tc>
          <w:tcPr>
            <w:tcW w:w="1980" w:type="dxa"/>
          </w:tcPr>
          <w:p w14:paraId="52D5C5D0" w14:textId="77777777" w:rsidR="002E5BBE" w:rsidRDefault="00000000">
            <w:pPr>
              <w:pStyle w:val="Compact"/>
            </w:pPr>
            <w:r>
              <w:t>US RCV 4 cities</w:t>
            </w:r>
          </w:p>
        </w:tc>
        <w:tc>
          <w:tcPr>
            <w:tcW w:w="1980" w:type="dxa"/>
          </w:tcPr>
          <w:p w14:paraId="6E12AF0D" w14:textId="77777777" w:rsidR="002E5BBE" w:rsidRDefault="00000000">
            <w:pPr>
              <w:pStyle w:val="Compact"/>
            </w:pPr>
            <w:r>
              <w:t>9.6–27.1% exhausted</w:t>
            </w:r>
          </w:p>
        </w:tc>
        <w:tc>
          <w:tcPr>
            <w:tcW w:w="1980" w:type="dxa"/>
          </w:tcPr>
          <w:p w14:paraId="5DD2748A" w14:textId="77777777" w:rsidR="002E5BBE" w:rsidRDefault="00000000">
            <w:pPr>
              <w:pStyle w:val="Compact"/>
            </w:pPr>
            <w:r>
              <w:t>High ballot exhaustion in all four elections. Winners did not achieve true majority of all ballots cast.</w:t>
            </w:r>
          </w:p>
        </w:tc>
      </w:tr>
      <w:tr w:rsidR="002E5BBE" w14:paraId="0FEBCB77" w14:textId="77777777">
        <w:tc>
          <w:tcPr>
            <w:tcW w:w="1980" w:type="dxa"/>
          </w:tcPr>
          <w:p w14:paraId="0A059632" w14:textId="77777777" w:rsidR="002E5BBE" w:rsidRDefault="00000000">
            <w:pPr>
              <w:pStyle w:val="Compact"/>
            </w:pPr>
            <w:r>
              <w:t>Power &amp; Roberts (1995)</w:t>
            </w:r>
          </w:p>
        </w:tc>
        <w:tc>
          <w:tcPr>
            <w:tcW w:w="1980" w:type="dxa"/>
          </w:tcPr>
          <w:p w14:paraId="135FBC15" w14:textId="77777777" w:rsidR="002E5BBE" w:rsidRDefault="00000000">
            <w:pPr>
              <w:pStyle w:val="Compact"/>
            </w:pPr>
            <w:r>
              <w:t>Brazil (compulsory)</w:t>
            </w:r>
          </w:p>
        </w:tc>
        <w:tc>
          <w:tcPr>
            <w:tcW w:w="1980" w:type="dxa"/>
          </w:tcPr>
          <w:p w14:paraId="5ABF22C8" w14:textId="77777777" w:rsidR="002E5BBE" w:rsidRDefault="00000000">
            <w:pPr>
              <w:pStyle w:val="Compact"/>
            </w:pPr>
            <w:r>
              <w:t>Up to 30%+ invalid</w:t>
            </w:r>
          </w:p>
        </w:tc>
        <w:tc>
          <w:tcPr>
            <w:tcW w:w="1980" w:type="dxa"/>
          </w:tcPr>
          <w:p w14:paraId="71A6327D" w14:textId="77777777" w:rsidR="002E5BBE" w:rsidRDefault="00000000">
            <w:pPr>
              <w:pStyle w:val="Compact"/>
            </w:pPr>
            <w:r>
              <w:t xml:space="preserve">Compulsory voting + complex PR ballots = extremely high invalid rates. </w:t>
            </w:r>
            <w:r>
              <w:lastRenderedPageBreak/>
              <w:t>Electronic voting later sharply reduced them.</w:t>
            </w:r>
          </w:p>
        </w:tc>
      </w:tr>
      <w:tr w:rsidR="002E5BBE" w14:paraId="11AB9D02" w14:textId="77777777">
        <w:tc>
          <w:tcPr>
            <w:tcW w:w="1980" w:type="dxa"/>
          </w:tcPr>
          <w:p w14:paraId="63E956D7" w14:textId="77777777" w:rsidR="002E5BBE" w:rsidRDefault="00000000">
            <w:pPr>
              <w:pStyle w:val="Compact"/>
            </w:pPr>
            <w:r>
              <w:rPr>
                <w:b/>
                <w:bCs/>
              </w:rPr>
              <w:lastRenderedPageBreak/>
              <w:t>Coll, Maltby &amp; Rocha (2024)</w:t>
            </w:r>
          </w:p>
        </w:tc>
        <w:tc>
          <w:tcPr>
            <w:tcW w:w="1980" w:type="dxa"/>
          </w:tcPr>
          <w:p w14:paraId="09B5624E" w14:textId="77777777" w:rsidR="002E5BBE" w:rsidRDefault="00000000">
            <w:pPr>
              <w:pStyle w:val="Compact"/>
            </w:pPr>
            <w:r>
              <w:rPr>
                <w:b/>
                <w:bCs/>
              </w:rPr>
              <w:t>US counties 2016–18 (EAVS + ACS)</w:t>
            </w:r>
          </w:p>
        </w:tc>
        <w:tc>
          <w:tcPr>
            <w:tcW w:w="1980" w:type="dxa"/>
          </w:tcPr>
          <w:p w14:paraId="0E8908E8" w14:textId="77777777" w:rsidR="002E5BBE" w:rsidRDefault="00000000">
            <w:pPr>
              <w:pStyle w:val="Compact"/>
            </w:pPr>
            <w:r>
              <w:rPr>
                <w:b/>
                <w:bCs/>
              </w:rPr>
              <w:t>Polling site &amp; poll worker reductions</w:t>
            </w:r>
          </w:p>
        </w:tc>
        <w:tc>
          <w:tcPr>
            <w:tcW w:w="1980" w:type="dxa"/>
          </w:tcPr>
          <w:p w14:paraId="3A275318" w14:textId="77777777" w:rsidR="002E5BBE" w:rsidRDefault="00000000">
            <w:pPr>
              <w:pStyle w:val="Compact"/>
            </w:pPr>
            <w:r>
              <w:rPr>
                <w:b/>
                <w:bCs/>
              </w:rPr>
              <w:t>Counties with growing Latino populations reduce polling sites and poll workers. Effect intensifies in former Section-5 jurisdictions. Pre-ballot administrative bottleneck.</w:t>
            </w:r>
          </w:p>
        </w:tc>
      </w:tr>
    </w:tbl>
    <w:p w14:paraId="7FB30EAB" w14:textId="77777777" w:rsidR="002E5BBE" w:rsidRDefault="00000000">
      <w:pPr>
        <w:pStyle w:val="BodyText"/>
      </w:pPr>
      <w:r>
        <w:rPr>
          <w:i/>
          <w:iCs/>
        </w:rPr>
        <w:t>Note:</w:t>
      </w:r>
      <w:r>
        <w:t xml:space="preserve"> VBM = vote-by-mail. Rejection rates vary by state, election, and cure policies. Residual vote = ballots with no valid vote for a given office. RCV exhaustion counts ballots uncountable in later rounds.</w:t>
      </w:r>
    </w:p>
    <w:p w14:paraId="1346B820" w14:textId="77777777" w:rsidR="002E5BBE" w:rsidRDefault="00000000">
      <w:pPr>
        <w:pStyle w:val="Heading3"/>
      </w:pPr>
      <w:bookmarkStart w:id="21" w:name="X09631805322f50399317399e34ee28af139bfb7"/>
      <w:bookmarkEnd w:id="20"/>
      <w:r>
        <w:t>Table 3. Turnout Effects, Turnout Inequality, and Representational Bias by System and Voting Channel</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2E5BBE" w14:paraId="3A0DB586" w14:textId="77777777" w:rsidTr="002E5BBE">
        <w:trPr>
          <w:cnfStyle w:val="100000000000" w:firstRow="1" w:lastRow="0" w:firstColumn="0" w:lastColumn="0" w:oddVBand="0" w:evenVBand="0" w:oddHBand="0" w:evenHBand="0" w:firstRowFirstColumn="0" w:firstRowLastColumn="0" w:lastRowFirstColumn="0" w:lastRowLastColumn="0"/>
          <w:tblHeader/>
        </w:trPr>
        <w:tc>
          <w:tcPr>
            <w:tcW w:w="1320" w:type="dxa"/>
          </w:tcPr>
          <w:p w14:paraId="1B125CCC" w14:textId="77777777" w:rsidR="002E5BBE" w:rsidRDefault="00000000">
            <w:pPr>
              <w:pStyle w:val="Compact"/>
            </w:pPr>
            <w:r>
              <w:t>System / Channel</w:t>
            </w:r>
          </w:p>
        </w:tc>
        <w:tc>
          <w:tcPr>
            <w:tcW w:w="1320" w:type="dxa"/>
          </w:tcPr>
          <w:p w14:paraId="2A7EC84A" w14:textId="77777777" w:rsidR="002E5BBE" w:rsidRDefault="00000000">
            <w:pPr>
              <w:pStyle w:val="Compact"/>
            </w:pPr>
            <w:r>
              <w:t>Turnout Effect</w:t>
            </w:r>
          </w:p>
        </w:tc>
        <w:tc>
          <w:tcPr>
            <w:tcW w:w="1320" w:type="dxa"/>
          </w:tcPr>
          <w:p w14:paraId="5CD691FA" w14:textId="77777777" w:rsidR="002E5BBE" w:rsidRDefault="00000000">
            <w:pPr>
              <w:pStyle w:val="Compact"/>
            </w:pPr>
            <w:r>
              <w:t>Turnout Gap Reduction</w:t>
            </w:r>
          </w:p>
        </w:tc>
        <w:tc>
          <w:tcPr>
            <w:tcW w:w="1320" w:type="dxa"/>
          </w:tcPr>
          <w:p w14:paraId="2EAB0E85" w14:textId="77777777" w:rsidR="002E5BBE" w:rsidRDefault="00000000">
            <w:pPr>
              <w:pStyle w:val="Compact"/>
            </w:pPr>
            <w:r>
              <w:t>Partisan / Repr. Bias</w:t>
            </w:r>
          </w:p>
        </w:tc>
        <w:tc>
          <w:tcPr>
            <w:tcW w:w="1320" w:type="dxa"/>
          </w:tcPr>
          <w:p w14:paraId="7358D0F7" w14:textId="77777777" w:rsidR="002E5BBE" w:rsidRDefault="00000000">
            <w:pPr>
              <w:pStyle w:val="Compact"/>
            </w:pPr>
            <w:r>
              <w:t>Key Sources</w:t>
            </w:r>
          </w:p>
        </w:tc>
        <w:tc>
          <w:tcPr>
            <w:tcW w:w="1320" w:type="dxa"/>
          </w:tcPr>
          <w:p w14:paraId="31558CF7" w14:textId="77777777" w:rsidR="002E5BBE" w:rsidRDefault="00000000">
            <w:pPr>
              <w:pStyle w:val="Compact"/>
            </w:pPr>
            <w:r>
              <w:t>Design Implications</w:t>
            </w:r>
          </w:p>
        </w:tc>
      </w:tr>
      <w:tr w:rsidR="002E5BBE" w14:paraId="2F05FA89" w14:textId="77777777">
        <w:tc>
          <w:tcPr>
            <w:tcW w:w="1320" w:type="dxa"/>
          </w:tcPr>
          <w:p w14:paraId="3AF9AEB2" w14:textId="77777777" w:rsidR="002E5BBE" w:rsidRDefault="00000000">
            <w:pPr>
              <w:pStyle w:val="Compact"/>
            </w:pPr>
            <w:r>
              <w:t>Closed-list PR</w:t>
            </w:r>
          </w:p>
        </w:tc>
        <w:tc>
          <w:tcPr>
            <w:tcW w:w="1320" w:type="dxa"/>
          </w:tcPr>
          <w:p w14:paraId="17AFB46A" w14:textId="77777777" w:rsidR="002E5BBE" w:rsidRDefault="00000000">
            <w:pPr>
              <w:pStyle w:val="Compact"/>
            </w:pPr>
            <w:r>
              <w:t>+3–5 pp average</w:t>
            </w:r>
          </w:p>
        </w:tc>
        <w:tc>
          <w:tcPr>
            <w:tcW w:w="1320" w:type="dxa"/>
          </w:tcPr>
          <w:p w14:paraId="4AA90081" w14:textId="77777777" w:rsidR="002E5BBE" w:rsidRDefault="00000000">
            <w:pPr>
              <w:pStyle w:val="Compact"/>
            </w:pPr>
            <w:r>
              <w:t>Moderate reduction in income-based gap</w:t>
            </w:r>
          </w:p>
        </w:tc>
        <w:tc>
          <w:tcPr>
            <w:tcW w:w="1320" w:type="dxa"/>
          </w:tcPr>
          <w:p w14:paraId="50851EF7" w14:textId="77777777" w:rsidR="002E5BBE" w:rsidRDefault="00000000">
            <w:pPr>
              <w:pStyle w:val="Compact"/>
            </w:pPr>
            <w:r>
              <w:t>Low disproportionality. Threshold can exclude small parties.</w:t>
            </w:r>
          </w:p>
        </w:tc>
        <w:tc>
          <w:tcPr>
            <w:tcW w:w="1320" w:type="dxa"/>
          </w:tcPr>
          <w:p w14:paraId="1E01DC39" w14:textId="77777777" w:rsidR="002E5BBE" w:rsidRDefault="00000000">
            <w:pPr>
              <w:pStyle w:val="Compact"/>
            </w:pPr>
            <w:r>
              <w:t>Blais &amp; Dobrzynska 1998; Cancela &amp; Geys 2016; Lijphart 1997</w:t>
            </w:r>
          </w:p>
        </w:tc>
        <w:tc>
          <w:tcPr>
            <w:tcW w:w="1320" w:type="dxa"/>
          </w:tcPr>
          <w:p w14:paraId="486A3F2A" w14:textId="77777777" w:rsidR="002E5BBE" w:rsidRDefault="00000000">
            <w:pPr>
              <w:pStyle w:val="Compact"/>
            </w:pPr>
            <w:r>
              <w:t>Highest proportionality but weakest voter–candidate link.</w:t>
            </w:r>
          </w:p>
        </w:tc>
      </w:tr>
      <w:tr w:rsidR="002E5BBE" w14:paraId="0D594B61" w14:textId="77777777">
        <w:tc>
          <w:tcPr>
            <w:tcW w:w="1320" w:type="dxa"/>
          </w:tcPr>
          <w:p w14:paraId="1369302A" w14:textId="77777777" w:rsidR="002E5BBE" w:rsidRDefault="00000000">
            <w:pPr>
              <w:pStyle w:val="Compact"/>
            </w:pPr>
            <w:r>
              <w:t>Open-list PR</w:t>
            </w:r>
          </w:p>
        </w:tc>
        <w:tc>
          <w:tcPr>
            <w:tcW w:w="1320" w:type="dxa"/>
          </w:tcPr>
          <w:p w14:paraId="45697F4B" w14:textId="77777777" w:rsidR="002E5BBE" w:rsidRDefault="00000000">
            <w:pPr>
              <w:pStyle w:val="Compact"/>
            </w:pPr>
            <w:r>
              <w:t>+3–5 pp (PR effect); “PR blow” offsets</w:t>
            </w:r>
          </w:p>
        </w:tc>
        <w:tc>
          <w:tcPr>
            <w:tcW w:w="1320" w:type="dxa"/>
          </w:tcPr>
          <w:p w14:paraId="7B453762" w14:textId="77777777" w:rsidR="002E5BBE" w:rsidRDefault="00000000">
            <w:pPr>
              <w:pStyle w:val="Compact"/>
            </w:pPr>
            <w:r>
              <w:t>Turnout boost benefits low-propensity voters; error burden falls on same group</w:t>
            </w:r>
          </w:p>
        </w:tc>
        <w:tc>
          <w:tcPr>
            <w:tcW w:w="1320" w:type="dxa"/>
          </w:tcPr>
          <w:p w14:paraId="296AB452" w14:textId="77777777" w:rsidR="002E5BBE" w:rsidRDefault="00000000">
            <w:pPr>
              <w:pStyle w:val="Compact"/>
            </w:pPr>
            <w:r>
              <w:t>Ballot primacy creates systematic bias toward first-listed candidates.</w:t>
            </w:r>
          </w:p>
        </w:tc>
        <w:tc>
          <w:tcPr>
            <w:tcW w:w="1320" w:type="dxa"/>
          </w:tcPr>
          <w:p w14:paraId="7D948214" w14:textId="77777777" w:rsidR="002E5BBE" w:rsidRDefault="00000000">
            <w:pPr>
              <w:pStyle w:val="Compact"/>
            </w:pPr>
            <w:r>
              <w:t>Flis &amp; Kaminski 2025; Spadaro 2018</w:t>
            </w:r>
          </w:p>
        </w:tc>
        <w:tc>
          <w:tcPr>
            <w:tcW w:w="1320" w:type="dxa"/>
          </w:tcPr>
          <w:p w14:paraId="454F46BB" w14:textId="77777777" w:rsidR="002E5BBE" w:rsidRDefault="00000000">
            <w:pPr>
              <w:pStyle w:val="Compact"/>
            </w:pPr>
            <w:r>
              <w:t xml:space="preserve">12.9% more faulty votes than SMD. Distributional paradox: PR brings marginal voters in, then partially wastes their votes through </w:t>
            </w:r>
            <w:r>
              <w:lastRenderedPageBreak/>
              <w:t>error.</w:t>
            </w:r>
          </w:p>
        </w:tc>
      </w:tr>
      <w:tr w:rsidR="002E5BBE" w14:paraId="384E0B1C" w14:textId="77777777">
        <w:tc>
          <w:tcPr>
            <w:tcW w:w="1320" w:type="dxa"/>
          </w:tcPr>
          <w:p w14:paraId="35AD7ABE" w14:textId="77777777" w:rsidR="002E5BBE" w:rsidRDefault="00000000">
            <w:pPr>
              <w:pStyle w:val="Compact"/>
            </w:pPr>
            <w:r>
              <w:lastRenderedPageBreak/>
              <w:t>FPTP / Plurality</w:t>
            </w:r>
          </w:p>
        </w:tc>
        <w:tc>
          <w:tcPr>
            <w:tcW w:w="1320" w:type="dxa"/>
          </w:tcPr>
          <w:p w14:paraId="5B4A8ED5" w14:textId="77777777" w:rsidR="002E5BBE" w:rsidRDefault="00000000">
            <w:pPr>
              <w:pStyle w:val="Compact"/>
            </w:pPr>
            <w:r>
              <w:t>Baseline reference; lower than PR</w:t>
            </w:r>
          </w:p>
        </w:tc>
        <w:tc>
          <w:tcPr>
            <w:tcW w:w="1320" w:type="dxa"/>
          </w:tcPr>
          <w:p w14:paraId="565669FA" w14:textId="77777777" w:rsidR="002E5BBE" w:rsidRDefault="00000000">
            <w:pPr>
              <w:pStyle w:val="Compact"/>
            </w:pPr>
            <w:r>
              <w:t>Largest income/education turnout gaps</w:t>
            </w:r>
          </w:p>
        </w:tc>
        <w:tc>
          <w:tcPr>
            <w:tcW w:w="1320" w:type="dxa"/>
          </w:tcPr>
          <w:p w14:paraId="4C2C8B8A" w14:textId="77777777" w:rsidR="002E5BBE" w:rsidRDefault="00000000">
            <w:pPr>
              <w:pStyle w:val="Compact"/>
            </w:pPr>
            <w:r>
              <w:t>High disproportionality. 3 sources of bias: malapportionment, turnout diff., geographic clustering.</w:t>
            </w:r>
          </w:p>
        </w:tc>
        <w:tc>
          <w:tcPr>
            <w:tcW w:w="1320" w:type="dxa"/>
          </w:tcPr>
          <w:p w14:paraId="63F2004D" w14:textId="77777777" w:rsidR="002E5BBE" w:rsidRDefault="00000000">
            <w:pPr>
              <w:pStyle w:val="Compact"/>
            </w:pPr>
            <w:r>
              <w:t>Johnston et al. 1999; Lijphart 1997; Blais 2006</w:t>
            </w:r>
          </w:p>
        </w:tc>
        <w:tc>
          <w:tcPr>
            <w:tcW w:w="1320" w:type="dxa"/>
          </w:tcPr>
          <w:p w14:paraId="56027BA3" w14:textId="77777777" w:rsidR="002E5BBE" w:rsidRDefault="00000000">
            <w:pPr>
              <w:pStyle w:val="Compact"/>
            </w:pPr>
            <w:r>
              <w:t>Johnston et al. (1999): partisan bias framework directly relevant to how wasted votes create asymmetry.</w:t>
            </w:r>
          </w:p>
        </w:tc>
      </w:tr>
      <w:tr w:rsidR="002E5BBE" w14:paraId="220B380B" w14:textId="77777777">
        <w:tc>
          <w:tcPr>
            <w:tcW w:w="1320" w:type="dxa"/>
          </w:tcPr>
          <w:p w14:paraId="250D046B" w14:textId="77777777" w:rsidR="002E5BBE" w:rsidRDefault="00000000">
            <w:pPr>
              <w:pStyle w:val="Compact"/>
            </w:pPr>
            <w:r>
              <w:t>RCV / IRV</w:t>
            </w:r>
          </w:p>
        </w:tc>
        <w:tc>
          <w:tcPr>
            <w:tcW w:w="1320" w:type="dxa"/>
          </w:tcPr>
          <w:p w14:paraId="7F6F4F24" w14:textId="77777777" w:rsidR="002E5BBE" w:rsidRDefault="00000000">
            <w:pPr>
              <w:pStyle w:val="Compact"/>
            </w:pPr>
            <w:r>
              <w:t>Mixed: +2–5 pp vs. runoff turnout</w:t>
            </w:r>
          </w:p>
        </w:tc>
        <w:tc>
          <w:tcPr>
            <w:tcW w:w="1320" w:type="dxa"/>
          </w:tcPr>
          <w:p w14:paraId="6C3C02D9" w14:textId="77777777" w:rsidR="002E5BBE" w:rsidRDefault="00000000">
            <w:pPr>
              <w:pStyle w:val="Compact"/>
            </w:pPr>
            <w:r>
              <w:t>May narrow gap vs. runoff. Exhaustion concentrated among minority voters.</w:t>
            </w:r>
          </w:p>
        </w:tc>
        <w:tc>
          <w:tcPr>
            <w:tcW w:w="1320" w:type="dxa"/>
          </w:tcPr>
          <w:p w14:paraId="554638E4" w14:textId="77777777" w:rsidR="002E5BBE" w:rsidRDefault="00000000">
            <w:pPr>
              <w:pStyle w:val="Compact"/>
            </w:pPr>
            <w:r>
              <w:t>Winners may lack true majority. Racial disparities in ballot completion.</w:t>
            </w:r>
          </w:p>
        </w:tc>
        <w:tc>
          <w:tcPr>
            <w:tcW w:w="1320" w:type="dxa"/>
          </w:tcPr>
          <w:p w14:paraId="020158A0" w14:textId="77777777" w:rsidR="002E5BBE" w:rsidRDefault="00000000">
            <w:pPr>
              <w:pStyle w:val="Compact"/>
            </w:pPr>
            <w:r>
              <w:t>Burnett &amp; Kogan 2015; McCarty 2025; Donovan et al. 2022</w:t>
            </w:r>
          </w:p>
        </w:tc>
        <w:tc>
          <w:tcPr>
            <w:tcW w:w="1320" w:type="dxa"/>
          </w:tcPr>
          <w:p w14:paraId="08B1A4C8" w14:textId="77777777" w:rsidR="002E5BBE" w:rsidRDefault="00000000">
            <w:pPr>
              <w:pStyle w:val="Compact"/>
            </w:pPr>
            <w:r>
              <w:t>Donovan et al. 2022: demographic differences in RCV comprehension. Participation-quality gap distinct from exhaustion problem.</w:t>
            </w:r>
          </w:p>
        </w:tc>
      </w:tr>
      <w:tr w:rsidR="002E5BBE" w14:paraId="2B3CC25D" w14:textId="77777777">
        <w:tc>
          <w:tcPr>
            <w:tcW w:w="1320" w:type="dxa"/>
          </w:tcPr>
          <w:p w14:paraId="2371CEFC" w14:textId="77777777" w:rsidR="002E5BBE" w:rsidRDefault="00000000">
            <w:pPr>
              <w:pStyle w:val="Compact"/>
            </w:pPr>
            <w:r>
              <w:t>All-mail voting (AMV)</w:t>
            </w:r>
          </w:p>
        </w:tc>
        <w:tc>
          <w:tcPr>
            <w:tcW w:w="1320" w:type="dxa"/>
          </w:tcPr>
          <w:p w14:paraId="601E71B3" w14:textId="77777777" w:rsidR="002E5BBE" w:rsidRDefault="00000000">
            <w:pPr>
              <w:pStyle w:val="Compact"/>
            </w:pPr>
            <w:r>
              <w:t>+8 pp in Colorado (Bonica et al. 2021); +2–3 pp in CA, UT, WA</w:t>
            </w:r>
          </w:p>
        </w:tc>
        <w:tc>
          <w:tcPr>
            <w:tcW w:w="1320" w:type="dxa"/>
          </w:tcPr>
          <w:p w14:paraId="0AFCC18D" w14:textId="77777777" w:rsidR="002E5BBE" w:rsidRDefault="00000000">
            <w:pPr>
              <w:pStyle w:val="Compact"/>
            </w:pPr>
            <w:r>
              <w:t>Significantly larger for young, low-income, blue-collar, &amp; voters of color</w:t>
            </w:r>
          </w:p>
        </w:tc>
        <w:tc>
          <w:tcPr>
            <w:tcW w:w="1320" w:type="dxa"/>
          </w:tcPr>
          <w:p w14:paraId="1D99EE1B" w14:textId="77777777" w:rsidR="002E5BBE" w:rsidRDefault="00000000">
            <w:pPr>
              <w:pStyle w:val="Compact"/>
            </w:pPr>
            <w:r>
              <w:t>No partisan bias (Barber &amp; Holbein 2020). Rejection 2×+ for minority voters.</w:t>
            </w:r>
          </w:p>
        </w:tc>
        <w:tc>
          <w:tcPr>
            <w:tcW w:w="1320" w:type="dxa"/>
          </w:tcPr>
          <w:p w14:paraId="355037E8" w14:textId="77777777" w:rsidR="002E5BBE" w:rsidRDefault="00000000">
            <w:pPr>
              <w:pStyle w:val="Compact"/>
            </w:pPr>
            <w:r>
              <w:t>Bonica et al. 2021; Barber &amp; Holbein 2020; Cottrell et al. 2021; Hill &amp; Grumbach 2020</w:t>
            </w:r>
          </w:p>
        </w:tc>
        <w:tc>
          <w:tcPr>
            <w:tcW w:w="1320" w:type="dxa"/>
          </w:tcPr>
          <w:p w14:paraId="617D9EAA" w14:textId="77777777" w:rsidR="002E5BBE" w:rsidRDefault="00000000">
            <w:pPr>
              <w:pStyle w:val="Compact"/>
            </w:pPr>
            <w:r>
              <w:t>Strongest evidence for reducing turnout inequality. Rejection disparities partially offset gains. Cure provisions essential.</w:t>
            </w:r>
          </w:p>
        </w:tc>
      </w:tr>
      <w:tr w:rsidR="002E5BBE" w14:paraId="4227F62A" w14:textId="77777777">
        <w:tc>
          <w:tcPr>
            <w:tcW w:w="1320" w:type="dxa"/>
          </w:tcPr>
          <w:p w14:paraId="54F9451F" w14:textId="77777777" w:rsidR="002E5BBE" w:rsidRDefault="00000000">
            <w:pPr>
              <w:pStyle w:val="Compact"/>
            </w:pPr>
            <w:r>
              <w:t>In-person precinct</w:t>
            </w:r>
          </w:p>
        </w:tc>
        <w:tc>
          <w:tcPr>
            <w:tcW w:w="1320" w:type="dxa"/>
          </w:tcPr>
          <w:p w14:paraId="79DDA035" w14:textId="77777777" w:rsidR="002E5BBE" w:rsidRDefault="00000000">
            <w:pPr>
              <w:pStyle w:val="Compact"/>
            </w:pPr>
            <w:r>
              <w:t>Baseline; queue length effects</w:t>
            </w:r>
          </w:p>
        </w:tc>
        <w:tc>
          <w:tcPr>
            <w:tcW w:w="1320" w:type="dxa"/>
          </w:tcPr>
          <w:p w14:paraId="46580B50" w14:textId="77777777" w:rsidR="002E5BBE" w:rsidRDefault="00000000">
            <w:pPr>
              <w:pStyle w:val="Compact"/>
            </w:pPr>
            <w:r>
              <w:t>Largest gaps by income, race, age, disability</w:t>
            </w:r>
          </w:p>
        </w:tc>
        <w:tc>
          <w:tcPr>
            <w:tcW w:w="1320" w:type="dxa"/>
          </w:tcPr>
          <w:p w14:paraId="3AB6D1DB" w14:textId="77777777" w:rsidR="002E5BBE" w:rsidRDefault="00000000">
            <w:pPr>
              <w:pStyle w:val="Compact"/>
            </w:pPr>
            <w:r>
              <w:t xml:space="preserve">Equipment type shapes residual vote rate. Polling-site availability </w:t>
            </w:r>
            <w:r>
              <w:lastRenderedPageBreak/>
              <w:t>shaped by local administrative response to demographic change.</w:t>
            </w:r>
          </w:p>
        </w:tc>
        <w:tc>
          <w:tcPr>
            <w:tcW w:w="1320" w:type="dxa"/>
          </w:tcPr>
          <w:p w14:paraId="129D9794" w14:textId="77777777" w:rsidR="002E5BBE" w:rsidRDefault="00000000">
            <w:pPr>
              <w:pStyle w:val="Compact"/>
            </w:pPr>
            <w:r>
              <w:lastRenderedPageBreak/>
              <w:t xml:space="preserve">Ansolabehere &amp; Stewart 2005; Tomz &amp; Van Houweling 2003; </w:t>
            </w:r>
            <w:r>
              <w:rPr>
                <w:b/>
                <w:bCs/>
              </w:rPr>
              <w:t xml:space="preserve">Coll, </w:t>
            </w:r>
            <w:r>
              <w:rPr>
                <w:b/>
                <w:bCs/>
              </w:rPr>
              <w:lastRenderedPageBreak/>
              <w:t>Maltby &amp; Rocha 2024</w:t>
            </w:r>
          </w:p>
        </w:tc>
        <w:tc>
          <w:tcPr>
            <w:tcW w:w="1320" w:type="dxa"/>
          </w:tcPr>
          <w:p w14:paraId="42CCB426" w14:textId="77777777" w:rsidR="002E5BBE" w:rsidRDefault="00000000">
            <w:pPr>
              <w:pStyle w:val="Compact"/>
            </w:pPr>
            <w:r>
              <w:lastRenderedPageBreak/>
              <w:t xml:space="preserve">Appropriate technology virtually eliminates racial gap in voided </w:t>
            </w:r>
            <w:r>
              <w:lastRenderedPageBreak/>
              <w:t>ballots (Tomz &amp; VH 2003). Site/worker availability is endogenous to minority population growth (Coll, Maltby &amp; Rocha 2024).</w:t>
            </w:r>
          </w:p>
        </w:tc>
      </w:tr>
      <w:tr w:rsidR="002E5BBE" w14:paraId="5BFE8540" w14:textId="77777777">
        <w:tc>
          <w:tcPr>
            <w:tcW w:w="1320" w:type="dxa"/>
          </w:tcPr>
          <w:p w14:paraId="121B735D" w14:textId="77777777" w:rsidR="002E5BBE" w:rsidRDefault="00000000">
            <w:pPr>
              <w:pStyle w:val="Compact"/>
            </w:pPr>
            <w:r>
              <w:lastRenderedPageBreak/>
              <w:t>Compulsory voting</w:t>
            </w:r>
          </w:p>
        </w:tc>
        <w:tc>
          <w:tcPr>
            <w:tcW w:w="1320" w:type="dxa"/>
          </w:tcPr>
          <w:p w14:paraId="422582EA" w14:textId="77777777" w:rsidR="002E5BBE" w:rsidRDefault="00000000">
            <w:pPr>
              <w:pStyle w:val="Compact"/>
            </w:pPr>
            <w:r>
              <w:t>Near-universal (&gt;90%); eliminates gap by fiat</w:t>
            </w:r>
          </w:p>
        </w:tc>
        <w:tc>
          <w:tcPr>
            <w:tcW w:w="1320" w:type="dxa"/>
          </w:tcPr>
          <w:p w14:paraId="341C1377" w14:textId="77777777" w:rsidR="002E5BBE" w:rsidRDefault="00000000">
            <w:pPr>
              <w:pStyle w:val="Compact"/>
            </w:pPr>
            <w:r>
              <w:t>Shifts cost to invalid voting</w:t>
            </w:r>
          </w:p>
        </w:tc>
        <w:tc>
          <w:tcPr>
            <w:tcW w:w="1320" w:type="dxa"/>
          </w:tcPr>
          <w:p w14:paraId="34238882" w14:textId="77777777" w:rsidR="002E5BBE" w:rsidRDefault="00000000">
            <w:pPr>
              <w:pStyle w:val="Compact"/>
            </w:pPr>
            <w:r>
              <w:t>Invalid rates rise substantially. Net effect on representation unclear.</w:t>
            </w:r>
          </w:p>
        </w:tc>
        <w:tc>
          <w:tcPr>
            <w:tcW w:w="1320" w:type="dxa"/>
          </w:tcPr>
          <w:p w14:paraId="5238B99E" w14:textId="77777777" w:rsidR="002E5BBE" w:rsidRDefault="00000000">
            <w:pPr>
              <w:pStyle w:val="Compact"/>
            </w:pPr>
            <w:r>
              <w:t>Power &amp; Roberts 1995; Kouba &amp; Lysek 2019</w:t>
            </w:r>
          </w:p>
        </w:tc>
        <w:tc>
          <w:tcPr>
            <w:tcW w:w="1320" w:type="dxa"/>
          </w:tcPr>
          <w:p w14:paraId="6535CCCB" w14:textId="77777777" w:rsidR="002E5BBE" w:rsidRDefault="00000000">
            <w:pPr>
              <w:pStyle w:val="Compact"/>
            </w:pPr>
            <w:r>
              <w:t>Brazil: 30%+ invalid under complex ballots. Compulsory voting is strongest predictor of invalid voting in all meta-analyses.</w:t>
            </w:r>
          </w:p>
        </w:tc>
      </w:tr>
      <w:tr w:rsidR="002E5BBE" w14:paraId="365A49DF" w14:textId="77777777">
        <w:tc>
          <w:tcPr>
            <w:tcW w:w="1320" w:type="dxa"/>
          </w:tcPr>
          <w:p w14:paraId="4E4ACB9B" w14:textId="77777777" w:rsidR="002E5BBE" w:rsidRDefault="00000000">
            <w:pPr>
              <w:pStyle w:val="Compact"/>
            </w:pPr>
            <w:r>
              <w:rPr>
                <w:b/>
                <w:bCs/>
              </w:rPr>
              <w:t>Voter ID / restrictive policies</w:t>
            </w:r>
          </w:p>
        </w:tc>
        <w:tc>
          <w:tcPr>
            <w:tcW w:w="1320" w:type="dxa"/>
          </w:tcPr>
          <w:p w14:paraId="2671CD9B" w14:textId="77777777" w:rsidR="002E5BBE" w:rsidRDefault="00000000">
            <w:pPr>
              <w:pStyle w:val="Compact"/>
            </w:pPr>
            <w:r>
              <w:rPr>
                <w:b/>
                <w:bCs/>
              </w:rPr>
              <w:t>Net depressive on minority turnout</w:t>
            </w:r>
          </w:p>
        </w:tc>
        <w:tc>
          <w:tcPr>
            <w:tcW w:w="1320" w:type="dxa"/>
          </w:tcPr>
          <w:p w14:paraId="76E9740B" w14:textId="77777777" w:rsidR="002E5BBE" w:rsidRDefault="00000000">
            <w:pPr>
              <w:pStyle w:val="Compact"/>
            </w:pPr>
            <w:r>
              <w:rPr>
                <w:b/>
                <w:bCs/>
              </w:rPr>
              <w:t>Widens income/race turnout gaps; minority voter-confidence asymmetrically reduced</w:t>
            </w:r>
          </w:p>
        </w:tc>
        <w:tc>
          <w:tcPr>
            <w:tcW w:w="1320" w:type="dxa"/>
          </w:tcPr>
          <w:p w14:paraId="7515C7CC" w14:textId="77777777" w:rsidR="002E5BBE" w:rsidRDefault="00000000">
            <w:pPr>
              <w:pStyle w:val="Compact"/>
            </w:pPr>
            <w:r>
              <w:rPr>
                <w:b/>
                <w:bCs/>
              </w:rPr>
              <w:t>Restrictive packages depress Black voter confidence but not white; effect compounds across multiple restrictions</w:t>
            </w:r>
          </w:p>
        </w:tc>
        <w:tc>
          <w:tcPr>
            <w:tcW w:w="1320" w:type="dxa"/>
          </w:tcPr>
          <w:p w14:paraId="5F9EDC69" w14:textId="77777777" w:rsidR="002E5BBE" w:rsidRDefault="00000000">
            <w:pPr>
              <w:pStyle w:val="Compact"/>
            </w:pPr>
            <w:r>
              <w:rPr>
                <w:b/>
                <w:bCs/>
              </w:rPr>
              <w:t>Coll 2023; Coll &amp; Clark 2024; Hajnal, Lajevardi &amp; Nielson 2017</w:t>
            </w:r>
          </w:p>
        </w:tc>
        <w:tc>
          <w:tcPr>
            <w:tcW w:w="1320" w:type="dxa"/>
          </w:tcPr>
          <w:p w14:paraId="6C7A995C" w14:textId="77777777" w:rsidR="002E5BBE" w:rsidRDefault="00000000">
            <w:pPr>
              <w:pStyle w:val="Compact"/>
            </w:pPr>
            <w:r>
              <w:rPr>
                <w:b/>
                <w:bCs/>
              </w:rPr>
              <w:t>Collective descriptive representation moderates ID effects (Coll 2023). Voter-confidence effects are race-conditional (Coll &amp; Clark 2024) — bias is not only in turnout but in trust.</w:t>
            </w:r>
          </w:p>
        </w:tc>
      </w:tr>
    </w:tbl>
    <w:p w14:paraId="40D0B59F" w14:textId="77777777" w:rsidR="002E5BBE" w:rsidRDefault="00000000">
      <w:pPr>
        <w:pStyle w:val="BodyText"/>
      </w:pPr>
      <w:r>
        <w:rPr>
          <w:i/>
          <w:iCs/>
        </w:rPr>
        <w:lastRenderedPageBreak/>
        <w:t>Notes:</w:t>
      </w:r>
      <w:r>
        <w:t xml:space="preserve"> Turnout effects relative to FPTP/in-person baseline. PR boost from Blais &amp; Dobrzynska (1998), Cancela &amp; Geys (2016). AMV from Bonica et al. (2021). Partisan bias from Johnston et al. (1999). Voter ID rows synthesize the Coll-line of research on race-conditional effects.</w:t>
      </w:r>
    </w:p>
    <w:p w14:paraId="21D464CA" w14:textId="77777777" w:rsidR="002E5BBE" w:rsidRDefault="00000000">
      <w:pPr>
        <w:pStyle w:val="Heading3"/>
      </w:pPr>
      <w:bookmarkStart w:id="22" w:name="X9c963d6442e0483e411a50396acc35f23b9c61c"/>
      <w:bookmarkEnd w:id="21"/>
      <w:r>
        <w:t>Table 4. Additional Comparative and US Studies</w:t>
      </w:r>
    </w:p>
    <w:tbl>
      <w:tblPr>
        <w:tblStyle w:val="Table"/>
        <w:tblW w:w="5000" w:type="pct"/>
        <w:tblLayout w:type="fixed"/>
        <w:tblLook w:val="0020" w:firstRow="1" w:lastRow="0" w:firstColumn="0" w:lastColumn="0" w:noHBand="0" w:noVBand="0"/>
      </w:tblPr>
      <w:tblGrid>
        <w:gridCol w:w="2394"/>
        <w:gridCol w:w="2394"/>
        <w:gridCol w:w="2394"/>
        <w:gridCol w:w="2394"/>
      </w:tblGrid>
      <w:tr w:rsidR="002E5BBE" w14:paraId="6A9734D4" w14:textId="77777777" w:rsidTr="002E5BBE">
        <w:trPr>
          <w:cnfStyle w:val="100000000000" w:firstRow="1" w:lastRow="0" w:firstColumn="0" w:lastColumn="0" w:oddVBand="0" w:evenVBand="0" w:oddHBand="0" w:evenHBand="0" w:firstRowFirstColumn="0" w:firstRowLastColumn="0" w:lastRowFirstColumn="0" w:lastRowLastColumn="0"/>
          <w:tblHeader/>
        </w:trPr>
        <w:tc>
          <w:tcPr>
            <w:tcW w:w="1980" w:type="dxa"/>
          </w:tcPr>
          <w:p w14:paraId="6C2B4C8E" w14:textId="77777777" w:rsidR="002E5BBE" w:rsidRDefault="00000000">
            <w:pPr>
              <w:pStyle w:val="Compact"/>
            </w:pPr>
            <w:r>
              <w:t>Study</w:t>
            </w:r>
          </w:p>
        </w:tc>
        <w:tc>
          <w:tcPr>
            <w:tcW w:w="1980" w:type="dxa"/>
          </w:tcPr>
          <w:p w14:paraId="5424E61C" w14:textId="77777777" w:rsidR="002E5BBE" w:rsidRDefault="00000000">
            <w:pPr>
              <w:pStyle w:val="Compact"/>
            </w:pPr>
            <w:r>
              <w:t>Context</w:t>
            </w:r>
          </w:p>
        </w:tc>
        <w:tc>
          <w:tcPr>
            <w:tcW w:w="1980" w:type="dxa"/>
          </w:tcPr>
          <w:p w14:paraId="269CAA0C" w14:textId="77777777" w:rsidR="002E5BBE" w:rsidRDefault="00000000">
            <w:pPr>
              <w:pStyle w:val="Compact"/>
            </w:pPr>
            <w:r>
              <w:t>Key Metric</w:t>
            </w:r>
          </w:p>
        </w:tc>
        <w:tc>
          <w:tcPr>
            <w:tcW w:w="1980" w:type="dxa"/>
          </w:tcPr>
          <w:p w14:paraId="63345B16" w14:textId="77777777" w:rsidR="002E5BBE" w:rsidRDefault="00000000">
            <w:pPr>
              <w:pStyle w:val="Compact"/>
            </w:pPr>
            <w:r>
              <w:t>Finding on Turnout Inequality / Bias</w:t>
            </w:r>
          </w:p>
        </w:tc>
      </w:tr>
      <w:tr w:rsidR="002E5BBE" w14:paraId="13EA4A33" w14:textId="77777777">
        <w:tc>
          <w:tcPr>
            <w:tcW w:w="1980" w:type="dxa"/>
          </w:tcPr>
          <w:p w14:paraId="45D2A10D" w14:textId="77777777" w:rsidR="002E5BBE" w:rsidRDefault="00000000">
            <w:pPr>
              <w:pStyle w:val="Compact"/>
            </w:pPr>
            <w:r>
              <w:t>Bonica, Grumbach, Hill &amp; Jefferson (2021)</w:t>
            </w:r>
          </w:p>
        </w:tc>
        <w:tc>
          <w:tcPr>
            <w:tcW w:w="1980" w:type="dxa"/>
          </w:tcPr>
          <w:p w14:paraId="3C79491D" w14:textId="77777777" w:rsidR="002E5BBE" w:rsidRDefault="00000000">
            <w:pPr>
              <w:pStyle w:val="Compact"/>
            </w:pPr>
            <w:r>
              <w:t>Colorado AMV</w:t>
            </w:r>
          </w:p>
        </w:tc>
        <w:tc>
          <w:tcPr>
            <w:tcW w:w="1980" w:type="dxa"/>
          </w:tcPr>
          <w:p w14:paraId="13F6ABC3" w14:textId="77777777" w:rsidR="002E5BBE" w:rsidRDefault="00000000">
            <w:pPr>
              <w:pStyle w:val="Compact"/>
            </w:pPr>
            <w:r>
              <w:t>+8 pp turnout</w:t>
            </w:r>
          </w:p>
        </w:tc>
        <w:tc>
          <w:tcPr>
            <w:tcW w:w="1980" w:type="dxa"/>
          </w:tcPr>
          <w:p w14:paraId="79282397" w14:textId="77777777" w:rsidR="002E5BBE" w:rsidRDefault="00000000">
            <w:pPr>
              <w:pStyle w:val="Compact"/>
            </w:pPr>
            <w:r>
              <w:t>AMV produced 900,000 additional ballots 2014–18. Effects significantly larger for young, blue-collar, less-educated, and voters of color.</w:t>
            </w:r>
          </w:p>
        </w:tc>
      </w:tr>
      <w:tr w:rsidR="002E5BBE" w14:paraId="3D462533" w14:textId="77777777">
        <w:tc>
          <w:tcPr>
            <w:tcW w:w="1980" w:type="dxa"/>
          </w:tcPr>
          <w:p w14:paraId="1E2D410C" w14:textId="77777777" w:rsidR="002E5BBE" w:rsidRDefault="00000000">
            <w:pPr>
              <w:pStyle w:val="Compact"/>
            </w:pPr>
            <w:r>
              <w:t>Johnston, Rossiter &amp; Pattie (1999)</w:t>
            </w:r>
          </w:p>
        </w:tc>
        <w:tc>
          <w:tcPr>
            <w:tcW w:w="1980" w:type="dxa"/>
          </w:tcPr>
          <w:p w14:paraId="49253DE1" w14:textId="77777777" w:rsidR="002E5BBE" w:rsidRDefault="00000000">
            <w:pPr>
              <w:pStyle w:val="Compact"/>
            </w:pPr>
            <w:r>
              <w:t>UK FPTP</w:t>
            </w:r>
          </w:p>
        </w:tc>
        <w:tc>
          <w:tcPr>
            <w:tcW w:w="1980" w:type="dxa"/>
          </w:tcPr>
          <w:p w14:paraId="34C3B662" w14:textId="77777777" w:rsidR="002E5BBE" w:rsidRDefault="00000000">
            <w:pPr>
              <w:pStyle w:val="Compact"/>
            </w:pPr>
            <w:r>
              <w:t>Partisan bias decomp.</w:t>
            </w:r>
          </w:p>
        </w:tc>
        <w:tc>
          <w:tcPr>
            <w:tcW w:w="1980" w:type="dxa"/>
          </w:tcPr>
          <w:p w14:paraId="533898AE" w14:textId="77777777" w:rsidR="002E5BBE" w:rsidRDefault="00000000">
            <w:pPr>
              <w:pStyle w:val="Compact"/>
            </w:pPr>
            <w:r>
              <w:t>3 sources of bias: malapportionment, differential turnout, geographic clustering. Turnout differences between safe and marginal seats systematically advantage parties.</w:t>
            </w:r>
          </w:p>
        </w:tc>
      </w:tr>
      <w:tr w:rsidR="002E5BBE" w14:paraId="272453DB" w14:textId="77777777">
        <w:tc>
          <w:tcPr>
            <w:tcW w:w="1980" w:type="dxa"/>
          </w:tcPr>
          <w:p w14:paraId="470DF523" w14:textId="77777777" w:rsidR="002E5BBE" w:rsidRDefault="00000000">
            <w:pPr>
              <w:pStyle w:val="Compact"/>
            </w:pPr>
            <w:r>
              <w:t>Hill &amp; Grumbach (2020)</w:t>
            </w:r>
          </w:p>
        </w:tc>
        <w:tc>
          <w:tcPr>
            <w:tcW w:w="1980" w:type="dxa"/>
          </w:tcPr>
          <w:p w14:paraId="7D8210DC" w14:textId="77777777" w:rsidR="002E5BBE" w:rsidRDefault="00000000">
            <w:pPr>
              <w:pStyle w:val="Compact"/>
            </w:pPr>
            <w:r>
              <w:t>US mail voting</w:t>
            </w:r>
          </w:p>
        </w:tc>
        <w:tc>
          <w:tcPr>
            <w:tcW w:w="1980" w:type="dxa"/>
          </w:tcPr>
          <w:p w14:paraId="01CDBD44" w14:textId="77777777" w:rsidR="002E5BBE" w:rsidRDefault="00000000">
            <w:pPr>
              <w:pStyle w:val="Compact"/>
            </w:pPr>
            <w:r>
              <w:t>6 safeguard mechanisms</w:t>
            </w:r>
          </w:p>
        </w:tc>
        <w:tc>
          <w:tcPr>
            <w:tcW w:w="1980" w:type="dxa"/>
          </w:tcPr>
          <w:p w14:paraId="4CE2780C" w14:textId="77777777" w:rsidR="002E5BBE" w:rsidRDefault="00000000">
            <w:pPr>
              <w:pStyle w:val="Compact"/>
            </w:pPr>
            <w:r>
              <w:t>Documents 6 layers of mail ballot security. Strict signature matching is itself a source of ballot rejection inequality.</w:t>
            </w:r>
          </w:p>
        </w:tc>
      </w:tr>
      <w:tr w:rsidR="002E5BBE" w14:paraId="1F94CC77" w14:textId="77777777">
        <w:tc>
          <w:tcPr>
            <w:tcW w:w="1980" w:type="dxa"/>
          </w:tcPr>
          <w:p w14:paraId="37B1CDD4" w14:textId="77777777" w:rsidR="002E5BBE" w:rsidRDefault="00000000">
            <w:pPr>
              <w:pStyle w:val="Compact"/>
            </w:pPr>
            <w:r>
              <w:t>Engstrom &amp; Roberts (2016, 2020)</w:t>
            </w:r>
          </w:p>
        </w:tc>
        <w:tc>
          <w:tcPr>
            <w:tcW w:w="1980" w:type="dxa"/>
          </w:tcPr>
          <w:p w14:paraId="3B320C9E" w14:textId="77777777" w:rsidR="002E5BBE" w:rsidRDefault="00000000">
            <w:pPr>
              <w:pStyle w:val="Compact"/>
            </w:pPr>
            <w:r>
              <w:t>US ballot design</w:t>
            </w:r>
          </w:p>
        </w:tc>
        <w:tc>
          <w:tcPr>
            <w:tcW w:w="1980" w:type="dxa"/>
          </w:tcPr>
          <w:p w14:paraId="0A1AD1A2" w14:textId="77777777" w:rsidR="002E5BBE" w:rsidRDefault="00000000">
            <w:pPr>
              <w:pStyle w:val="Compact"/>
            </w:pPr>
            <w:r>
              <w:t>Roll-off by format</w:t>
            </w:r>
          </w:p>
        </w:tc>
        <w:tc>
          <w:tcPr>
            <w:tcW w:w="1980" w:type="dxa"/>
          </w:tcPr>
          <w:p w14:paraId="41E8EB39" w14:textId="77777777" w:rsidR="002E5BBE" w:rsidRDefault="00000000">
            <w:pPr>
              <w:pStyle w:val="Compact"/>
            </w:pPr>
            <w:r>
              <w:t>Office bloc ballots produce higher roll-off. Ballot format shapes voter completion independently of electoral rules.</w:t>
            </w:r>
          </w:p>
        </w:tc>
      </w:tr>
      <w:tr w:rsidR="002E5BBE" w14:paraId="7660E77A" w14:textId="77777777">
        <w:tc>
          <w:tcPr>
            <w:tcW w:w="1980" w:type="dxa"/>
          </w:tcPr>
          <w:p w14:paraId="2A74B425" w14:textId="77777777" w:rsidR="002E5BBE" w:rsidRDefault="00000000">
            <w:pPr>
              <w:pStyle w:val="Compact"/>
            </w:pPr>
            <w:r>
              <w:t>Power &amp; Roberts (1995)</w:t>
            </w:r>
          </w:p>
        </w:tc>
        <w:tc>
          <w:tcPr>
            <w:tcW w:w="1980" w:type="dxa"/>
          </w:tcPr>
          <w:p w14:paraId="5A2FAAC9" w14:textId="77777777" w:rsidR="002E5BBE" w:rsidRDefault="00000000">
            <w:pPr>
              <w:pStyle w:val="Compact"/>
            </w:pPr>
            <w:r>
              <w:t>Brazil compulsory</w:t>
            </w:r>
          </w:p>
        </w:tc>
        <w:tc>
          <w:tcPr>
            <w:tcW w:w="1980" w:type="dxa"/>
          </w:tcPr>
          <w:p w14:paraId="71B7B576" w14:textId="77777777" w:rsidR="002E5BBE" w:rsidRDefault="00000000">
            <w:pPr>
              <w:pStyle w:val="Compact"/>
            </w:pPr>
            <w:r>
              <w:t>Up to 30%+ invalid</w:t>
            </w:r>
          </w:p>
        </w:tc>
        <w:tc>
          <w:tcPr>
            <w:tcW w:w="1980" w:type="dxa"/>
          </w:tcPr>
          <w:p w14:paraId="2FB964E8" w14:textId="77777777" w:rsidR="002E5BBE" w:rsidRDefault="00000000">
            <w:pPr>
              <w:pStyle w:val="Compact"/>
            </w:pPr>
            <w:r>
              <w:t xml:space="preserve">Compulsory voting + complex ballots = extremely high </w:t>
            </w:r>
            <w:r>
              <w:lastRenderedPageBreak/>
              <w:t>invalid rates. Education and complexity interact multiplicatively.</w:t>
            </w:r>
          </w:p>
        </w:tc>
      </w:tr>
      <w:tr w:rsidR="002E5BBE" w14:paraId="5C8D0CC0" w14:textId="77777777">
        <w:tc>
          <w:tcPr>
            <w:tcW w:w="1980" w:type="dxa"/>
          </w:tcPr>
          <w:p w14:paraId="7E9D334B" w14:textId="77777777" w:rsidR="002E5BBE" w:rsidRDefault="00000000">
            <w:pPr>
              <w:pStyle w:val="Compact"/>
            </w:pPr>
            <w:r>
              <w:lastRenderedPageBreak/>
              <w:t>Donovan, Tolbert &amp; Harper (2022)</w:t>
            </w:r>
          </w:p>
        </w:tc>
        <w:tc>
          <w:tcPr>
            <w:tcW w:w="1980" w:type="dxa"/>
          </w:tcPr>
          <w:p w14:paraId="6FC5CDBD" w14:textId="77777777" w:rsidR="002E5BBE" w:rsidRDefault="00000000">
            <w:pPr>
              <w:pStyle w:val="Compact"/>
            </w:pPr>
            <w:r>
              <w:t>US RCV multi-city</w:t>
            </w:r>
          </w:p>
        </w:tc>
        <w:tc>
          <w:tcPr>
            <w:tcW w:w="1980" w:type="dxa"/>
          </w:tcPr>
          <w:p w14:paraId="1272B17E" w14:textId="77777777" w:rsidR="002E5BBE" w:rsidRDefault="00000000">
            <w:pPr>
              <w:pStyle w:val="Compact"/>
            </w:pPr>
            <w:r>
              <w:t>Demographic RCV gaps</w:t>
            </w:r>
          </w:p>
        </w:tc>
        <w:tc>
          <w:tcPr>
            <w:tcW w:w="1980" w:type="dxa"/>
          </w:tcPr>
          <w:p w14:paraId="550FDC8E" w14:textId="77777777" w:rsidR="002E5BBE" w:rsidRDefault="00000000">
            <w:pPr>
              <w:pStyle w:val="Compact"/>
            </w:pPr>
            <w:r>
              <w:t>Less-educated and minority voters report lower RCV comprehension and rank fewer candidates.</w:t>
            </w:r>
          </w:p>
        </w:tc>
      </w:tr>
      <w:tr w:rsidR="002E5BBE" w14:paraId="634B14C1" w14:textId="77777777">
        <w:tc>
          <w:tcPr>
            <w:tcW w:w="1980" w:type="dxa"/>
          </w:tcPr>
          <w:p w14:paraId="2A2F016F" w14:textId="77777777" w:rsidR="002E5BBE" w:rsidRDefault="00000000">
            <w:pPr>
              <w:pStyle w:val="Compact"/>
            </w:pPr>
            <w:r>
              <w:t>Lublin (2017)</w:t>
            </w:r>
          </w:p>
        </w:tc>
        <w:tc>
          <w:tcPr>
            <w:tcW w:w="1980" w:type="dxa"/>
          </w:tcPr>
          <w:p w14:paraId="6856D770" w14:textId="77777777" w:rsidR="002E5BBE" w:rsidRDefault="00000000">
            <w:pPr>
              <w:pStyle w:val="Compact"/>
            </w:pPr>
            <w:r>
              <w:t>74 developing democracies</w:t>
            </w:r>
          </w:p>
        </w:tc>
        <w:tc>
          <w:tcPr>
            <w:tcW w:w="1980" w:type="dxa"/>
          </w:tcPr>
          <w:p w14:paraId="6693D4E7" w14:textId="77777777" w:rsidR="002E5BBE" w:rsidRDefault="00000000">
            <w:pPr>
              <w:pStyle w:val="Compact"/>
            </w:pPr>
            <w:r>
              <w:t>Party nationalization</w:t>
            </w:r>
          </w:p>
        </w:tc>
        <w:tc>
          <w:tcPr>
            <w:tcW w:w="1980" w:type="dxa"/>
          </w:tcPr>
          <w:p w14:paraId="505B8D5D" w14:textId="77777777" w:rsidR="002E5BBE" w:rsidRDefault="00000000">
            <w:pPr>
              <w:pStyle w:val="Compact"/>
            </w:pPr>
            <w:r>
              <w:t>Majoritarian systems heighten ethnic fragmentation’s effect. PR produces more nationalized party systems.</w:t>
            </w:r>
          </w:p>
        </w:tc>
      </w:tr>
      <w:tr w:rsidR="002E5BBE" w14:paraId="39262DFE" w14:textId="77777777">
        <w:tc>
          <w:tcPr>
            <w:tcW w:w="1980" w:type="dxa"/>
          </w:tcPr>
          <w:p w14:paraId="52682680" w14:textId="77777777" w:rsidR="002E5BBE" w:rsidRDefault="00000000">
            <w:pPr>
              <w:pStyle w:val="Compact"/>
            </w:pPr>
            <w:r>
              <w:t>Lijphart (1997)</w:t>
            </w:r>
          </w:p>
        </w:tc>
        <w:tc>
          <w:tcPr>
            <w:tcW w:w="1980" w:type="dxa"/>
          </w:tcPr>
          <w:p w14:paraId="0099D60B" w14:textId="77777777" w:rsidR="002E5BBE" w:rsidRDefault="00000000">
            <w:pPr>
              <w:pStyle w:val="Compact"/>
            </w:pPr>
            <w:r>
              <w:t>Cross-national</w:t>
            </w:r>
          </w:p>
        </w:tc>
        <w:tc>
          <w:tcPr>
            <w:tcW w:w="1980" w:type="dxa"/>
          </w:tcPr>
          <w:p w14:paraId="28B519CC" w14:textId="77777777" w:rsidR="002E5BBE" w:rsidRDefault="00000000">
            <w:pPr>
              <w:pStyle w:val="Compact"/>
            </w:pPr>
            <w:r>
              <w:t>Turnout gap as deficit</w:t>
            </w:r>
          </w:p>
        </w:tc>
        <w:tc>
          <w:tcPr>
            <w:tcW w:w="1980" w:type="dxa"/>
          </w:tcPr>
          <w:p w14:paraId="46AB6A9F" w14:textId="77777777" w:rsidR="002E5BBE" w:rsidRDefault="00000000">
            <w:pPr>
              <w:pStyle w:val="Compact"/>
            </w:pPr>
            <w:r>
              <w:t>Unequal participation is democracy’s “unresolved dilemma.” Gaps largest under FPTP with voluntary voting.</w:t>
            </w:r>
          </w:p>
        </w:tc>
      </w:tr>
      <w:tr w:rsidR="002E5BBE" w14:paraId="3410EBC6" w14:textId="77777777">
        <w:tc>
          <w:tcPr>
            <w:tcW w:w="1980" w:type="dxa"/>
          </w:tcPr>
          <w:p w14:paraId="08BF2B70" w14:textId="77777777" w:rsidR="002E5BBE" w:rsidRDefault="00000000">
            <w:pPr>
              <w:pStyle w:val="Compact"/>
            </w:pPr>
            <w:r>
              <w:t>Barber &amp; Holbein (2020)</w:t>
            </w:r>
          </w:p>
        </w:tc>
        <w:tc>
          <w:tcPr>
            <w:tcW w:w="1980" w:type="dxa"/>
          </w:tcPr>
          <w:p w14:paraId="28F22A13" w14:textId="77777777" w:rsidR="002E5BBE" w:rsidRDefault="00000000">
            <w:pPr>
              <w:pStyle w:val="Compact"/>
            </w:pPr>
            <w:r>
              <w:t>US multi-state AMV</w:t>
            </w:r>
          </w:p>
        </w:tc>
        <w:tc>
          <w:tcPr>
            <w:tcW w:w="1980" w:type="dxa"/>
          </w:tcPr>
          <w:p w14:paraId="6D44F231" w14:textId="77777777" w:rsidR="002E5BBE" w:rsidRDefault="00000000">
            <w:pPr>
              <w:pStyle w:val="Compact"/>
            </w:pPr>
            <w:r>
              <w:t>No partisan bias</w:t>
            </w:r>
          </w:p>
        </w:tc>
        <w:tc>
          <w:tcPr>
            <w:tcW w:w="1980" w:type="dxa"/>
          </w:tcPr>
          <w:p w14:paraId="090C3319" w14:textId="77777777" w:rsidR="002E5BBE" w:rsidRDefault="00000000">
            <w:pPr>
              <w:pStyle w:val="Compact"/>
            </w:pPr>
            <w:r>
              <w:t>Mandatory VBM increases turnout without systematically advantaging either party.</w:t>
            </w:r>
          </w:p>
        </w:tc>
      </w:tr>
      <w:tr w:rsidR="002E5BBE" w14:paraId="6D09EB9B" w14:textId="77777777">
        <w:tc>
          <w:tcPr>
            <w:tcW w:w="1980" w:type="dxa"/>
          </w:tcPr>
          <w:p w14:paraId="0831CC6C" w14:textId="77777777" w:rsidR="002E5BBE" w:rsidRDefault="00000000">
            <w:pPr>
              <w:pStyle w:val="Compact"/>
            </w:pPr>
            <w:r>
              <w:rPr>
                <w:b/>
                <w:bCs/>
              </w:rPr>
              <w:t>Coll (2023)</w:t>
            </w:r>
          </w:p>
        </w:tc>
        <w:tc>
          <w:tcPr>
            <w:tcW w:w="1980" w:type="dxa"/>
          </w:tcPr>
          <w:p w14:paraId="797BF544" w14:textId="77777777" w:rsidR="002E5BBE" w:rsidRDefault="00000000">
            <w:pPr>
              <w:pStyle w:val="Compact"/>
            </w:pPr>
            <w:r>
              <w:rPr>
                <w:b/>
                <w:bCs/>
              </w:rPr>
              <w:t>US national, voter ID + descriptive rep</w:t>
            </w:r>
          </w:p>
        </w:tc>
        <w:tc>
          <w:tcPr>
            <w:tcW w:w="1980" w:type="dxa"/>
          </w:tcPr>
          <w:p w14:paraId="237D2E16" w14:textId="77777777" w:rsidR="002E5BBE" w:rsidRDefault="00000000">
            <w:pPr>
              <w:pStyle w:val="Compact"/>
            </w:pPr>
            <w:r>
              <w:rPr>
                <w:b/>
                <w:bCs/>
              </w:rPr>
              <w:t>Black/Latino turnout × ID × representation</w:t>
            </w:r>
          </w:p>
        </w:tc>
        <w:tc>
          <w:tcPr>
            <w:tcW w:w="1980" w:type="dxa"/>
          </w:tcPr>
          <w:p w14:paraId="145DC98D" w14:textId="77777777" w:rsidR="002E5BBE" w:rsidRDefault="00000000">
            <w:pPr>
              <w:pStyle w:val="Compact"/>
            </w:pPr>
            <w:r>
              <w:rPr>
                <w:b/>
                <w:bCs/>
              </w:rPr>
              <w:t xml:space="preserve">Strict voter ID reduces Black and Latino turnout, but the effect is attenuated where collective descriptive representation is higher. Descriptive representation has </w:t>
            </w:r>
            <w:r>
              <w:rPr>
                <w:b/>
                <w:bCs/>
              </w:rPr>
              <w:lastRenderedPageBreak/>
              <w:t>protective participatory consequences.</w:t>
            </w:r>
          </w:p>
        </w:tc>
      </w:tr>
      <w:tr w:rsidR="002E5BBE" w14:paraId="10C8BA91" w14:textId="77777777">
        <w:tc>
          <w:tcPr>
            <w:tcW w:w="1980" w:type="dxa"/>
          </w:tcPr>
          <w:p w14:paraId="30A07ACB" w14:textId="77777777" w:rsidR="002E5BBE" w:rsidRDefault="00000000">
            <w:pPr>
              <w:pStyle w:val="Compact"/>
            </w:pPr>
            <w:r>
              <w:rPr>
                <w:b/>
                <w:bCs/>
              </w:rPr>
              <w:lastRenderedPageBreak/>
              <w:t>Coll &amp; Clark (2024)</w:t>
            </w:r>
          </w:p>
        </w:tc>
        <w:tc>
          <w:tcPr>
            <w:tcW w:w="1980" w:type="dxa"/>
          </w:tcPr>
          <w:p w14:paraId="17937D5D" w14:textId="77777777" w:rsidR="002E5BBE" w:rsidRDefault="00000000">
            <w:pPr>
              <w:pStyle w:val="Compact"/>
            </w:pPr>
            <w:r>
              <w:rPr>
                <w:b/>
                <w:bCs/>
              </w:rPr>
              <w:t>US, restrictive voting policies × race</w:t>
            </w:r>
          </w:p>
        </w:tc>
        <w:tc>
          <w:tcPr>
            <w:tcW w:w="1980" w:type="dxa"/>
          </w:tcPr>
          <w:p w14:paraId="103D146E" w14:textId="77777777" w:rsidR="002E5BBE" w:rsidRDefault="00000000">
            <w:pPr>
              <w:pStyle w:val="Compact"/>
            </w:pPr>
            <w:r>
              <w:rPr>
                <w:b/>
                <w:bCs/>
              </w:rPr>
              <w:t>Voter confidence asymmetry</w:t>
            </w:r>
          </w:p>
        </w:tc>
        <w:tc>
          <w:tcPr>
            <w:tcW w:w="1980" w:type="dxa"/>
          </w:tcPr>
          <w:p w14:paraId="124589EB" w14:textId="77777777" w:rsidR="002E5BBE" w:rsidRDefault="00000000">
            <w:pPr>
              <w:pStyle w:val="Compact"/>
            </w:pPr>
            <w:r>
              <w:rPr>
                <w:b/>
                <w:bCs/>
              </w:rPr>
              <w:t>Restrictive voting policies reduce Black voter confidence but not white voter confidence. Effects compound across stacked restrictions. Voter trust is a distinct distributional outcome beyond turnout.</w:t>
            </w:r>
          </w:p>
        </w:tc>
      </w:tr>
      <w:tr w:rsidR="002E5BBE" w14:paraId="57E77C85" w14:textId="77777777">
        <w:tc>
          <w:tcPr>
            <w:tcW w:w="1980" w:type="dxa"/>
          </w:tcPr>
          <w:p w14:paraId="7FA9F702" w14:textId="77777777" w:rsidR="002E5BBE" w:rsidRDefault="00000000">
            <w:pPr>
              <w:pStyle w:val="Compact"/>
            </w:pPr>
            <w:r>
              <w:rPr>
                <w:b/>
                <w:bCs/>
              </w:rPr>
              <w:t>Coll, Maltby &amp; Rocha (2024)</w:t>
            </w:r>
          </w:p>
        </w:tc>
        <w:tc>
          <w:tcPr>
            <w:tcW w:w="1980" w:type="dxa"/>
          </w:tcPr>
          <w:p w14:paraId="3675F99E" w14:textId="77777777" w:rsidR="002E5BBE" w:rsidRDefault="00000000">
            <w:pPr>
              <w:pStyle w:val="Compact"/>
            </w:pPr>
            <w:r>
              <w:rPr>
                <w:b/>
                <w:bCs/>
              </w:rPr>
              <w:t>US counties 2016–18 (EAVS + ACS, n≈4,000)</w:t>
            </w:r>
          </w:p>
        </w:tc>
        <w:tc>
          <w:tcPr>
            <w:tcW w:w="1980" w:type="dxa"/>
          </w:tcPr>
          <w:p w14:paraId="66F5FFD5" w14:textId="77777777" w:rsidR="002E5BBE" w:rsidRDefault="00000000">
            <w:pPr>
              <w:pStyle w:val="Compact"/>
            </w:pPr>
            <w:r>
              <w:rPr>
                <w:b/>
                <w:bCs/>
              </w:rPr>
              <w:t>Polling sites and poll workers</w:t>
            </w:r>
          </w:p>
        </w:tc>
        <w:tc>
          <w:tcPr>
            <w:tcW w:w="1980" w:type="dxa"/>
          </w:tcPr>
          <w:p w14:paraId="06647BA1" w14:textId="77777777" w:rsidR="002E5BBE" w:rsidRDefault="00000000">
            <w:pPr>
              <w:pStyle w:val="Compact"/>
            </w:pPr>
            <w:r>
              <w:rPr>
                <w:b/>
                <w:bCs/>
              </w:rPr>
              <w:t>Counties with growing Latino populations reduce election infrastructure; effect intensifies in jurisdictions formerly covered by VRA Section 5. Administrative-side mechanism of disparate access.</w:t>
            </w:r>
          </w:p>
        </w:tc>
      </w:tr>
      <w:tr w:rsidR="002E5BBE" w14:paraId="2B651DB8" w14:textId="77777777">
        <w:tc>
          <w:tcPr>
            <w:tcW w:w="1980" w:type="dxa"/>
          </w:tcPr>
          <w:p w14:paraId="66A0DA86" w14:textId="77777777" w:rsidR="002E5BBE" w:rsidRDefault="00000000">
            <w:pPr>
              <w:pStyle w:val="Compact"/>
            </w:pPr>
            <w:r>
              <w:rPr>
                <w:b/>
                <w:bCs/>
              </w:rPr>
              <w:t>Coll &amp; Juelich (2022)</w:t>
            </w:r>
          </w:p>
        </w:tc>
        <w:tc>
          <w:tcPr>
            <w:tcW w:w="1980" w:type="dxa"/>
          </w:tcPr>
          <w:p w14:paraId="43EC2936" w14:textId="77777777" w:rsidR="002E5BBE" w:rsidRDefault="00000000">
            <w:pPr>
              <w:pStyle w:val="Compact"/>
            </w:pPr>
            <w:r>
              <w:rPr>
                <w:b/>
                <w:bCs/>
              </w:rPr>
              <w:t>US, CPS 2000–2016 + Cost of Voting Index</w:t>
            </w:r>
          </w:p>
        </w:tc>
        <w:tc>
          <w:tcPr>
            <w:tcW w:w="1980" w:type="dxa"/>
          </w:tcPr>
          <w:p w14:paraId="55F5D0FC" w14:textId="77777777" w:rsidR="002E5BBE" w:rsidRDefault="00000000">
            <w:pPr>
              <w:pStyle w:val="Compact"/>
            </w:pPr>
            <w:r>
              <w:rPr>
                <w:b/>
                <w:bCs/>
              </w:rPr>
              <w:t>Intersectional youth × race × COVI</w:t>
            </w:r>
          </w:p>
        </w:tc>
        <w:tc>
          <w:tcPr>
            <w:tcW w:w="1980" w:type="dxa"/>
          </w:tcPr>
          <w:p w14:paraId="525F419E" w14:textId="77777777" w:rsidR="002E5BBE" w:rsidRDefault="00000000">
            <w:pPr>
              <w:pStyle w:val="Compact"/>
            </w:pPr>
            <w:r>
              <w:rPr>
                <w:b/>
                <w:bCs/>
              </w:rPr>
              <w:t xml:space="preserve">Increases in voting costs disproportionately depress turnout among young voters of color. Effects are intersectional rather than additive — costly environments compound across race and age </w:t>
            </w:r>
            <w:r>
              <w:rPr>
                <w:b/>
                <w:bCs/>
              </w:rPr>
              <w:lastRenderedPageBreak/>
              <w:t>simultaneously.</w:t>
            </w:r>
          </w:p>
        </w:tc>
      </w:tr>
      <w:tr w:rsidR="002E5BBE" w14:paraId="5450909E" w14:textId="77777777">
        <w:tc>
          <w:tcPr>
            <w:tcW w:w="1980" w:type="dxa"/>
          </w:tcPr>
          <w:p w14:paraId="6131F515" w14:textId="77777777" w:rsidR="002E5BBE" w:rsidRDefault="00000000">
            <w:pPr>
              <w:pStyle w:val="Compact"/>
            </w:pPr>
            <w:r>
              <w:rPr>
                <w:b/>
                <w:bCs/>
              </w:rPr>
              <w:lastRenderedPageBreak/>
              <w:t>Coll, Torres &amp; Tolbert (2024)</w:t>
            </w:r>
          </w:p>
        </w:tc>
        <w:tc>
          <w:tcPr>
            <w:tcW w:w="1980" w:type="dxa"/>
          </w:tcPr>
          <w:p w14:paraId="54940D48" w14:textId="77777777" w:rsidR="002E5BBE" w:rsidRDefault="00000000">
            <w:pPr>
              <w:pStyle w:val="Compact"/>
            </w:pPr>
            <w:r>
              <w:rPr>
                <w:b/>
                <w:bCs/>
              </w:rPr>
              <w:t>US, 5,000+ white Americans 2022</w:t>
            </w:r>
          </w:p>
        </w:tc>
        <w:tc>
          <w:tcPr>
            <w:tcW w:w="1980" w:type="dxa"/>
          </w:tcPr>
          <w:p w14:paraId="4ECE5726" w14:textId="77777777" w:rsidR="002E5BBE" w:rsidRDefault="00000000">
            <w:pPr>
              <w:pStyle w:val="Compact"/>
            </w:pPr>
            <w:r>
              <w:rPr>
                <w:b/>
                <w:bCs/>
              </w:rPr>
              <w:t>Racial animus × support for voter qualifications</w:t>
            </w:r>
          </w:p>
        </w:tc>
        <w:tc>
          <w:tcPr>
            <w:tcW w:w="1980" w:type="dxa"/>
          </w:tcPr>
          <w:p w14:paraId="5CF23E65" w14:textId="77777777" w:rsidR="002E5BBE" w:rsidRDefault="00000000">
            <w:pPr>
              <w:pStyle w:val="Compact"/>
            </w:pPr>
            <w:r>
              <w:rPr>
                <w:b/>
                <w:bCs/>
              </w:rPr>
              <w:t>Racial animus among white Americans predicts support for restrictive voter qualifications (knowledge tests, felon disenfranchisement). Policy preferences for restriction have an attitudinal source separate from their distributional consequences.</w:t>
            </w:r>
          </w:p>
        </w:tc>
      </w:tr>
    </w:tbl>
    <w:p w14:paraId="31C8D4C4" w14:textId="77777777" w:rsidR="002E5BBE" w:rsidRDefault="00000000">
      <w:pPr>
        <w:pStyle w:val="BodyText"/>
      </w:pPr>
      <w:r>
        <w:rPr>
          <w:i/>
          <w:iCs/>
        </w:rPr>
        <w:t>Note:</w:t>
      </w:r>
      <w:r>
        <w:t xml:space="preserve"> Studies ordered by thematic relevance. AMV = all-mail voting. Coll-line studies (last five rows) integrate the race-conditional perspective on US restrictive voting policies and election administration.</w:t>
      </w:r>
    </w:p>
    <w:p w14:paraId="0097351B" w14:textId="77777777" w:rsidR="002E5BBE" w:rsidRDefault="00000000">
      <w:pPr>
        <w:pStyle w:val="Heading2"/>
      </w:pPr>
      <w:bookmarkStart w:id="23" w:name="X927d59c1c01605ad15485dc60437960f974a187"/>
      <w:bookmarkEnd w:id="18"/>
      <w:bookmarkEnd w:id="22"/>
      <w:r>
        <w:t>8. Policy Recommendations for Minimizing Voter Error</w:t>
      </w:r>
    </w:p>
    <w:p w14:paraId="43DCEE60" w14:textId="77777777" w:rsidR="002E5BBE" w:rsidRDefault="00000000">
      <w:pPr>
        <w:pStyle w:val="Heading3"/>
      </w:pPr>
      <w:bookmarkStart w:id="24" w:name="system-level-findings"/>
      <w:r>
        <w:t>8.1 System-Level Findings</w:t>
      </w:r>
    </w:p>
    <w:p w14:paraId="0DB1C11B" w14:textId="77777777" w:rsidR="002E5BBE" w:rsidRDefault="00000000">
      <w:pPr>
        <w:pStyle w:val="FirstParagraph"/>
      </w:pPr>
      <w:r>
        <w:t>Closed-list party vote and approval voting produce the lowest error rates. FPTP and multi-vote systems with flexible maximums are also low-error. Flexible-list PR with a party-vote default represents the best compromise: low-complexity floor, optional high-expressiveness ceiling, and—if preference votes are limited—equitable minority representation (Spadaro 2018). Full-ranking IRV/STV and free-list panachage produce the highest error rates.</w:t>
      </w:r>
    </w:p>
    <w:p w14:paraId="7749DAC8" w14:textId="77777777" w:rsidR="002E5BBE" w:rsidRDefault="00000000">
      <w:pPr>
        <w:pStyle w:val="Heading3"/>
      </w:pPr>
      <w:bookmarkStart w:id="25" w:name="design-principles"/>
      <w:bookmarkEnd w:id="24"/>
      <w:r>
        <w:t>8.2 Design Principles</w:t>
      </w:r>
    </w:p>
    <w:p w14:paraId="675B30C7" w14:textId="77777777" w:rsidR="002E5BBE" w:rsidRDefault="00000000">
      <w:pPr>
        <w:pStyle w:val="FirstParagraph"/>
      </w:pPr>
      <w:r>
        <w:rPr>
          <w:b/>
          <w:bCs/>
        </w:rPr>
        <w:t>Favor partial-credit systems over all-or-nothing invalidation.</w:t>
      </w:r>
      <w:r>
        <w:t xml:space="preserve"> Systems that count partial intent—approval voting, range voting, multi-vote systems with flexible maximums, optional-ranking STV—produce substantially fewer wasted ballots.</w:t>
      </w:r>
    </w:p>
    <w:p w14:paraId="306B2161" w14:textId="77777777" w:rsidR="002E5BBE" w:rsidRDefault="00000000">
      <w:pPr>
        <w:pStyle w:val="BodyText"/>
      </w:pPr>
      <w:r>
        <w:rPr>
          <w:b/>
          <w:bCs/>
        </w:rPr>
        <w:t>Keep instruction length short and action types uniform.</w:t>
      </w:r>
      <w:r>
        <w:t xml:space="preserve"> Systems requiring multiple types of marks are significantly more error-prone. Conditional rules are particularly problematic.</w:t>
      </w:r>
    </w:p>
    <w:p w14:paraId="18EC4CF9" w14:textId="77777777" w:rsidR="002E5BBE" w:rsidRDefault="00000000">
      <w:pPr>
        <w:pStyle w:val="BodyText"/>
      </w:pPr>
      <w:r>
        <w:rPr>
          <w:b/>
          <w:bCs/>
        </w:rPr>
        <w:lastRenderedPageBreak/>
        <w:t>Limit the number of decisions per ballot.</w:t>
      </w:r>
      <w:r>
        <w:t xml:space="preserve"> Concurrent elections increase invalid voting even with identical rules (Lysek &amp; Kouba 2022; Spáč &amp; Zagrapan 2025). Ballot-primacy effects are stronger under complex systems (Flis &amp; Kaminski 2025).</w:t>
      </w:r>
    </w:p>
    <w:p w14:paraId="3C51B1EB" w14:textId="77777777" w:rsidR="002E5BBE" w:rsidRDefault="00000000">
      <w:pPr>
        <w:pStyle w:val="BodyText"/>
      </w:pPr>
      <w:r>
        <w:rPr>
          <w:b/>
          <w:bCs/>
        </w:rPr>
        <w:t>Invest in ballot layout and testing.</w:t>
      </w:r>
      <w:r>
        <w:t xml:space="preserve"> Physical ballot design is an independent source of error (Carman et al. 2008; Kimball &amp; Kropf 2005; Engstrom &amp; Roberts 2020). Pre-election usability testing with representative populations should be standard.</w:t>
      </w:r>
    </w:p>
    <w:p w14:paraId="25234676" w14:textId="77777777" w:rsidR="002E5BBE" w:rsidRDefault="00000000">
      <w:pPr>
        <w:pStyle w:val="BodyText"/>
      </w:pPr>
      <w:r>
        <w:rPr>
          <w:b/>
          <w:bCs/>
        </w:rPr>
        <w:t>Design with the most vulnerable voters in mind.</w:t>
      </w:r>
      <w:r>
        <w:t xml:space="preserve"> Education is the strongest predictor of error, amplified by complexity. Reform should include targeted voter education and a simple default pathway (e.g., party vote option). Coll and Juelich (2022) further show the burden is intersectional — young voters of color face compounded costs from complex environments.</w:t>
      </w:r>
    </w:p>
    <w:p w14:paraId="5552D849" w14:textId="77777777" w:rsidR="002E5BBE" w:rsidRDefault="00000000">
      <w:pPr>
        <w:pStyle w:val="BodyText"/>
      </w:pPr>
      <w:r>
        <w:rPr>
          <w:b/>
          <w:bCs/>
        </w:rPr>
        <w:t>Be skeptical of the expressiveness–simplicity trade-off.</w:t>
      </w:r>
      <w:r>
        <w:t xml:space="preserve"> Multi-vote and grading systems capture richer preferences than FPTP without meaningfully increasing errors. The systems generating high errors—full ranking and conditional voting—are not necessarily more expressive than alternatives.</w:t>
      </w:r>
    </w:p>
    <w:p w14:paraId="664043EE" w14:textId="77777777" w:rsidR="002E5BBE" w:rsidRDefault="00000000">
      <w:pPr>
        <w:pStyle w:val="BodyText"/>
      </w:pPr>
      <w:r>
        <w:rPr>
          <w:b/>
          <w:bCs/>
        </w:rPr>
        <w:t>Protect the administrative resource base.</w:t>
      </w:r>
      <w:r>
        <w:t xml:space="preserve"> Ballot-design reform without commensurate investment in polling sites, poll worker recruitment, and in-language outreach may be substantially neutralized by administrative-side disparities (Coll, Maltby &amp; Rocha 2024). Reform packages should bundle ballot improvements with audited infrastructure standards.</w:t>
      </w:r>
    </w:p>
    <w:p w14:paraId="4A7AF261" w14:textId="77777777" w:rsidR="002E5BBE" w:rsidRDefault="00000000">
      <w:pPr>
        <w:pStyle w:val="Heading2"/>
      </w:pPr>
      <w:bookmarkStart w:id="26" w:name="Xaa447629bd2276dbfe0c24e472b22d8f989425c"/>
      <w:bookmarkEnd w:id="23"/>
      <w:bookmarkEnd w:id="25"/>
      <w:r>
        <w:t>9. Integrating Participation as a Design Dimension</w:t>
      </w:r>
    </w:p>
    <w:p w14:paraId="69B142CF" w14:textId="77777777" w:rsidR="002E5BBE" w:rsidRDefault="00000000">
      <w:pPr>
        <w:pStyle w:val="Heading3"/>
      </w:pPr>
      <w:bookmarkStart w:id="27" w:name="the-pr-boost-vs.-the-pr-blow"/>
      <w:r>
        <w:t>9.1 The PR Boost vs. the PR Blow</w:t>
      </w:r>
    </w:p>
    <w:p w14:paraId="505CFBA8" w14:textId="77777777" w:rsidR="002E5BBE" w:rsidRDefault="00000000">
      <w:pPr>
        <w:pStyle w:val="FirstParagraph"/>
      </w:pPr>
      <w:r>
        <w:t>Flis and Kaminski (2025) identify the central tension: PR systems consistently produce higher turnout (+3–5 pp) but also a “PR blow” of faulty votes similar in magnitude. The two effects hit different populations: the PR boost brings in additional voters, while the PR blow degrades vote quality among those who participate. The faulty-vote burden falls disproportionately on less-educated and less-informed voters—the same populations that benefit most from the turnout boost.</w:t>
      </w:r>
    </w:p>
    <w:p w14:paraId="1A2F2A8F" w14:textId="77777777" w:rsidR="002E5BBE" w:rsidRDefault="00000000">
      <w:pPr>
        <w:pStyle w:val="Heading3"/>
      </w:pPr>
      <w:bookmarkStart w:id="28" w:name="rcv-vs.-runoff-participation-accounting"/>
      <w:bookmarkEnd w:id="27"/>
      <w:r>
        <w:t>9.2 RCV vs. Runoff Participation Accounting</w:t>
      </w:r>
    </w:p>
    <w:p w14:paraId="1E807137" w14:textId="77777777" w:rsidR="002E5BBE" w:rsidRDefault="00000000">
      <w:pPr>
        <w:pStyle w:val="FirstParagraph"/>
      </w:pPr>
      <w:r>
        <w:t>RCV generally produces less total voter “drop-off” than the primary-runoff alternative, because the participation decline between elections is typically steeper than ballot-exhaustion rates within a single RCV election. However, Burnett and Kogan (2015) find exhaustion rates of 9.6–27.1%, and Santucci et al. (2025) find 4.8% improper marking—roughly double the FPTP residual rate. Donovan, Tolbert, and Harper (2022) show significant demographic differences in RCV comprehension and utilization.</w:t>
      </w:r>
    </w:p>
    <w:p w14:paraId="40840679" w14:textId="77777777" w:rsidR="002E5BBE" w:rsidRDefault="00000000">
      <w:pPr>
        <w:pStyle w:val="Heading3"/>
      </w:pPr>
      <w:bookmarkStart w:id="29" w:name="X83b7c68540ae091b726ca393264fd99d4e88f92"/>
      <w:bookmarkEnd w:id="28"/>
      <w:r>
        <w:lastRenderedPageBreak/>
        <w:t>9.3 Vote-by-Mail as a Participation Equalizer</w:t>
      </w:r>
    </w:p>
    <w:p w14:paraId="23F93257" w14:textId="77777777" w:rsidR="002E5BBE" w:rsidRDefault="00000000">
      <w:pPr>
        <w:pStyle w:val="FirstParagraph"/>
      </w:pPr>
      <w:r>
        <w:t>Bonica et al. (2021) estimate Colorado’s all-mail voting increased turnout by ~8 pp with significantly larger effects for disadvantaged groups. Hill and Grumbach (2020) document six security layers that make fraud virtually impossible but create rejection points. Cottrell, Herron, and Smith (2021) show inexperienced mail voters are 3× more likely to have ballots rejected, with the penalty falling on younger, minority, and newly registered voters. Cure provisions are the critical policy lever.</w:t>
      </w:r>
    </w:p>
    <w:p w14:paraId="2A0CFA0A" w14:textId="77777777" w:rsidR="002E5BBE" w:rsidRDefault="00000000">
      <w:pPr>
        <w:pStyle w:val="Heading2"/>
      </w:pPr>
      <w:bookmarkStart w:id="30" w:name="turnout-inequalities-and-bias-in-results"/>
      <w:bookmarkEnd w:id="26"/>
      <w:bookmarkEnd w:id="29"/>
      <w:r>
        <w:t>10. Turnout Inequalities and Bias in Results</w:t>
      </w:r>
    </w:p>
    <w:p w14:paraId="4EE12195" w14:textId="77777777" w:rsidR="002E5BBE" w:rsidRDefault="00000000">
      <w:pPr>
        <w:pStyle w:val="Heading3"/>
      </w:pPr>
      <w:bookmarkStart w:id="31" w:name="the-three-sources-of-partisan-bias"/>
      <w:r>
        <w:t>10.1 The Three Sources of Partisan Bias</w:t>
      </w:r>
    </w:p>
    <w:p w14:paraId="2DD223B4" w14:textId="77777777" w:rsidR="002E5BBE" w:rsidRDefault="00000000">
      <w:pPr>
        <w:pStyle w:val="FirstParagraph"/>
      </w:pPr>
      <w:r>
        <w:t>Johnston, Rossiter, and Pattie (1999) decompose partisan bias under FPTP into malapportionment, differential turnout, and geographic vote clustering. Invalid and wasted votes function as a fourth source when unevenly distributed across constituencies or demographics. If less-educated or minority voters are more likely to cast invalid ballots, their effective weight is reduced as if they had stayed home.</w:t>
      </w:r>
    </w:p>
    <w:p w14:paraId="71B06A4F" w14:textId="77777777" w:rsidR="002E5BBE" w:rsidRDefault="00000000">
      <w:pPr>
        <w:pStyle w:val="Heading3"/>
      </w:pPr>
      <w:bookmarkStart w:id="32" w:name="all-mail-voting-gains-and-offsets"/>
      <w:bookmarkEnd w:id="31"/>
      <w:r>
        <w:t>10.2 All-Mail Voting: Gains and Offsets</w:t>
      </w:r>
    </w:p>
    <w:p w14:paraId="17EB4233" w14:textId="77777777" w:rsidR="002E5BBE" w:rsidRDefault="00000000">
      <w:pPr>
        <w:pStyle w:val="FirstParagraph"/>
      </w:pPr>
      <w:r>
        <w:t>The Colorado AMV evidence (Bonica et al. 2021) is the strongest available showing simultaneous turnout increase and inequality reduction. But rejection disparities partially offset gains. Black and Latino VBM ballots are 2×+ more likely to be rejected (Baringer et al. 2020; Shino et al. 2022). Robust cure processes capture most of the turnout benefit while minimizing rejection-driven disenfranchisement.</w:t>
      </w:r>
    </w:p>
    <w:p w14:paraId="37576EC7" w14:textId="77777777" w:rsidR="002E5BBE" w:rsidRDefault="00000000">
      <w:pPr>
        <w:pStyle w:val="Heading3"/>
      </w:pPr>
      <w:bookmarkStart w:id="33" w:name="ballot-format-as-participation-variable"/>
      <w:bookmarkEnd w:id="32"/>
      <w:r>
        <w:t>10.3 Ballot Format as Participation Variable</w:t>
      </w:r>
    </w:p>
    <w:p w14:paraId="30419060" w14:textId="77777777" w:rsidR="002E5BBE" w:rsidRDefault="00000000">
      <w:pPr>
        <w:pStyle w:val="FirstParagraph"/>
      </w:pPr>
      <w:r>
        <w:t>Engstrom and Roberts (2016, 2020) show office-bloc ballots increase roll-off—functionally equivalent to invalid voting for down-ballot offices. The straight-ticket option reduces roll-off but at the cost of encouraging low-information party-line voting. This represents a distinct trade-off between completion and specificity.</w:t>
      </w:r>
    </w:p>
    <w:p w14:paraId="5E4C82AC" w14:textId="77777777" w:rsidR="002E5BBE" w:rsidRDefault="00000000">
      <w:pPr>
        <w:pStyle w:val="Heading3"/>
      </w:pPr>
      <w:bookmarkStart w:id="34" w:name="compulsory-voting-the-limiting-case"/>
      <w:bookmarkEnd w:id="33"/>
      <w:r>
        <w:t>10.4 Compulsory Voting: The Limiting Case</w:t>
      </w:r>
    </w:p>
    <w:p w14:paraId="383DEB7C" w14:textId="77777777" w:rsidR="002E5BBE" w:rsidRDefault="00000000">
      <w:pPr>
        <w:pStyle w:val="FirstParagraph"/>
      </w:pPr>
      <w:r>
        <w:t>Power and Roberts (1995) show that under compulsory voting with complex ballots in Brazil, invalid rates reached 30%+. Compulsory voting eliminates the turnout gap by fiat but transfers the cost to the ballot-completion stage. The lesson is that compulsory voting works only when paired with simple ballots.</w:t>
      </w:r>
    </w:p>
    <w:p w14:paraId="3A7FB636" w14:textId="77777777" w:rsidR="002E5BBE" w:rsidRDefault="00000000">
      <w:pPr>
        <w:pStyle w:val="Heading3"/>
      </w:pPr>
      <w:bookmarkStart w:id="35" w:name="X017c540bf42960710a8e8d4b34d7213fba89125"/>
      <w:bookmarkEnd w:id="34"/>
      <w:r>
        <w:t>10.5 The Race-Conditional Dimension of Restrictive Voting Policies</w:t>
      </w:r>
    </w:p>
    <w:p w14:paraId="507DF801" w14:textId="77777777" w:rsidR="002E5BBE" w:rsidRDefault="00000000">
      <w:pPr>
        <w:pStyle w:val="FirstParagraph"/>
      </w:pPr>
      <w:r>
        <w:t xml:space="preserve">A distinct strand of US research demonstrates that restrictive voting policies produce </w:t>
      </w:r>
      <w:r>
        <w:rPr>
          <w:i/>
          <w:iCs/>
        </w:rPr>
        <w:t>race-conditional</w:t>
      </w:r>
      <w:r>
        <w:t xml:space="preserve"> effects across multiple distributional outcomes — turnout, confidence, and post-electoral political trust — rather than uniformly reducing participation. Coll (2023) shows that strict voter identification requirements depress Black and Latino turnout, but </w:t>
      </w:r>
      <w:r>
        <w:lastRenderedPageBreak/>
        <w:t xml:space="preserve">that the effect is </w:t>
      </w:r>
      <w:r>
        <w:rPr>
          <w:i/>
          <w:iCs/>
        </w:rPr>
        <w:t>moderated by collective descriptive representation</w:t>
      </w:r>
      <w:r>
        <w:t>: minorities in jurisdictions with more co-ethnic elected officials are partially protected from the depressive effect. Descriptive representation thus has procedural-participatory consequences beyond its symbolic dimension.</w:t>
      </w:r>
    </w:p>
    <w:p w14:paraId="0BA015A9" w14:textId="77777777" w:rsidR="002E5BBE" w:rsidRDefault="00000000">
      <w:pPr>
        <w:pStyle w:val="BodyText"/>
      </w:pPr>
      <w:r>
        <w:t xml:space="preserve">Coll and Clark (2024) extend this race-conditional framework to </w:t>
      </w:r>
      <w:r>
        <w:rPr>
          <w:i/>
          <w:iCs/>
        </w:rPr>
        <w:t>voter confidence</w:t>
      </w:r>
      <w:r>
        <w:t xml:space="preserve">: restrictive voting policies reduce Black voter confidence in elections but do not similarly affect white voter confidence. The stacking of multiple restrictions compounds the racial confidence gap. This finding identifies a distributional outcome beyond turnout: even when minority voters participate, their </w:t>
      </w:r>
      <w:r>
        <w:rPr>
          <w:i/>
          <w:iCs/>
        </w:rPr>
        <w:t>trust</w:t>
      </w:r>
      <w:r>
        <w:t xml:space="preserve"> in the electoral system is asymmetrically eroded by restrictive design.</w:t>
      </w:r>
    </w:p>
    <w:p w14:paraId="176B98F6" w14:textId="77777777" w:rsidR="002E5BBE" w:rsidRDefault="00000000">
      <w:pPr>
        <w:pStyle w:val="BodyText"/>
      </w:pPr>
      <w:r>
        <w:t>Coll and Juelich (2022) demonstrate the intersectional dimension: young voters of color face compounded costs from complex electoral environments — costs that are not additive across age and race but interactive. The participatory cost of complexity is therefore concentrated at the intersection of age and racial/ethnic minority status.</w:t>
      </w:r>
    </w:p>
    <w:p w14:paraId="15D7E16C" w14:textId="77777777" w:rsidR="002E5BBE" w:rsidRDefault="00000000">
      <w:pPr>
        <w:pStyle w:val="Heading3"/>
      </w:pPr>
      <w:bookmarkStart w:id="36" w:name="X33ffc9a7fbee04eb3e193e3b125924438e1e037"/>
      <w:bookmarkEnd w:id="35"/>
      <w:r>
        <w:t>10.6 The Administrative-Resource Dimension of Disparate Impact</w:t>
      </w:r>
    </w:p>
    <w:p w14:paraId="15EFADB9" w14:textId="77777777" w:rsidR="002E5BBE" w:rsidRDefault="00000000">
      <w:pPr>
        <w:pStyle w:val="FirstParagraph"/>
      </w:pPr>
      <w:r>
        <w:t xml:space="preserve">Coll, Maltby, and Rocha (2024) document a distinct mechanism by which racial disparities in electoral access are produced administratively rather than through ballot design alone. Their analysis of approximately 4,000 US counties using 2016 and 2018 Election Administration and Voting Survey data shows that counties experiencing growing Latino populations </w:t>
      </w:r>
      <w:r>
        <w:rPr>
          <w:i/>
          <w:iCs/>
        </w:rPr>
        <w:t>reduce</w:t>
      </w:r>
      <w:r>
        <w:t xml:space="preserve"> their number of polling sites and poll workers, with the effect most pronounced in jurisdictions formerly covered by the VRA’s Section 5 preclearance regime (overturned in </w:t>
      </w:r>
      <w:r>
        <w:rPr>
          <w:i/>
          <w:iCs/>
        </w:rPr>
        <w:t>Shelby County v. Holder</w:t>
      </w:r>
      <w:r>
        <w:t>, 2013).</w:t>
      </w:r>
    </w:p>
    <w:p w14:paraId="26E8629B" w14:textId="77777777" w:rsidR="002E5BBE" w:rsidRDefault="00000000">
      <w:pPr>
        <w:pStyle w:val="BodyText"/>
      </w:pPr>
      <w:r>
        <w:t>This finding has two implications for the four-component cost framework. First, the in-person voting channel is not a fixed baseline against which other channels can be evaluated: its accessibility is itself endogenous to local political and demographic dynamics. Second, ballot-design reforms targeted at the in-person channel may be partially neutralized in the very jurisdictions where minority growth is fastest. Disparate-impact analysis must account simultaneously for ballot design, administrative resources, and the political incentive environment shaping local administration.</w:t>
      </w:r>
    </w:p>
    <w:p w14:paraId="3C1BAA54" w14:textId="77777777" w:rsidR="002E5BBE" w:rsidRDefault="00000000">
      <w:pPr>
        <w:pStyle w:val="Heading3"/>
      </w:pPr>
      <w:bookmarkStart w:id="37" w:name="a-four-component-cost-model"/>
      <w:bookmarkEnd w:id="36"/>
      <w:r>
        <w:t>10.7 A Four-Component Cost Model</w:t>
      </w:r>
    </w:p>
    <w:p w14:paraId="0C622013" w14:textId="77777777" w:rsidR="002E5BBE" w:rsidRDefault="00000000">
      <w:pPr>
        <w:pStyle w:val="Compact"/>
        <w:numPr>
          <w:ilvl w:val="0"/>
          <w:numId w:val="2"/>
        </w:numPr>
      </w:pPr>
      <w:r>
        <w:rPr>
          <w:b/>
          <w:bCs/>
        </w:rPr>
        <w:t>Turnout failure</w:t>
      </w:r>
      <w:r>
        <w:t>: voters who do not participate. Largest under FPTP with voluntary voting. Reduced by PR, all-mail voting, compulsory voting.</w:t>
      </w:r>
    </w:p>
    <w:p w14:paraId="2B753E4A" w14:textId="77777777" w:rsidR="002E5BBE" w:rsidRDefault="00000000">
      <w:pPr>
        <w:pStyle w:val="Compact"/>
        <w:numPr>
          <w:ilvl w:val="0"/>
          <w:numId w:val="2"/>
        </w:numPr>
      </w:pPr>
      <w:r>
        <w:rPr>
          <w:b/>
          <w:bCs/>
        </w:rPr>
        <w:t>Ballot error</w:t>
      </w:r>
      <w:r>
        <w:t>: votes cast but not counted as intended. Largest under full-ranking, complex PR, conditional voting. Reduced by forgiving validity rules, simple design.</w:t>
      </w:r>
    </w:p>
    <w:p w14:paraId="4BE35800" w14:textId="77777777" w:rsidR="002E5BBE" w:rsidRDefault="00000000">
      <w:pPr>
        <w:pStyle w:val="Compact"/>
        <w:numPr>
          <w:ilvl w:val="0"/>
          <w:numId w:val="2"/>
        </w:numPr>
      </w:pPr>
      <w:r>
        <w:rPr>
          <w:b/>
          <w:bCs/>
        </w:rPr>
        <w:t>Ballot rejection</w:t>
      </w:r>
      <w:r>
        <w:t>: votes submitted but administratively disqualified. Largest under strict signature matching, punch cards, VBM without cure. Reduced by optical scan, cure processes.</w:t>
      </w:r>
    </w:p>
    <w:p w14:paraId="6BB3DDE6" w14:textId="77777777" w:rsidR="002E5BBE" w:rsidRDefault="00000000">
      <w:pPr>
        <w:pStyle w:val="Compact"/>
        <w:numPr>
          <w:ilvl w:val="0"/>
          <w:numId w:val="2"/>
        </w:numPr>
      </w:pPr>
      <w:r>
        <w:rPr>
          <w:b/>
          <w:bCs/>
        </w:rPr>
        <w:lastRenderedPageBreak/>
        <w:t>Participation-quality gap</w:t>
      </w:r>
      <w:r>
        <w:t>: voters who participate at a lower level than the system permits (e.g., ranking one candidate under RCV). Reduced by education, intuitive design, low-complexity default pathways.</w:t>
      </w:r>
    </w:p>
    <w:p w14:paraId="6E54C1F4" w14:textId="77777777" w:rsidR="002E5BBE" w:rsidRDefault="00000000">
      <w:pPr>
        <w:pStyle w:val="FirstParagraph"/>
      </w:pPr>
      <w:r>
        <w:t xml:space="preserve">All four components are unequally distributed by demography and interact with system design. The optimal design minimizes weighted total cost across all four, with weights reflecting both magnitude and distributional equity. </w:t>
      </w:r>
      <w:r>
        <w:rPr>
          <w:b/>
          <w:bCs/>
        </w:rPr>
        <w:t>The Coll-line of research extends this framework with a fifth, administrative-resource component</w:t>
      </w:r>
      <w:r>
        <w:t>: jurisdictions’ choices about polling sites, poll workers, and other infrastructure are endogenous to local minority population dynamics (Coll, Maltby &amp; Rocha 2024) and to political-attitudinal factors among the majority population (Coll, Torres &amp; Tolbert 2024). Reform packages should bundle ballot-design improvements with administrative-resource floors, since the two operate on the same affected populations.</w:t>
      </w:r>
    </w:p>
    <w:p w14:paraId="44A1A227" w14:textId="77777777" w:rsidR="002E5BBE" w:rsidRDefault="00000000">
      <w:pPr>
        <w:pStyle w:val="Heading2"/>
      </w:pPr>
      <w:bookmarkStart w:id="38" w:name="X166017b954cc56ed9c363db460e145fb056fa8b"/>
      <w:bookmarkEnd w:id="30"/>
      <w:bookmarkEnd w:id="37"/>
      <w:r>
        <w:t>11. Summary of Major Findings and Research Gaps</w:t>
      </w:r>
    </w:p>
    <w:p w14:paraId="07D69D65" w14:textId="77777777" w:rsidR="002E5BBE" w:rsidRDefault="00000000">
      <w:pPr>
        <w:pStyle w:val="FirstParagraph"/>
      </w:pPr>
      <w:r>
        <w:t>The evidence converges on robust findings: ranking systems (especially with full-ranking) produce the highest error rates; approval and multi-vote systems can reduce errors below FPTP; education is the strongest predictor of error; compulsory voting increases aggregate invalid rates; concurrent elections and competition affect rates through cognitive overload and scrutiny mechanisms.</w:t>
      </w:r>
    </w:p>
    <w:p w14:paraId="4F60DC65" w14:textId="77777777" w:rsidR="002E5BBE" w:rsidRDefault="00000000">
      <w:pPr>
        <w:pStyle w:val="BodyText"/>
      </w:pPr>
      <w:r>
        <w:t>US-specific evidence on race-conditional restrictive voting policies (Coll 2023; Coll &amp; Clark 2024) and administrative resource allocation (Coll, Maltby &amp; Rocha 2024) shows that disparate impact is produced through multiple, partially substitutable channels — ballot design, voter ID, polling infrastructure — and that descriptive representation has procedural-participatory protective consequences (Coll 2023) beyond its symbolic dimension. The intersectional cost of complexity falls on young voters of color (Coll &amp; Juelich 2022). The political-attitudinal substrate of restrictive policies among the majority population is documented separately (Coll, Torres &amp; Tolbert 2024) and warrants integration with the institutional-design literature.</w:t>
      </w:r>
    </w:p>
    <w:p w14:paraId="51F3EB14" w14:textId="77777777" w:rsidR="002E5BBE" w:rsidRDefault="00000000">
      <w:pPr>
        <w:pStyle w:val="BodyText"/>
      </w:pPr>
      <w:r>
        <w:rPr>
          <w:b/>
          <w:bCs/>
        </w:rPr>
        <w:t>Key gaps</w:t>
      </w:r>
      <w:r>
        <w:t xml:space="preserve">: the interaction between complexity and minority representation needs empirical testing in controlled designs; online vs. paper voting findings need replication; conditional voting rules are understudied; the Flis-Kaminski concept of faulty votes has not been integrated into the broader literature; downstream consequences for legislative composition and policy remain largely speculative; and the four-component cost model proposed here needs formal parameterization. </w:t>
      </w:r>
      <w:r>
        <w:rPr>
          <w:b/>
          <w:bCs/>
        </w:rPr>
        <w:t>The administrative-resource fifth component</w:t>
      </w:r>
      <w:r>
        <w:t xml:space="preserve"> identified by the Coll-line of research has not been integrated with ballot-design experimental work — controlled studies that vary both ballot design and polling-site accessibility would be a high-value next step.</w:t>
      </w:r>
    </w:p>
    <w:p w14:paraId="158E36AF" w14:textId="77777777" w:rsidR="002E5BBE" w:rsidRDefault="00000000">
      <w:pPr>
        <w:pStyle w:val="Heading2"/>
      </w:pPr>
      <w:bookmarkStart w:id="39" w:name="consolidated-bibliography"/>
      <w:bookmarkEnd w:id="38"/>
      <w:r>
        <w:lastRenderedPageBreak/>
        <w:t>12. Consolidated Bibliography</w:t>
      </w:r>
    </w:p>
    <w:p w14:paraId="0BD497F1" w14:textId="77777777" w:rsidR="002E5BBE" w:rsidRDefault="00000000">
      <w:pPr>
        <w:pStyle w:val="Heading3"/>
      </w:pPr>
      <w:bookmarkStart w:id="40" w:name="reviews-meta-analyses-and-frameworks"/>
      <w:r>
        <w:t>Reviews, Meta-Analyses, and Frameworks</w:t>
      </w:r>
    </w:p>
    <w:p w14:paraId="75D5AD26" w14:textId="77777777" w:rsidR="002E5BBE" w:rsidRDefault="00000000">
      <w:pPr>
        <w:pStyle w:val="Compact"/>
        <w:numPr>
          <w:ilvl w:val="0"/>
          <w:numId w:val="3"/>
        </w:numPr>
      </w:pPr>
      <w:r>
        <w:t xml:space="preserve">Kouba, K. &amp; Lysek, J. (2019). What affects invalid voting? A review and meta-analysis. </w:t>
      </w:r>
      <w:r>
        <w:rPr>
          <w:i/>
          <w:iCs/>
        </w:rPr>
        <w:t>Government and Opposition</w:t>
      </w:r>
      <w:r>
        <w:t>, 54(4), 745–775.</w:t>
      </w:r>
    </w:p>
    <w:p w14:paraId="21607847" w14:textId="77777777" w:rsidR="002E5BBE" w:rsidRDefault="00000000">
      <w:pPr>
        <w:pStyle w:val="Compact"/>
        <w:numPr>
          <w:ilvl w:val="0"/>
          <w:numId w:val="3"/>
        </w:numPr>
      </w:pPr>
      <w:r>
        <w:t xml:space="preserve">Kouba, K. &amp; Lysek, J. (2016). Institutional determinants of invalid voting in post-communist Europe and Latin America. </w:t>
      </w:r>
      <w:r>
        <w:rPr>
          <w:i/>
          <w:iCs/>
        </w:rPr>
        <w:t>Electoral Studies</w:t>
      </w:r>
      <w:r>
        <w:t>, 41, 92–104.</w:t>
      </w:r>
    </w:p>
    <w:p w14:paraId="0CF2FDCF" w14:textId="77777777" w:rsidR="002E5BBE" w:rsidRDefault="00000000">
      <w:pPr>
        <w:pStyle w:val="Compact"/>
        <w:numPr>
          <w:ilvl w:val="0"/>
          <w:numId w:val="3"/>
        </w:numPr>
      </w:pPr>
      <w:r>
        <w:t xml:space="preserve">Uggla, F. (2008). Incompetence, alienation, or calculation? </w:t>
      </w:r>
      <w:r>
        <w:rPr>
          <w:i/>
          <w:iCs/>
        </w:rPr>
        <w:t>Comparative Political Studies</w:t>
      </w:r>
      <w:r>
        <w:t>, 41(8), 1141–1164.</w:t>
      </w:r>
    </w:p>
    <w:p w14:paraId="60FFA2A6" w14:textId="77777777" w:rsidR="002E5BBE" w:rsidRDefault="00000000">
      <w:pPr>
        <w:pStyle w:val="Compact"/>
        <w:numPr>
          <w:ilvl w:val="0"/>
          <w:numId w:val="3"/>
        </w:numPr>
      </w:pPr>
      <w:r>
        <w:t xml:space="preserve">Maloy, J. S. (2019). </w:t>
      </w:r>
      <w:r>
        <w:rPr>
          <w:i/>
          <w:iCs/>
        </w:rPr>
        <w:t>Smarter ballots: Electoral realism and reform</w:t>
      </w:r>
      <w:r>
        <w:t>. Springer.</w:t>
      </w:r>
    </w:p>
    <w:p w14:paraId="4A0F99D7" w14:textId="77777777" w:rsidR="002E5BBE" w:rsidRDefault="00000000">
      <w:pPr>
        <w:pStyle w:val="Compact"/>
        <w:numPr>
          <w:ilvl w:val="0"/>
          <w:numId w:val="3"/>
        </w:numPr>
      </w:pPr>
      <w:r>
        <w:t xml:space="preserve">Norris, P. (2004). </w:t>
      </w:r>
      <w:r>
        <w:rPr>
          <w:i/>
          <w:iCs/>
        </w:rPr>
        <w:t>Electoral engineering: Voting rules and political behavior</w:t>
      </w:r>
      <w:r>
        <w:t>. Cambridge University Press.</w:t>
      </w:r>
    </w:p>
    <w:p w14:paraId="538D9749" w14:textId="77777777" w:rsidR="002E5BBE" w:rsidRDefault="00000000">
      <w:pPr>
        <w:pStyle w:val="Compact"/>
        <w:numPr>
          <w:ilvl w:val="0"/>
          <w:numId w:val="3"/>
        </w:numPr>
      </w:pPr>
      <w:r>
        <w:t xml:space="preserve">Lijphart, A. (1997). Unequal participation: Democracy’s unresolved dilemma. </w:t>
      </w:r>
      <w:r>
        <w:rPr>
          <w:i/>
          <w:iCs/>
        </w:rPr>
        <w:t>APSR</w:t>
      </w:r>
      <w:r>
        <w:t>, 91(1), 1–14.</w:t>
      </w:r>
    </w:p>
    <w:p w14:paraId="79F19E9D" w14:textId="77777777" w:rsidR="002E5BBE" w:rsidRDefault="00000000">
      <w:pPr>
        <w:pStyle w:val="Heading3"/>
      </w:pPr>
      <w:bookmarkStart w:id="41" w:name="X94b525d5054e500923985e31429700c637c66ef"/>
      <w:bookmarkEnd w:id="40"/>
      <w:r>
        <w:t>Experimental and Quasi-Experimental Studies</w:t>
      </w:r>
    </w:p>
    <w:p w14:paraId="455ED7BC" w14:textId="77777777" w:rsidR="002E5BBE" w:rsidRDefault="00000000">
      <w:pPr>
        <w:pStyle w:val="Compact"/>
        <w:numPr>
          <w:ilvl w:val="0"/>
          <w:numId w:val="4"/>
        </w:numPr>
      </w:pPr>
      <w:r>
        <w:t xml:space="preserve">Haase Formánková, Z., Jarabinský, I., Líbal, M. &amp; Oreský, J. (2026). Do people make their votes count? </w:t>
      </w:r>
      <w:r>
        <w:rPr>
          <w:i/>
          <w:iCs/>
        </w:rPr>
        <w:t>Public Choice</w:t>
      </w:r>
      <w:r>
        <w:t>.</w:t>
      </w:r>
    </w:p>
    <w:p w14:paraId="628713F2" w14:textId="77777777" w:rsidR="002E5BBE" w:rsidRDefault="00000000">
      <w:pPr>
        <w:pStyle w:val="Compact"/>
        <w:numPr>
          <w:ilvl w:val="0"/>
          <w:numId w:val="4"/>
        </w:numPr>
      </w:pPr>
      <w:r>
        <w:t xml:space="preserve">Maloy, J. S. &amp; Ward, M. (2021). The impact of input rules and ballot options on voting error. </w:t>
      </w:r>
      <w:r>
        <w:rPr>
          <w:i/>
          <w:iCs/>
        </w:rPr>
        <w:t>Politics and Governance</w:t>
      </w:r>
      <w:r>
        <w:t>, 9(2), 306–318.</w:t>
      </w:r>
    </w:p>
    <w:p w14:paraId="73152425" w14:textId="77777777" w:rsidR="002E5BBE" w:rsidRDefault="00000000">
      <w:pPr>
        <w:pStyle w:val="Compact"/>
        <w:numPr>
          <w:ilvl w:val="0"/>
          <w:numId w:val="4"/>
        </w:numPr>
      </w:pPr>
      <w:r>
        <w:t xml:space="preserve">Herrnson, P. S., Hanmer, M. J. &amp; Niemi, R. G. (2012). The impact of ballot type on voter errors. </w:t>
      </w:r>
      <w:r>
        <w:rPr>
          <w:i/>
          <w:iCs/>
        </w:rPr>
        <w:t>AJPS</w:t>
      </w:r>
      <w:r>
        <w:t>, 56(3), 716–730.</w:t>
      </w:r>
    </w:p>
    <w:p w14:paraId="0D189B9A" w14:textId="77777777" w:rsidR="002E5BBE" w:rsidRDefault="00000000">
      <w:pPr>
        <w:pStyle w:val="Compact"/>
        <w:numPr>
          <w:ilvl w:val="0"/>
          <w:numId w:val="4"/>
        </w:numPr>
      </w:pPr>
      <w:r>
        <w:t xml:space="preserve">Alós-Ferrer, C. &amp; Granić, Đ. (2012). Two field experiments on approval voting in Germany. </w:t>
      </w:r>
      <w:r>
        <w:rPr>
          <w:i/>
          <w:iCs/>
        </w:rPr>
        <w:t>Social Choice and Welfare</w:t>
      </w:r>
      <w:r>
        <w:t>, 39(1), 171–205.</w:t>
      </w:r>
    </w:p>
    <w:p w14:paraId="041615AD" w14:textId="77777777" w:rsidR="002E5BBE" w:rsidRDefault="00000000">
      <w:pPr>
        <w:pStyle w:val="Compact"/>
        <w:numPr>
          <w:ilvl w:val="0"/>
          <w:numId w:val="4"/>
        </w:numPr>
      </w:pPr>
      <w:r>
        <w:t xml:space="preserve">Balinski, M. &amp; Laraki, R. (2011). </w:t>
      </w:r>
      <w:r>
        <w:rPr>
          <w:i/>
          <w:iCs/>
        </w:rPr>
        <w:t>Majority judgment</w:t>
      </w:r>
      <w:r>
        <w:t>. MIT Press.</w:t>
      </w:r>
    </w:p>
    <w:p w14:paraId="5E4A4033" w14:textId="77777777" w:rsidR="002E5BBE" w:rsidRDefault="00000000">
      <w:pPr>
        <w:pStyle w:val="Compact"/>
        <w:numPr>
          <w:ilvl w:val="0"/>
          <w:numId w:val="4"/>
        </w:numPr>
      </w:pPr>
      <w:r>
        <w:t xml:space="preserve">Baujard, A., Gavrel, F., Igersheim, H., Laslier, J.-F. &amp; Lebon, I. (2018). How voters use grade scales. </w:t>
      </w:r>
      <w:r>
        <w:rPr>
          <w:i/>
          <w:iCs/>
        </w:rPr>
        <w:t>EJPE</w:t>
      </w:r>
      <w:r>
        <w:t>, 55, 14–28.</w:t>
      </w:r>
    </w:p>
    <w:p w14:paraId="618DC0C3" w14:textId="77777777" w:rsidR="002E5BBE" w:rsidRDefault="00000000">
      <w:pPr>
        <w:pStyle w:val="Compact"/>
        <w:numPr>
          <w:ilvl w:val="0"/>
          <w:numId w:val="4"/>
        </w:numPr>
      </w:pPr>
      <w:r>
        <w:t xml:space="preserve">Blais, A., Plescia, C. &amp; Sevi, S. (2021). Do people want smarter ballots? </w:t>
      </w:r>
      <w:r>
        <w:rPr>
          <w:i/>
          <w:iCs/>
        </w:rPr>
        <w:t>Research &amp; Politics</w:t>
      </w:r>
      <w:r>
        <w:t>.</w:t>
      </w:r>
    </w:p>
    <w:p w14:paraId="1628E9AF" w14:textId="77777777" w:rsidR="002E5BBE" w:rsidRDefault="00000000">
      <w:pPr>
        <w:pStyle w:val="Heading3"/>
      </w:pPr>
      <w:bookmarkStart w:id="42" w:name="cross-national-and-comparative-studies"/>
      <w:bookmarkEnd w:id="41"/>
      <w:r>
        <w:t>Cross-National and Comparative Studies</w:t>
      </w:r>
    </w:p>
    <w:p w14:paraId="3A99A72E" w14:textId="77777777" w:rsidR="002E5BBE" w:rsidRDefault="00000000">
      <w:pPr>
        <w:pStyle w:val="Compact"/>
        <w:numPr>
          <w:ilvl w:val="0"/>
          <w:numId w:val="5"/>
        </w:numPr>
      </w:pPr>
      <w:r>
        <w:t xml:space="preserve">Martinez i Coma, F. &amp; Werner, A. (2019). Compulsory voting and ethnic diversity increase invalid voting. </w:t>
      </w:r>
      <w:r>
        <w:rPr>
          <w:i/>
          <w:iCs/>
        </w:rPr>
        <w:t>Democratization</w:t>
      </w:r>
      <w:r>
        <w:t>, 26(2), 288–310.</w:t>
      </w:r>
    </w:p>
    <w:p w14:paraId="33AF69ED" w14:textId="77777777" w:rsidR="002E5BBE" w:rsidRDefault="00000000">
      <w:pPr>
        <w:pStyle w:val="Compact"/>
        <w:numPr>
          <w:ilvl w:val="0"/>
          <w:numId w:val="5"/>
        </w:numPr>
      </w:pPr>
      <w:r>
        <w:t xml:space="preserve">Lysek, J., Lebeda, T. &amp; Kouba, K. (2020). Turning out but not voting. </w:t>
      </w:r>
      <w:r>
        <w:rPr>
          <w:i/>
          <w:iCs/>
        </w:rPr>
        <w:t>Comparative European Politics</w:t>
      </w:r>
      <w:r>
        <w:t>, 18(2), 190–214.</w:t>
      </w:r>
    </w:p>
    <w:p w14:paraId="6B7F773F" w14:textId="77777777" w:rsidR="002E5BBE" w:rsidRDefault="00000000">
      <w:pPr>
        <w:pStyle w:val="Compact"/>
        <w:numPr>
          <w:ilvl w:val="0"/>
          <w:numId w:val="5"/>
        </w:numPr>
      </w:pPr>
      <w:r>
        <w:t xml:space="preserve">Power, T. J. &amp; Garand, J. C. (2007). Determinants of invalid voting in Latin America. </w:t>
      </w:r>
      <w:r>
        <w:rPr>
          <w:i/>
          <w:iCs/>
        </w:rPr>
        <w:t>Electoral Studies</w:t>
      </w:r>
      <w:r>
        <w:t>, 26(2), 432–444.</w:t>
      </w:r>
    </w:p>
    <w:p w14:paraId="140E970A" w14:textId="77777777" w:rsidR="002E5BBE" w:rsidRDefault="00000000">
      <w:pPr>
        <w:pStyle w:val="Compact"/>
        <w:numPr>
          <w:ilvl w:val="0"/>
          <w:numId w:val="5"/>
        </w:numPr>
      </w:pPr>
      <w:r>
        <w:t xml:space="preserve">Power, T. J. &amp; Roberts, J. T. (1995). Compulsory voting, invalid ballots, and abstention in Brazil. </w:t>
      </w:r>
      <w:r>
        <w:rPr>
          <w:i/>
          <w:iCs/>
        </w:rPr>
        <w:t>PRQ</w:t>
      </w:r>
      <w:r>
        <w:t>, 48(4), 795–826.</w:t>
      </w:r>
    </w:p>
    <w:p w14:paraId="0EC5045F" w14:textId="77777777" w:rsidR="002E5BBE" w:rsidRDefault="00000000">
      <w:pPr>
        <w:pStyle w:val="Compact"/>
        <w:numPr>
          <w:ilvl w:val="0"/>
          <w:numId w:val="5"/>
        </w:numPr>
      </w:pPr>
      <w:r>
        <w:t xml:space="preserve">McAllister, I. &amp; Makkai, T. (1993). Institutions, society or protest? </w:t>
      </w:r>
      <w:r>
        <w:rPr>
          <w:i/>
          <w:iCs/>
        </w:rPr>
        <w:t>Electoral Studies</w:t>
      </w:r>
      <w:r>
        <w:t>, 12(1), 23–40.</w:t>
      </w:r>
    </w:p>
    <w:p w14:paraId="37456AA8" w14:textId="77777777" w:rsidR="002E5BBE" w:rsidRDefault="00000000">
      <w:pPr>
        <w:pStyle w:val="Compact"/>
        <w:numPr>
          <w:ilvl w:val="0"/>
          <w:numId w:val="5"/>
        </w:numPr>
      </w:pPr>
      <w:r>
        <w:lastRenderedPageBreak/>
        <w:t xml:space="preserve">Lublin, D. (2017). Electoral systems, ethnic diversity and party systems in developing democracies. </w:t>
      </w:r>
      <w:r>
        <w:rPr>
          <w:i/>
          <w:iCs/>
        </w:rPr>
        <w:t>Electoral Studies</w:t>
      </w:r>
      <w:r>
        <w:t>, 48, 178–186.</w:t>
      </w:r>
    </w:p>
    <w:p w14:paraId="7D198712" w14:textId="77777777" w:rsidR="002E5BBE" w:rsidRDefault="00000000">
      <w:pPr>
        <w:pStyle w:val="Compact"/>
        <w:numPr>
          <w:ilvl w:val="0"/>
          <w:numId w:val="5"/>
        </w:numPr>
      </w:pPr>
      <w:r>
        <w:t xml:space="preserve">Blais, A. &amp; Dobrzynska, A. (1998). Turnout in electoral democracies. </w:t>
      </w:r>
      <w:r>
        <w:rPr>
          <w:i/>
          <w:iCs/>
        </w:rPr>
        <w:t>EJPR</w:t>
      </w:r>
      <w:r>
        <w:t>, 33(2), 239–261.</w:t>
      </w:r>
    </w:p>
    <w:p w14:paraId="575FA7C9" w14:textId="77777777" w:rsidR="002E5BBE" w:rsidRDefault="00000000">
      <w:pPr>
        <w:pStyle w:val="Compact"/>
        <w:numPr>
          <w:ilvl w:val="0"/>
          <w:numId w:val="5"/>
        </w:numPr>
      </w:pPr>
      <w:r>
        <w:t xml:space="preserve">Cancela, J. &amp; Geys, B. (2016). What affects voter turnout? A review article/meta-analysis. </w:t>
      </w:r>
      <w:r>
        <w:rPr>
          <w:i/>
          <w:iCs/>
        </w:rPr>
        <w:t>Government and Opposition</w:t>
      </w:r>
      <w:r>
        <w:t>, 52(4), 698–722.</w:t>
      </w:r>
    </w:p>
    <w:p w14:paraId="0BB4B997" w14:textId="77777777" w:rsidR="002E5BBE" w:rsidRDefault="00000000">
      <w:pPr>
        <w:pStyle w:val="Heading3"/>
      </w:pPr>
      <w:bookmarkStart w:id="43" w:name="single-country-studies-of-invalid-voting"/>
      <w:bookmarkEnd w:id="42"/>
      <w:r>
        <w:t>Single-Country Studies of Invalid Voting</w:t>
      </w:r>
    </w:p>
    <w:p w14:paraId="2F409B17" w14:textId="77777777" w:rsidR="002E5BBE" w:rsidRDefault="00000000">
      <w:pPr>
        <w:pStyle w:val="Compact"/>
        <w:numPr>
          <w:ilvl w:val="0"/>
          <w:numId w:val="6"/>
        </w:numPr>
      </w:pPr>
      <w:r>
        <w:t xml:space="preserve">Fatke, M. &amp; Heinsohn, T. (2017). Invalid voting in German constituencies. </w:t>
      </w:r>
      <w:r>
        <w:rPr>
          <w:i/>
          <w:iCs/>
        </w:rPr>
        <w:t>German Politics</w:t>
      </w:r>
      <w:r>
        <w:t>, 26(2), 273–291.</w:t>
      </w:r>
    </w:p>
    <w:p w14:paraId="5C8A94E6" w14:textId="77777777" w:rsidR="002E5BBE" w:rsidRDefault="00000000">
      <w:pPr>
        <w:pStyle w:val="Compact"/>
        <w:numPr>
          <w:ilvl w:val="0"/>
          <w:numId w:val="6"/>
        </w:numPr>
      </w:pPr>
      <w:r>
        <w:t xml:space="preserve">Aldashev, G. &amp; Mastrobuoni, G. (2019). Invalid ballots and electoral competition. </w:t>
      </w:r>
      <w:r>
        <w:rPr>
          <w:i/>
          <w:iCs/>
        </w:rPr>
        <w:t>PSRM</w:t>
      </w:r>
      <w:r>
        <w:t>, 7(2), 289–310.</w:t>
      </w:r>
    </w:p>
    <w:p w14:paraId="4B7F29B3" w14:textId="77777777" w:rsidR="002E5BBE" w:rsidRDefault="00000000">
      <w:pPr>
        <w:pStyle w:val="Compact"/>
        <w:numPr>
          <w:ilvl w:val="0"/>
          <w:numId w:val="6"/>
        </w:numPr>
      </w:pPr>
      <w:r>
        <w:t xml:space="preserve">Arbache, G., Freire, D. &amp; Rodrigues, P. (2015). Lack of preferences, political trust and education. </w:t>
      </w:r>
      <w:r>
        <w:rPr>
          <w:i/>
          <w:iCs/>
        </w:rPr>
        <w:t>Encuentro Latinoamericano</w:t>
      </w:r>
      <w:r>
        <w:t>, 1(1), 29–50.</w:t>
      </w:r>
    </w:p>
    <w:p w14:paraId="686F9250" w14:textId="77777777" w:rsidR="002E5BBE" w:rsidRDefault="00000000">
      <w:pPr>
        <w:pStyle w:val="Compact"/>
        <w:numPr>
          <w:ilvl w:val="0"/>
          <w:numId w:val="6"/>
        </w:numPr>
      </w:pPr>
      <w:r>
        <w:t xml:space="preserve">Cohen, M. J. (2018). Protesting via the null ballot. </w:t>
      </w:r>
      <w:r>
        <w:rPr>
          <w:i/>
          <w:iCs/>
        </w:rPr>
        <w:t>Political Behavior</w:t>
      </w:r>
      <w:r>
        <w:t>, 40(2), 395–414.</w:t>
      </w:r>
    </w:p>
    <w:p w14:paraId="1B4D028C" w14:textId="77777777" w:rsidR="002E5BBE" w:rsidRDefault="00000000">
      <w:pPr>
        <w:pStyle w:val="Compact"/>
        <w:numPr>
          <w:ilvl w:val="0"/>
          <w:numId w:val="6"/>
        </w:numPr>
      </w:pPr>
      <w:r>
        <w:t xml:space="preserve">Carman, C., Mitchell, J. &amp; Johns, R. (2008). The unfortunate natural experiment in ballot design. </w:t>
      </w:r>
      <w:r>
        <w:rPr>
          <w:i/>
          <w:iCs/>
        </w:rPr>
        <w:t>Electoral Studies</w:t>
      </w:r>
      <w:r>
        <w:t>, 27(3), 442–459.</w:t>
      </w:r>
    </w:p>
    <w:p w14:paraId="74677585" w14:textId="77777777" w:rsidR="002E5BBE" w:rsidRDefault="00000000">
      <w:pPr>
        <w:pStyle w:val="Compact"/>
        <w:numPr>
          <w:ilvl w:val="0"/>
          <w:numId w:val="6"/>
        </w:numPr>
      </w:pPr>
      <w:r>
        <w:t xml:space="preserve">Lysek, J. &amp; Kouba, K. (2022). Unintended costs and unfulfilled promises of concurrent elections. </w:t>
      </w:r>
      <w:r>
        <w:rPr>
          <w:i/>
          <w:iCs/>
        </w:rPr>
        <w:t>EEPS</w:t>
      </w:r>
      <w:r>
        <w:t>, 36(3), 753–779.</w:t>
      </w:r>
    </w:p>
    <w:p w14:paraId="40146627" w14:textId="77777777" w:rsidR="002E5BBE" w:rsidRDefault="00000000">
      <w:pPr>
        <w:pStyle w:val="Compact"/>
        <w:numPr>
          <w:ilvl w:val="0"/>
          <w:numId w:val="6"/>
        </w:numPr>
      </w:pPr>
      <w:r>
        <w:t xml:space="preserve">Spáč, P. &amp; Zagrapan, J. (2025). Same rules, different importance. </w:t>
      </w:r>
      <w:r>
        <w:rPr>
          <w:i/>
          <w:iCs/>
        </w:rPr>
        <w:t>JEPOP</w:t>
      </w:r>
      <w:r>
        <w:t>.</w:t>
      </w:r>
    </w:p>
    <w:p w14:paraId="699FC327" w14:textId="77777777" w:rsidR="002E5BBE" w:rsidRDefault="00000000">
      <w:pPr>
        <w:pStyle w:val="Compact"/>
        <w:numPr>
          <w:ilvl w:val="0"/>
          <w:numId w:val="6"/>
        </w:numPr>
      </w:pPr>
      <w:r>
        <w:t xml:space="preserve">Castro, V., Martins, R. &amp; Sakurai, S. N. (2025). An empirical analysis of invalid voting in municipal elections. </w:t>
      </w:r>
      <w:r>
        <w:rPr>
          <w:i/>
          <w:iCs/>
        </w:rPr>
        <w:t>Kyklos</w:t>
      </w:r>
      <w:r>
        <w:t>, 78(2).</w:t>
      </w:r>
    </w:p>
    <w:p w14:paraId="310E98F8" w14:textId="77777777" w:rsidR="002E5BBE" w:rsidRDefault="00000000">
      <w:pPr>
        <w:pStyle w:val="Compact"/>
        <w:numPr>
          <w:ilvl w:val="0"/>
          <w:numId w:val="6"/>
        </w:numPr>
      </w:pPr>
      <w:r>
        <w:t xml:space="preserve">Aragon, F. M., Chong, A. &amp; Cozzubo, A. (2025). Electronic voting and invalid votes. </w:t>
      </w:r>
      <w:r>
        <w:rPr>
          <w:i/>
          <w:iCs/>
        </w:rPr>
        <w:t>Public Choice</w:t>
      </w:r>
      <w:r>
        <w:t>.</w:t>
      </w:r>
    </w:p>
    <w:p w14:paraId="180F27DB" w14:textId="77777777" w:rsidR="002E5BBE" w:rsidRDefault="00000000">
      <w:pPr>
        <w:pStyle w:val="Heading3"/>
      </w:pPr>
      <w:bookmarkStart w:id="44" w:name="X6ddb5ce001b968fd75cccd3dbaf3f5985d820d9"/>
      <w:bookmarkEnd w:id="43"/>
      <w:r>
        <w:t>Ballot Design, Layout, and Voting Technology</w:t>
      </w:r>
    </w:p>
    <w:p w14:paraId="1878B428" w14:textId="77777777" w:rsidR="002E5BBE" w:rsidRDefault="00000000">
      <w:pPr>
        <w:pStyle w:val="Compact"/>
        <w:numPr>
          <w:ilvl w:val="0"/>
          <w:numId w:val="7"/>
        </w:numPr>
      </w:pPr>
      <w:r>
        <w:t xml:space="preserve">Kimball, D. C. &amp; Kropf, M. (2005). Ballot design and unrecorded votes. </w:t>
      </w:r>
      <w:r>
        <w:rPr>
          <w:i/>
          <w:iCs/>
        </w:rPr>
        <w:t>POQ</w:t>
      </w:r>
      <w:r>
        <w:t>, 69(4), 508–529.</w:t>
      </w:r>
    </w:p>
    <w:p w14:paraId="69A433D4" w14:textId="77777777" w:rsidR="002E5BBE" w:rsidRDefault="00000000">
      <w:pPr>
        <w:pStyle w:val="Compact"/>
        <w:numPr>
          <w:ilvl w:val="0"/>
          <w:numId w:val="7"/>
        </w:numPr>
      </w:pPr>
      <w:r>
        <w:t xml:space="preserve">Pachón, M., Carroll, R. &amp; Barragán, H. (2017). Ballot design and invalid votes: Colombia. </w:t>
      </w:r>
      <w:r>
        <w:rPr>
          <w:i/>
          <w:iCs/>
        </w:rPr>
        <w:t>Electoral Studies</w:t>
      </w:r>
      <w:r>
        <w:t>, 48, 98–110.</w:t>
      </w:r>
    </w:p>
    <w:p w14:paraId="5B6528ED" w14:textId="77777777" w:rsidR="002E5BBE" w:rsidRDefault="00000000">
      <w:pPr>
        <w:pStyle w:val="Compact"/>
        <w:numPr>
          <w:ilvl w:val="0"/>
          <w:numId w:val="7"/>
        </w:numPr>
      </w:pPr>
      <w:r>
        <w:t xml:space="preserve">Wand, J. et al. (2001). The butterfly did it. </w:t>
      </w:r>
      <w:r>
        <w:rPr>
          <w:i/>
          <w:iCs/>
        </w:rPr>
        <w:t>APSR</w:t>
      </w:r>
      <w:r>
        <w:t>, 95(4), 793–810.</w:t>
      </w:r>
    </w:p>
    <w:p w14:paraId="52DFEEED" w14:textId="77777777" w:rsidR="002E5BBE" w:rsidRDefault="00000000">
      <w:pPr>
        <w:pStyle w:val="Compact"/>
        <w:numPr>
          <w:ilvl w:val="0"/>
          <w:numId w:val="7"/>
        </w:numPr>
      </w:pPr>
      <w:r>
        <w:t xml:space="preserve">Bullock, C. S. III &amp; Hood, M. V. III (2002). One person—no vote; one vote; two votes. </w:t>
      </w:r>
      <w:r>
        <w:rPr>
          <w:i/>
          <w:iCs/>
        </w:rPr>
        <w:t>SSQ</w:t>
      </w:r>
      <w:r>
        <w:t>, 83(4), 981–993.</w:t>
      </w:r>
    </w:p>
    <w:p w14:paraId="73DDEA56" w14:textId="77777777" w:rsidR="002E5BBE" w:rsidRDefault="00000000">
      <w:pPr>
        <w:pStyle w:val="Compact"/>
        <w:numPr>
          <w:ilvl w:val="0"/>
          <w:numId w:val="7"/>
        </w:numPr>
      </w:pPr>
      <w:r>
        <w:t xml:space="preserve">Shue, K. &amp; Luttmer, E. F. P. (2009). Who misvotes? </w:t>
      </w:r>
      <w:r>
        <w:rPr>
          <w:i/>
          <w:iCs/>
        </w:rPr>
        <w:t>AEJ: Economic Policy</w:t>
      </w:r>
      <w:r>
        <w:t>, 1(1), 229–257.</w:t>
      </w:r>
    </w:p>
    <w:p w14:paraId="2373E931" w14:textId="77777777" w:rsidR="002E5BBE" w:rsidRDefault="00000000">
      <w:pPr>
        <w:pStyle w:val="Compact"/>
        <w:numPr>
          <w:ilvl w:val="0"/>
          <w:numId w:val="7"/>
        </w:numPr>
      </w:pPr>
      <w:r>
        <w:t xml:space="preserve">Engstrom, E. J. &amp; Roberts, J. M. (2020). </w:t>
      </w:r>
      <w:r>
        <w:rPr>
          <w:i/>
          <w:iCs/>
        </w:rPr>
        <w:t>The Politics of Ballot Design</w:t>
      </w:r>
      <w:r>
        <w:t>. Cambridge University Press.</w:t>
      </w:r>
    </w:p>
    <w:p w14:paraId="30C5D1B2" w14:textId="77777777" w:rsidR="002E5BBE" w:rsidRDefault="00000000">
      <w:pPr>
        <w:pStyle w:val="Compact"/>
        <w:numPr>
          <w:ilvl w:val="0"/>
          <w:numId w:val="7"/>
        </w:numPr>
      </w:pPr>
      <w:r>
        <w:t xml:space="preserve">Engstrom, E. J. &amp; Roberts, J. M. (2016). The politics of ballot choice. </w:t>
      </w:r>
      <w:r>
        <w:rPr>
          <w:i/>
          <w:iCs/>
        </w:rPr>
        <w:t>Ohio State Law Journal</w:t>
      </w:r>
      <w:r>
        <w:t>, 77, 539.</w:t>
      </w:r>
    </w:p>
    <w:p w14:paraId="300A6BC9" w14:textId="77777777" w:rsidR="002E5BBE" w:rsidRDefault="00000000">
      <w:pPr>
        <w:pStyle w:val="Compact"/>
        <w:numPr>
          <w:ilvl w:val="0"/>
          <w:numId w:val="7"/>
        </w:numPr>
      </w:pPr>
      <w:r>
        <w:t xml:space="preserve">Ansolabehere, S. &amp; Stewart, C. III (2005). Residual votes attributable to technology. </w:t>
      </w:r>
      <w:r>
        <w:rPr>
          <w:i/>
          <w:iCs/>
        </w:rPr>
        <w:t>Journal of Politics</w:t>
      </w:r>
      <w:r>
        <w:t>, 67(2), 365–389.</w:t>
      </w:r>
    </w:p>
    <w:p w14:paraId="1AD5DADC" w14:textId="77777777" w:rsidR="002E5BBE" w:rsidRDefault="00000000">
      <w:pPr>
        <w:pStyle w:val="Heading3"/>
      </w:pPr>
      <w:bookmarkStart w:id="45" w:name="X33a24a94c0f14d7ab5dc6a90738cdd68cb0035f"/>
      <w:bookmarkEnd w:id="44"/>
      <w:r>
        <w:lastRenderedPageBreak/>
        <w:t>PR Complexity, Preference Voting, and Intra-Party Competition</w:t>
      </w:r>
    </w:p>
    <w:p w14:paraId="1939DF6C" w14:textId="77777777" w:rsidR="002E5BBE" w:rsidRDefault="00000000">
      <w:pPr>
        <w:pStyle w:val="Compact"/>
        <w:numPr>
          <w:ilvl w:val="0"/>
          <w:numId w:val="8"/>
        </w:numPr>
      </w:pPr>
      <w:r>
        <w:t xml:space="preserve">Flis, J. &amp; Kaminski, M. M. (2025). Faulty votes: The hidden cost of PR election complexity. </w:t>
      </w:r>
      <w:r>
        <w:rPr>
          <w:i/>
          <w:iCs/>
        </w:rPr>
        <w:t>PRQ</w:t>
      </w:r>
      <w:r>
        <w:t>, 78(4), 1459–1473.</w:t>
      </w:r>
    </w:p>
    <w:p w14:paraId="5C3D003C" w14:textId="77777777" w:rsidR="002E5BBE" w:rsidRDefault="00000000">
      <w:pPr>
        <w:pStyle w:val="Compact"/>
        <w:numPr>
          <w:ilvl w:val="0"/>
          <w:numId w:val="8"/>
        </w:numPr>
      </w:pPr>
      <w:r>
        <w:t xml:space="preserve">Cheibub, J. A. &amp; Sin, G. (2020). Preference vote and intra-party competition in open list PR. </w:t>
      </w:r>
      <w:r>
        <w:rPr>
          <w:i/>
          <w:iCs/>
        </w:rPr>
        <w:t>JTP</w:t>
      </w:r>
      <w:r>
        <w:t>, 32(1), 70–95.</w:t>
      </w:r>
    </w:p>
    <w:p w14:paraId="2B3EDB02" w14:textId="77777777" w:rsidR="002E5BBE" w:rsidRDefault="00000000">
      <w:pPr>
        <w:pStyle w:val="Compact"/>
        <w:numPr>
          <w:ilvl w:val="0"/>
          <w:numId w:val="8"/>
        </w:numPr>
      </w:pPr>
      <w:r>
        <w:t xml:space="preserve">Spadaro, R. (2018). Preferential votes and minority representation in open list PR. </w:t>
      </w:r>
      <w:r>
        <w:rPr>
          <w:i/>
          <w:iCs/>
        </w:rPr>
        <w:t>Social Choice and Welfare</w:t>
      </w:r>
      <w:r>
        <w:t>, 50, 611–633.</w:t>
      </w:r>
    </w:p>
    <w:p w14:paraId="2564B412" w14:textId="77777777" w:rsidR="002E5BBE" w:rsidRDefault="00000000">
      <w:pPr>
        <w:pStyle w:val="Compact"/>
        <w:numPr>
          <w:ilvl w:val="0"/>
          <w:numId w:val="8"/>
        </w:numPr>
      </w:pPr>
      <w:r>
        <w:t xml:space="preserve">Bergman, M. E., Shugart, M. S. &amp; Watt, K. A. (2013). Patterns of intra-party competition. </w:t>
      </w:r>
      <w:r>
        <w:rPr>
          <w:i/>
          <w:iCs/>
        </w:rPr>
        <w:t>Electoral Studies</w:t>
      </w:r>
      <w:r>
        <w:t>, 32, 321–333.</w:t>
      </w:r>
    </w:p>
    <w:p w14:paraId="235CCFF0" w14:textId="77777777" w:rsidR="002E5BBE" w:rsidRDefault="00000000">
      <w:pPr>
        <w:pStyle w:val="Compact"/>
        <w:numPr>
          <w:ilvl w:val="0"/>
          <w:numId w:val="8"/>
        </w:numPr>
      </w:pPr>
      <w:r>
        <w:t xml:space="preserve">Silva, P. C. &amp; Crisp, B. F. (2022). Ballot spoilage as a response to limitations on choice and influence. </w:t>
      </w:r>
      <w:r>
        <w:rPr>
          <w:i/>
          <w:iCs/>
        </w:rPr>
        <w:t>Party Politics</w:t>
      </w:r>
      <w:r>
        <w:t>, 28(2), 323–335.</w:t>
      </w:r>
    </w:p>
    <w:p w14:paraId="3AA1E2E9" w14:textId="77777777" w:rsidR="002E5BBE" w:rsidRDefault="00000000">
      <w:pPr>
        <w:pStyle w:val="Heading3"/>
      </w:pPr>
      <w:bookmarkStart w:id="46" w:name="preferential-ranked-choice-voting"/>
      <w:bookmarkEnd w:id="45"/>
      <w:r>
        <w:t>Preferential / Ranked-Choice Voting</w:t>
      </w:r>
    </w:p>
    <w:p w14:paraId="6F8ACB60" w14:textId="77777777" w:rsidR="002E5BBE" w:rsidRDefault="00000000">
      <w:pPr>
        <w:pStyle w:val="Compact"/>
        <w:numPr>
          <w:ilvl w:val="0"/>
          <w:numId w:val="9"/>
        </w:numPr>
      </w:pPr>
      <w:r>
        <w:t xml:space="preserve">Endersby, J. W. &amp; Towle, M. J. (2014). Making wasted votes count. </w:t>
      </w:r>
      <w:r>
        <w:rPr>
          <w:i/>
          <w:iCs/>
        </w:rPr>
        <w:t>Electoral Studies</w:t>
      </w:r>
      <w:r>
        <w:t>, 33, 144–152.</w:t>
      </w:r>
    </w:p>
    <w:p w14:paraId="3AA90DB3" w14:textId="77777777" w:rsidR="002E5BBE" w:rsidRDefault="00000000">
      <w:pPr>
        <w:pStyle w:val="Compact"/>
        <w:numPr>
          <w:ilvl w:val="0"/>
          <w:numId w:val="9"/>
        </w:numPr>
      </w:pPr>
      <w:r>
        <w:t xml:space="preserve">Burnett, C. M. &amp; Kogan, V. (2015). Ballot (and voter) “exhaustion” under instant runoff voting. </w:t>
      </w:r>
      <w:r>
        <w:rPr>
          <w:i/>
          <w:iCs/>
        </w:rPr>
        <w:t>Electoral Studies</w:t>
      </w:r>
      <w:r>
        <w:t>, 37, 41–49.</w:t>
      </w:r>
    </w:p>
    <w:p w14:paraId="027F4E31" w14:textId="77777777" w:rsidR="002E5BBE" w:rsidRDefault="00000000">
      <w:pPr>
        <w:pStyle w:val="Compact"/>
        <w:numPr>
          <w:ilvl w:val="0"/>
          <w:numId w:val="9"/>
        </w:numPr>
      </w:pPr>
      <w:r>
        <w:t xml:space="preserve">Santucci, J., Atkeson, L. R., McKown-Dawson, E. et al. (2025). Overvotes, overranks, and skips. </w:t>
      </w:r>
      <w:r>
        <w:rPr>
          <w:i/>
          <w:iCs/>
        </w:rPr>
        <w:t>Political Behavior</w:t>
      </w:r>
      <w:r>
        <w:t>.</w:t>
      </w:r>
    </w:p>
    <w:p w14:paraId="68E7702F" w14:textId="77777777" w:rsidR="002E5BBE" w:rsidRDefault="00000000">
      <w:pPr>
        <w:pStyle w:val="Compact"/>
        <w:numPr>
          <w:ilvl w:val="0"/>
          <w:numId w:val="9"/>
        </w:numPr>
      </w:pPr>
      <w:r>
        <w:t xml:space="preserve">Neely, F. &amp; Cook, C. (2008). Whose votes count? </w:t>
      </w:r>
      <w:r>
        <w:rPr>
          <w:i/>
          <w:iCs/>
        </w:rPr>
        <w:t>American Politics Research</w:t>
      </w:r>
      <w:r>
        <w:t>, 36(4), 530–554.</w:t>
      </w:r>
    </w:p>
    <w:p w14:paraId="11C7B8BC" w14:textId="77777777" w:rsidR="002E5BBE" w:rsidRDefault="00000000">
      <w:pPr>
        <w:pStyle w:val="Compact"/>
        <w:numPr>
          <w:ilvl w:val="0"/>
          <w:numId w:val="9"/>
        </w:numPr>
      </w:pPr>
      <w:r>
        <w:t xml:space="preserve">Donovan, T., Tolbert, C. &amp; Harper, S. (2022). Demographic differences in understanding RCV. </w:t>
      </w:r>
      <w:r>
        <w:rPr>
          <w:i/>
          <w:iCs/>
        </w:rPr>
        <w:t>SSQ</w:t>
      </w:r>
      <w:r>
        <w:t>, 103(7), 1539–1550.</w:t>
      </w:r>
    </w:p>
    <w:p w14:paraId="3606BFDE" w14:textId="77777777" w:rsidR="002E5BBE" w:rsidRDefault="00000000">
      <w:pPr>
        <w:pStyle w:val="Heading3"/>
      </w:pPr>
      <w:bookmarkStart w:id="47" w:name="ballot-position-and-primacy-effects"/>
      <w:bookmarkEnd w:id="46"/>
      <w:r>
        <w:t>Ballot Position and Primacy Effects</w:t>
      </w:r>
    </w:p>
    <w:p w14:paraId="3BFB6AA3" w14:textId="77777777" w:rsidR="002E5BBE" w:rsidRDefault="00000000">
      <w:pPr>
        <w:pStyle w:val="Compact"/>
        <w:numPr>
          <w:ilvl w:val="0"/>
          <w:numId w:val="10"/>
        </w:numPr>
      </w:pPr>
      <w:r>
        <w:t xml:space="preserve">Söderlund, P., von Schoultz, Å. &amp; Papageorgiou, A. (2021). Coping with complexity. </w:t>
      </w:r>
      <w:r>
        <w:rPr>
          <w:i/>
          <w:iCs/>
        </w:rPr>
        <w:t>Electoral Studies</w:t>
      </w:r>
      <w:r>
        <w:t>, 71, 102330.</w:t>
      </w:r>
    </w:p>
    <w:p w14:paraId="3736B187" w14:textId="77777777" w:rsidR="002E5BBE" w:rsidRDefault="00000000">
      <w:pPr>
        <w:pStyle w:val="Compact"/>
        <w:numPr>
          <w:ilvl w:val="0"/>
          <w:numId w:val="10"/>
        </w:numPr>
      </w:pPr>
      <w:r>
        <w:t xml:space="preserve">Faas, T. &amp; Schoen, H. (2006). The importance of being first. </w:t>
      </w:r>
      <w:r>
        <w:rPr>
          <w:i/>
          <w:iCs/>
        </w:rPr>
        <w:t>Electoral Studies</w:t>
      </w:r>
      <w:r>
        <w:t>, 25(1), 91–107.</w:t>
      </w:r>
    </w:p>
    <w:p w14:paraId="4845585E" w14:textId="77777777" w:rsidR="002E5BBE" w:rsidRDefault="00000000">
      <w:pPr>
        <w:pStyle w:val="Compact"/>
        <w:numPr>
          <w:ilvl w:val="0"/>
          <w:numId w:val="10"/>
        </w:numPr>
      </w:pPr>
      <w:r>
        <w:t xml:space="preserve">Lutz, G. (2010). First come, first served. </w:t>
      </w:r>
      <w:r>
        <w:rPr>
          <w:i/>
          <w:iCs/>
        </w:rPr>
        <w:t>Representation</w:t>
      </w:r>
      <w:r>
        <w:t>, 46(2), 167–181.</w:t>
      </w:r>
    </w:p>
    <w:p w14:paraId="275BDD33" w14:textId="77777777" w:rsidR="002E5BBE" w:rsidRDefault="00000000">
      <w:pPr>
        <w:pStyle w:val="Heading3"/>
      </w:pPr>
      <w:bookmarkStart w:id="48" w:name="X93a3d3d485e57f04babf3f69caeea719905bc71"/>
      <w:bookmarkEnd w:id="47"/>
      <w:r>
        <w:t>Representation and Measurement Frameworks</w:t>
      </w:r>
    </w:p>
    <w:p w14:paraId="0A41B935" w14:textId="77777777" w:rsidR="002E5BBE" w:rsidRDefault="00000000">
      <w:pPr>
        <w:pStyle w:val="Compact"/>
        <w:numPr>
          <w:ilvl w:val="0"/>
          <w:numId w:val="11"/>
        </w:numPr>
      </w:pPr>
      <w:r>
        <w:t xml:space="preserve">Wada, J. &amp; Kamahara, Y. (2024). A unified approach to measuring unequal representation. </w:t>
      </w:r>
      <w:r>
        <w:rPr>
          <w:i/>
          <w:iCs/>
        </w:rPr>
        <w:t>Public Choice</w:t>
      </w:r>
      <w:r>
        <w:t>, 201, 287–308.</w:t>
      </w:r>
    </w:p>
    <w:p w14:paraId="166AEB44" w14:textId="77777777" w:rsidR="002E5BBE" w:rsidRDefault="00000000">
      <w:pPr>
        <w:pStyle w:val="Compact"/>
        <w:numPr>
          <w:ilvl w:val="0"/>
          <w:numId w:val="11"/>
        </w:numPr>
      </w:pPr>
      <w:r>
        <w:t xml:space="preserve">Johnston, R. J., Rossiter, D. J. &amp; Pattie, C. J. (1999). An integrated perspective on partisan bias. </w:t>
      </w:r>
      <w:r>
        <w:rPr>
          <w:i/>
          <w:iCs/>
        </w:rPr>
        <w:t>Electoral Studies</w:t>
      </w:r>
      <w:r>
        <w:t>, 18(3), 367–388.</w:t>
      </w:r>
    </w:p>
    <w:p w14:paraId="1ED04E58" w14:textId="77777777" w:rsidR="002E5BBE" w:rsidRDefault="00000000">
      <w:pPr>
        <w:pStyle w:val="Compact"/>
        <w:numPr>
          <w:ilvl w:val="0"/>
          <w:numId w:val="11"/>
        </w:numPr>
      </w:pPr>
      <w:r>
        <w:t xml:space="preserve">Flis, J., Grofman, B. &amp; Kaminski, M. M. (2025). Mixed electoral systems: introduction. </w:t>
      </w:r>
      <w:r>
        <w:rPr>
          <w:i/>
          <w:iCs/>
        </w:rPr>
        <w:t>Public Choice</w:t>
      </w:r>
      <w:r>
        <w:t>, 204(1), 1–14.</w:t>
      </w:r>
    </w:p>
    <w:p w14:paraId="385A5A1D" w14:textId="77777777" w:rsidR="002E5BBE" w:rsidRDefault="00000000">
      <w:pPr>
        <w:pStyle w:val="Heading3"/>
      </w:pPr>
      <w:bookmarkStart w:id="49" w:name="Xb00ab973d20f333e6d146bd7c0d7ba0948e1333"/>
      <w:bookmarkEnd w:id="48"/>
      <w:r>
        <w:lastRenderedPageBreak/>
        <w:t>Minority Representation, Ballot Access, and Disparate Impact</w:t>
      </w:r>
    </w:p>
    <w:p w14:paraId="7D3FE3B2" w14:textId="77777777" w:rsidR="002E5BBE" w:rsidRDefault="00000000">
      <w:pPr>
        <w:pStyle w:val="Compact"/>
        <w:numPr>
          <w:ilvl w:val="0"/>
          <w:numId w:val="12"/>
        </w:numPr>
      </w:pPr>
      <w:r>
        <w:t xml:space="preserve">Tomz, M. &amp; Van Houweling, R. P. (2003). How does voting equipment affect the racial gap? </w:t>
      </w:r>
      <w:r>
        <w:rPr>
          <w:i/>
          <w:iCs/>
        </w:rPr>
        <w:t>AJPS</w:t>
      </w:r>
      <w:r>
        <w:t>, 47(1), 46–60.</w:t>
      </w:r>
    </w:p>
    <w:p w14:paraId="170F29B7" w14:textId="77777777" w:rsidR="002E5BBE" w:rsidRDefault="00000000">
      <w:pPr>
        <w:pStyle w:val="Compact"/>
        <w:numPr>
          <w:ilvl w:val="0"/>
          <w:numId w:val="12"/>
        </w:numPr>
      </w:pPr>
      <w:r>
        <w:t>McCarty, N. (2025). Racial and ethnic disparities in ballot exhaustion under RCV. Ash Center, Harvard.</w:t>
      </w:r>
    </w:p>
    <w:p w14:paraId="3BC0034F" w14:textId="77777777" w:rsidR="002E5BBE" w:rsidRDefault="00000000">
      <w:pPr>
        <w:pStyle w:val="Compact"/>
        <w:numPr>
          <w:ilvl w:val="0"/>
          <w:numId w:val="12"/>
        </w:numPr>
      </w:pPr>
      <w:r>
        <w:t xml:space="preserve">Moral, M. (2016). The passive-aggressive voter. </w:t>
      </w:r>
      <w:r>
        <w:rPr>
          <w:i/>
          <w:iCs/>
        </w:rPr>
        <w:t>PRQ</w:t>
      </w:r>
      <w:r>
        <w:t>, 69(4), 732–745.</w:t>
      </w:r>
    </w:p>
    <w:p w14:paraId="504BBF85" w14:textId="77777777" w:rsidR="002E5BBE" w:rsidRDefault="00000000">
      <w:pPr>
        <w:pStyle w:val="Compact"/>
        <w:numPr>
          <w:ilvl w:val="0"/>
          <w:numId w:val="12"/>
        </w:numPr>
      </w:pPr>
      <w:r>
        <w:rPr>
          <w:b/>
          <w:bCs/>
        </w:rPr>
        <w:t xml:space="preserve">Coll, J. A. (2023). Voter identification requirements, collective descriptive representation, and Black and Latino voter turnout. </w:t>
      </w:r>
      <w:r>
        <w:rPr>
          <w:b/>
          <w:bCs/>
          <w:i/>
          <w:iCs/>
        </w:rPr>
        <w:t>Politics, Groups, and Identities</w:t>
      </w:r>
      <w:r>
        <w:rPr>
          <w:b/>
          <w:bCs/>
        </w:rPr>
        <w:t>, 12(3), 505–536.</w:t>
      </w:r>
    </w:p>
    <w:p w14:paraId="04FF38A5" w14:textId="77777777" w:rsidR="002E5BBE" w:rsidRDefault="00000000">
      <w:pPr>
        <w:pStyle w:val="Compact"/>
        <w:numPr>
          <w:ilvl w:val="0"/>
          <w:numId w:val="12"/>
        </w:numPr>
      </w:pPr>
      <w:r>
        <w:rPr>
          <w:b/>
          <w:bCs/>
        </w:rPr>
        <w:t xml:space="preserve">Coll, J. A. &amp; Clark, C. J. (2024). A racial model of electoral reform: The relationship between restrictive voting policies and voter confidence for Black and white voters. </w:t>
      </w:r>
      <w:r>
        <w:rPr>
          <w:b/>
          <w:bCs/>
          <w:i/>
          <w:iCs/>
        </w:rPr>
        <w:t>Public Opinion Quarterly</w:t>
      </w:r>
      <w:r>
        <w:rPr>
          <w:b/>
          <w:bCs/>
        </w:rPr>
        <w:t>, 88(SI), 561–584.</w:t>
      </w:r>
    </w:p>
    <w:p w14:paraId="4E2CD7ED" w14:textId="77777777" w:rsidR="002E5BBE" w:rsidRDefault="00000000">
      <w:pPr>
        <w:pStyle w:val="Compact"/>
        <w:numPr>
          <w:ilvl w:val="0"/>
          <w:numId w:val="12"/>
        </w:numPr>
      </w:pPr>
      <w:r>
        <w:rPr>
          <w:b/>
          <w:bCs/>
        </w:rPr>
        <w:t xml:space="preserve">Coll, J. A., Maltby, E. &amp; Rocha, R. R. (2024). Race and democratic decline in the United States: How minority population growth affects election administration. </w:t>
      </w:r>
      <w:r>
        <w:rPr>
          <w:b/>
          <w:bCs/>
          <w:i/>
          <w:iCs/>
        </w:rPr>
        <w:t>Social Science Quarterly</w:t>
      </w:r>
      <w:r>
        <w:rPr>
          <w:b/>
          <w:bCs/>
        </w:rPr>
        <w:t>, 105(2), 160–179.</w:t>
      </w:r>
    </w:p>
    <w:p w14:paraId="29646B9A" w14:textId="77777777" w:rsidR="002E5BBE" w:rsidRDefault="00000000">
      <w:pPr>
        <w:pStyle w:val="Compact"/>
        <w:numPr>
          <w:ilvl w:val="0"/>
          <w:numId w:val="12"/>
        </w:numPr>
      </w:pPr>
      <w:r>
        <w:rPr>
          <w:b/>
          <w:bCs/>
        </w:rPr>
        <w:t xml:space="preserve">Coll, J. A., Torres, R. S. &amp; Tolbert, C. J. (2024). The unqualified voter: Racial animus in support for voter qualifications. </w:t>
      </w:r>
      <w:r>
        <w:rPr>
          <w:b/>
          <w:bCs/>
          <w:i/>
          <w:iCs/>
        </w:rPr>
        <w:t>Politics, Groups, and Identities</w:t>
      </w:r>
      <w:r>
        <w:rPr>
          <w:b/>
          <w:bCs/>
        </w:rPr>
        <w:t>. https://doi.org/10.1080/21565503.2024.2414116</w:t>
      </w:r>
    </w:p>
    <w:p w14:paraId="0C80B7E2" w14:textId="77777777" w:rsidR="002E5BBE" w:rsidRDefault="00000000">
      <w:pPr>
        <w:pStyle w:val="Compact"/>
        <w:numPr>
          <w:ilvl w:val="0"/>
          <w:numId w:val="12"/>
        </w:numPr>
      </w:pPr>
      <w:r>
        <w:rPr>
          <w:b/>
          <w:bCs/>
        </w:rPr>
        <w:t xml:space="preserve">Coll, J. A. &amp; Juelich, C. L. (2022). Electoral Double-Bind: How electoral environments affect racial and ethnic youth voting behavior. </w:t>
      </w:r>
      <w:r>
        <w:rPr>
          <w:b/>
          <w:bCs/>
          <w:i/>
          <w:iCs/>
        </w:rPr>
        <w:t>Journal of Race, Ethnicity, and Politics</w:t>
      </w:r>
      <w:r>
        <w:rPr>
          <w:b/>
          <w:bCs/>
        </w:rPr>
        <w:t>, 7(3).</w:t>
      </w:r>
    </w:p>
    <w:p w14:paraId="411B10C6" w14:textId="77777777" w:rsidR="002E5BBE" w:rsidRDefault="00000000">
      <w:pPr>
        <w:pStyle w:val="Heading3"/>
      </w:pPr>
      <w:bookmarkStart w:id="50" w:name="us-ballot-rejection-and-vote-by-mail"/>
      <w:bookmarkEnd w:id="49"/>
      <w:r>
        <w:t>US Ballot Rejection and Vote-by-Mail</w:t>
      </w:r>
    </w:p>
    <w:p w14:paraId="465F5432" w14:textId="77777777" w:rsidR="002E5BBE" w:rsidRDefault="00000000">
      <w:pPr>
        <w:pStyle w:val="Compact"/>
        <w:numPr>
          <w:ilvl w:val="0"/>
          <w:numId w:val="13"/>
        </w:numPr>
      </w:pPr>
      <w:r>
        <w:t xml:space="preserve">Cottrell, D., Herron, M. C. &amp; Smith, D. A. (2021). Vote-by-mail ballot rejection and experience. </w:t>
      </w:r>
      <w:r>
        <w:rPr>
          <w:i/>
          <w:iCs/>
        </w:rPr>
        <w:t>APR</w:t>
      </w:r>
      <w:r>
        <w:t>, 49(6), 577–590.</w:t>
      </w:r>
    </w:p>
    <w:p w14:paraId="522DDAF4" w14:textId="77777777" w:rsidR="002E5BBE" w:rsidRDefault="00000000">
      <w:pPr>
        <w:pStyle w:val="Compact"/>
        <w:numPr>
          <w:ilvl w:val="0"/>
          <w:numId w:val="13"/>
        </w:numPr>
      </w:pPr>
      <w:r>
        <w:t xml:space="preserve">Baringer, A., Herron, M. C. &amp; Smith, D. A. (2020). Voting by mail and ballot rejection. </w:t>
      </w:r>
      <w:r>
        <w:rPr>
          <w:i/>
          <w:iCs/>
        </w:rPr>
        <w:t>ELJ</w:t>
      </w:r>
      <w:r>
        <w:t>, 19(3), 289–320.</w:t>
      </w:r>
    </w:p>
    <w:p w14:paraId="4435A5D9" w14:textId="77777777" w:rsidR="002E5BBE" w:rsidRDefault="00000000">
      <w:pPr>
        <w:pStyle w:val="Compact"/>
        <w:numPr>
          <w:ilvl w:val="0"/>
          <w:numId w:val="13"/>
        </w:numPr>
      </w:pPr>
      <w:r>
        <w:t xml:space="preserve">Shino, E., Suttmann-Lea, M. &amp; Smith, D. A. (2022). Determinants of rejected mail ballots in Georgia. </w:t>
      </w:r>
      <w:r>
        <w:rPr>
          <w:i/>
          <w:iCs/>
        </w:rPr>
        <w:t>PRQ</w:t>
      </w:r>
      <w:r>
        <w:t>, 75(1), 231–243.</w:t>
      </w:r>
    </w:p>
    <w:p w14:paraId="59283C30" w14:textId="77777777" w:rsidR="002E5BBE" w:rsidRDefault="00000000">
      <w:pPr>
        <w:pStyle w:val="Compact"/>
        <w:numPr>
          <w:ilvl w:val="0"/>
          <w:numId w:val="13"/>
        </w:numPr>
      </w:pPr>
      <w:r>
        <w:t xml:space="preserve">Hopkins, D. J., Meredith, M., Chainani, A. &amp; Olin, N. (2022). Whose vote is lost by mail? </w:t>
      </w:r>
      <w:r>
        <w:rPr>
          <w:i/>
          <w:iCs/>
        </w:rPr>
        <w:t>ELJ</w:t>
      </w:r>
      <w:r>
        <w:t>, 21(3).</w:t>
      </w:r>
    </w:p>
    <w:p w14:paraId="7799ECC7" w14:textId="77777777" w:rsidR="002E5BBE" w:rsidRDefault="00000000">
      <w:pPr>
        <w:pStyle w:val="Compact"/>
        <w:numPr>
          <w:ilvl w:val="0"/>
          <w:numId w:val="13"/>
        </w:numPr>
      </w:pPr>
      <w:r>
        <w:t xml:space="preserve">Street, A. (2024). Errors and calibration in mail ballot signature rejections. </w:t>
      </w:r>
      <w:r>
        <w:rPr>
          <w:i/>
          <w:iCs/>
        </w:rPr>
        <w:t>APR</w:t>
      </w:r>
      <w:r>
        <w:t>.</w:t>
      </w:r>
    </w:p>
    <w:p w14:paraId="671D8B59" w14:textId="77777777" w:rsidR="002E5BBE" w:rsidRDefault="00000000">
      <w:pPr>
        <w:pStyle w:val="Compact"/>
        <w:numPr>
          <w:ilvl w:val="0"/>
          <w:numId w:val="13"/>
        </w:numPr>
      </w:pPr>
      <w:r>
        <w:t xml:space="preserve">Morse, M., Herron, M. C., Meredith, M., Smith, D. A. &amp; Martinez, M. (2025). Election administration harms and ballot design: Florida 2018. </w:t>
      </w:r>
      <w:r>
        <w:rPr>
          <w:i/>
          <w:iCs/>
        </w:rPr>
        <w:t>AJPS</w:t>
      </w:r>
      <w:r>
        <w:t>.</w:t>
      </w:r>
    </w:p>
    <w:p w14:paraId="7377B550" w14:textId="77777777" w:rsidR="002E5BBE" w:rsidRDefault="00000000">
      <w:pPr>
        <w:pStyle w:val="Compact"/>
        <w:numPr>
          <w:ilvl w:val="0"/>
          <w:numId w:val="13"/>
        </w:numPr>
      </w:pPr>
      <w:r>
        <w:t xml:space="preserve">Cottrell, D., F. Herron, M. Herron &amp; Smith, D. A. (2022). Auditing the 2020 Georgia election. </w:t>
      </w:r>
      <w:r>
        <w:rPr>
          <w:i/>
          <w:iCs/>
        </w:rPr>
        <w:t>ELJ</w:t>
      </w:r>
      <w:r>
        <w:t>, 21(1), 1–18.</w:t>
      </w:r>
    </w:p>
    <w:p w14:paraId="5273B20D" w14:textId="77777777" w:rsidR="002E5BBE" w:rsidRDefault="00000000">
      <w:pPr>
        <w:pStyle w:val="Compact"/>
        <w:numPr>
          <w:ilvl w:val="0"/>
          <w:numId w:val="13"/>
        </w:numPr>
      </w:pPr>
      <w:r>
        <w:t>Hill, C. &amp; Grumbach, J. (2020). 6 ways mail-in ballots are protected from fraud. UC Berkeley / The Conversation.</w:t>
      </w:r>
    </w:p>
    <w:p w14:paraId="3B827D75" w14:textId="77777777" w:rsidR="002E5BBE" w:rsidRDefault="00000000">
      <w:pPr>
        <w:pStyle w:val="Compact"/>
        <w:numPr>
          <w:ilvl w:val="0"/>
          <w:numId w:val="13"/>
        </w:numPr>
      </w:pPr>
      <w:r>
        <w:t xml:space="preserve">Barber, M. &amp; Holbein, J. B. (2020). Participatory and partisan impacts of mandatory vote-by-mail. </w:t>
      </w:r>
      <w:r>
        <w:rPr>
          <w:i/>
          <w:iCs/>
        </w:rPr>
        <w:t>Science Advances</w:t>
      </w:r>
      <w:r>
        <w:t>, 6(35).</w:t>
      </w:r>
    </w:p>
    <w:p w14:paraId="1813B817" w14:textId="77777777" w:rsidR="002E5BBE" w:rsidRDefault="00000000">
      <w:pPr>
        <w:pStyle w:val="Compact"/>
        <w:numPr>
          <w:ilvl w:val="0"/>
          <w:numId w:val="13"/>
        </w:numPr>
      </w:pPr>
      <w:r>
        <w:lastRenderedPageBreak/>
        <w:t xml:space="preserve">Bonica, A., Grumbach, J. M., Hill, C. &amp; Jefferson, H. (2021). All-mail voting in Colorado. </w:t>
      </w:r>
      <w:r>
        <w:rPr>
          <w:i/>
          <w:iCs/>
        </w:rPr>
        <w:t>Electoral Studies</w:t>
      </w:r>
      <w:r>
        <w:t>, 72, 102363.</w:t>
      </w:r>
    </w:p>
    <w:p w14:paraId="478A01E1" w14:textId="77777777" w:rsidR="002E5BBE" w:rsidRDefault="00000000">
      <w:pPr>
        <w:pStyle w:val="Heading3"/>
      </w:pPr>
      <w:bookmarkStart w:id="51" w:name="X38bfb049da7d13f4792ab7f281e52910b207a4f"/>
      <w:bookmarkEnd w:id="50"/>
      <w:r>
        <w:t>Turnout, Electoral Systems, and Participation</w:t>
      </w:r>
    </w:p>
    <w:p w14:paraId="1476DF12" w14:textId="77777777" w:rsidR="002E5BBE" w:rsidRDefault="00000000">
      <w:pPr>
        <w:pStyle w:val="Compact"/>
        <w:numPr>
          <w:ilvl w:val="0"/>
          <w:numId w:val="14"/>
        </w:numPr>
      </w:pPr>
      <w:r>
        <w:t xml:space="preserve">Berinsky, A. J. (2005). Perverse consequences of electoral reform. </w:t>
      </w:r>
      <w:r>
        <w:rPr>
          <w:i/>
          <w:iCs/>
        </w:rPr>
        <w:t>APR</w:t>
      </w:r>
      <w:r>
        <w:t>, 33(4), 471–491.</w:t>
      </w:r>
    </w:p>
    <w:p w14:paraId="2F587036" w14:textId="77777777" w:rsidR="002E5BBE" w:rsidRDefault="00000000">
      <w:pPr>
        <w:pStyle w:val="Compact"/>
        <w:numPr>
          <w:ilvl w:val="0"/>
          <w:numId w:val="14"/>
        </w:numPr>
      </w:pPr>
      <w:r>
        <w:t xml:space="preserve">Jarabinský, I., Oreský, J. &amp; Čech, P. (2025). D21 method: A path toward balanced elections? </w:t>
      </w:r>
      <w:r>
        <w:rPr>
          <w:i/>
          <w:iCs/>
        </w:rPr>
        <w:t>ELJ</w:t>
      </w:r>
      <w:r>
        <w:t>.</w:t>
      </w:r>
    </w:p>
    <w:p w14:paraId="6ED583B5" w14:textId="77777777" w:rsidR="002E5BBE" w:rsidRDefault="00000000">
      <w:pPr>
        <w:pStyle w:val="Compact"/>
        <w:numPr>
          <w:ilvl w:val="0"/>
          <w:numId w:val="14"/>
        </w:numPr>
      </w:pPr>
      <w:r>
        <w:t xml:space="preserve">Maeda, K. (2025). Voter disengagement and dissatisfaction under Japan’s mixed system. </w:t>
      </w:r>
      <w:r>
        <w:rPr>
          <w:i/>
          <w:iCs/>
        </w:rPr>
        <w:t>Public Choice</w:t>
      </w:r>
      <w:r>
        <w:t>, 204(1), 31–50.</w:t>
      </w:r>
    </w:p>
    <w:p w14:paraId="102AAA85" w14:textId="77777777" w:rsidR="002E5BBE" w:rsidRDefault="00000000">
      <w:pPr>
        <w:pStyle w:val="Compact"/>
        <w:numPr>
          <w:ilvl w:val="0"/>
          <w:numId w:val="14"/>
        </w:numPr>
      </w:pPr>
      <w:r>
        <w:t xml:space="preserve">Darmann, A., Grundner, J. &amp; Klamler, C. (2017). Election outcomes under different ways to announce preferences. </w:t>
      </w:r>
      <w:r>
        <w:rPr>
          <w:i/>
          <w:iCs/>
        </w:rPr>
        <w:t>Public Choice</w:t>
      </w:r>
      <w:r>
        <w:t>, 173(1), 201–216.</w:t>
      </w:r>
    </w:p>
    <w:p w14:paraId="4FDC7C38" w14:textId="77777777" w:rsidR="002E5BBE" w:rsidRDefault="00000000">
      <w:pPr>
        <w:pStyle w:val="Compact"/>
        <w:numPr>
          <w:ilvl w:val="0"/>
          <w:numId w:val="14"/>
        </w:numPr>
      </w:pPr>
      <w:r>
        <w:t xml:space="preserve">Lundell, K. &amp; Högström, J. (2021). Institutions or the societal setting? </w:t>
      </w:r>
      <w:r>
        <w:rPr>
          <w:i/>
          <w:iCs/>
        </w:rPr>
        <w:t>Scandinavian Political Studies</w:t>
      </w:r>
      <w:r>
        <w:t>, 44(3), 280–298.</w:t>
      </w:r>
    </w:p>
    <w:p w14:paraId="58964A42" w14:textId="77777777" w:rsidR="002E5BBE" w:rsidRDefault="00000000">
      <w:pPr>
        <w:pStyle w:val="Compact"/>
        <w:numPr>
          <w:ilvl w:val="0"/>
          <w:numId w:val="14"/>
        </w:numPr>
      </w:pPr>
      <w:r>
        <w:t xml:space="preserve">Folke, O., Persson, T. &amp; Rickne, J. (2016). The primary effect. </w:t>
      </w:r>
      <w:r>
        <w:rPr>
          <w:i/>
          <w:iCs/>
        </w:rPr>
        <w:t>APSR</w:t>
      </w:r>
      <w:r>
        <w:t>, 110(3), 559–578.</w:t>
      </w:r>
    </w:p>
    <w:p w14:paraId="18AB9E9F" w14:textId="77777777" w:rsidR="002E5BBE" w:rsidRDefault="004224A1">
      <w:r>
        <w:rPr>
          <w:noProof/>
        </w:rPr>
        <w:pict w14:anchorId="7BF0A00E">
          <v:rect id="_x0000_i1025" alt="" style="width:468pt;height:.05pt;mso-width-percent:0;mso-height-percent:0;mso-width-percent:0;mso-height-percent:0" o:hralign="center" o:hrstd="t" o:hr="t"/>
        </w:pict>
      </w:r>
    </w:p>
    <w:bookmarkEnd w:id="0"/>
    <w:bookmarkEnd w:id="39"/>
    <w:bookmarkEnd w:id="51"/>
    <w:p w14:paraId="0AF0E8AC" w14:textId="47F48FDB" w:rsidR="002E5BBE" w:rsidRDefault="002E5BBE">
      <w:pPr>
        <w:pStyle w:val="FirstParagraph"/>
      </w:pPr>
    </w:p>
    <w:sectPr w:rsidR="002E5BB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15E26D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4B01A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EFE64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19324746">
    <w:abstractNumId w:val="0"/>
  </w:num>
  <w:num w:numId="2" w16cid:durableId="5027424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58477739">
    <w:abstractNumId w:val="1"/>
  </w:num>
  <w:num w:numId="4" w16cid:durableId="372510382">
    <w:abstractNumId w:val="1"/>
  </w:num>
  <w:num w:numId="5" w16cid:durableId="1063144028">
    <w:abstractNumId w:val="1"/>
  </w:num>
  <w:num w:numId="6" w16cid:durableId="284820727">
    <w:abstractNumId w:val="1"/>
  </w:num>
  <w:num w:numId="7" w16cid:durableId="1902714236">
    <w:abstractNumId w:val="1"/>
  </w:num>
  <w:num w:numId="8" w16cid:durableId="1891381847">
    <w:abstractNumId w:val="1"/>
  </w:num>
  <w:num w:numId="9" w16cid:durableId="582225634">
    <w:abstractNumId w:val="1"/>
  </w:num>
  <w:num w:numId="10" w16cid:durableId="941110305">
    <w:abstractNumId w:val="1"/>
  </w:num>
  <w:num w:numId="11" w16cid:durableId="1370765870">
    <w:abstractNumId w:val="1"/>
  </w:num>
  <w:num w:numId="12" w16cid:durableId="696540217">
    <w:abstractNumId w:val="1"/>
  </w:num>
  <w:num w:numId="13" w16cid:durableId="1382442682">
    <w:abstractNumId w:val="1"/>
  </w:num>
  <w:num w:numId="14" w16cid:durableId="11631646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E5BBE"/>
    <w:rsid w:val="002E5BBE"/>
    <w:rsid w:val="004224A1"/>
    <w:rsid w:val="00905907"/>
    <w:rsid w:val="009318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DAE1F"/>
  <w15:docId w15:val="{5C58AA31-B48C-144C-94D7-90E75E75B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25</Pages>
  <Words>6788</Words>
  <Characters>38694</Characters>
  <Application>Microsoft Office Word</Application>
  <DocSecurity>0</DocSecurity>
  <Lines>322</Lines>
  <Paragraphs>90</Paragraphs>
  <ScaleCrop>false</ScaleCrop>
  <Company/>
  <LinksUpToDate>false</LinksUpToDate>
  <CharactersWithSpaces>45392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Michael Latner</cp:lastModifiedBy>
  <cp:revision>2</cp:revision>
  <dcterms:created xsi:type="dcterms:W3CDTF">2026-05-28T16:32:00Z</dcterms:created>
  <dcterms:modified xsi:type="dcterms:W3CDTF">2026-05-28T16:38:00Z</dcterms:modified>
</cp:coreProperties>
</file>