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34"/>
          <w:szCs w:val="34"/>
        </w:rPr>
        <w:t xml:space="preserve">At-Large Congressional Elections and Straight-Ticket Voting, 1889–1967</w:t>
      </w:r>
    </w:p>
    <w:p>
      <w:pPr>
        <w:pBdr>
          <w:bottom w:val="single" w:color="2E75B6" w:sz="6" w:space="4"/>
        </w:pBdr>
        <w:spacing w:after="240"/>
      </w:pPr>
      <w:r>
        <w:rPr>
          <w:i/>
          <w:iCs/>
          <w:color w:val="666666"/>
        </w:rPr>
        <w:t xml:space="preserve">Research summary</w:t>
      </w:r>
    </w:p>
    <w:p>
      <w:pPr>
        <w:pStyle w:val="Heading1"/>
      </w:pPr>
      <w:r>
        <w:t xml:space="preserve">The key distinction</w:t>
      </w:r>
    </w:p>
    <w:p>
      <w:pPr>
        <w:spacing w:after="120"/>
      </w:pPr>
      <w:r>
        <w:t xml:space="preserve">“Electing a congressional delegation statewide” has a strict and a loose meaning, and they produce different lists of states:</w:t>
      </w:r>
    </w:p>
    <w:p>
      <w:pPr>
        <w:pStyle w:val="ListParagraph"/>
        <w:numPr>
          <w:ilvl w:val="0"/>
          <w:numId w:val="2"/>
        </w:numPr>
      </w:pPr>
      <w:r>
        <w:rPr>
          <w:b/>
          <w:bCs/>
        </w:rPr>
        <w:t xml:space="preserve">Strict (entire delegation at-large / general ticket): </w:t>
      </w:r>
      <w:r>
        <w:t xml:space="preserve">a state with multiple House seats elected all of them statewide, usually because it declined to redistrict. This is rare.</w:t>
      </w:r>
    </w:p>
    <w:p>
      <w:pPr>
        <w:pStyle w:val="ListParagraph"/>
        <w:numPr>
          <w:ilvl w:val="0"/>
          <w:numId w:val="2"/>
        </w:numPr>
        <w:spacing w:after="120"/>
      </w:pPr>
      <w:r>
        <w:rPr>
          <w:b/>
          <w:bCs/>
        </w:rPr>
        <w:t xml:space="preserve">Loose (one at-large seat alongside districts): </w:t>
      </w:r>
      <w:r>
        <w:t xml:space="preserve">common; at the 1962 high-water mark this included Alabama, Connecticut, Hawaii, Maryland, Michigan, New Mexico, Ohio, and Texas, among others.</w:t>
      </w:r>
    </w:p>
    <w:p>
      <w:pPr>
        <w:pStyle w:val="Heading1"/>
      </w:pPr>
      <w:r>
        <w:t xml:space="preserve">States that elected their entire House delegation at-large</w:t>
      </w:r>
    </w:p>
    <w:p>
      <w:pPr>
        <w:spacing w:after="160"/>
      </w:pPr>
      <w:r>
        <w:t xml:space="preserve">The at-large data (which states elected entire delegations statewide, and in which years) is drawn from Guide to U.S. Elections (CQ Press); consult the congressional-elections volume of the edition you cite and confirm the at-large table’s pagination, which varies by edition. New Mexico and Hawaii were the only two states still using the general ticket when the 1967 Uniform Congressional District Act banned the practice. The straight-ticket characterizations in the final column are not from the Guide — they rest on the separate sources listed at the end of this document, and the entries marked as needing verification should be confirmed against each state’s election code or Rusk (1970) before citation.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Entire delegation at-large</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Straight-ticket option in that era?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North Dakota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1932–1960 (2 seats)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party-column straight-ticket option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Mexico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1942–1968 (2 seats)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straight-ticket through this period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Missouri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1932 (13 seats)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Kentucky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1932 (9 seats)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continuous, still in use today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Virginia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1932 (9 seats)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Generally yes (later abolished)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Minnesota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1932 (9 seats)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(later abolished)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Arizona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1942–1946 (2 seats)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Alabama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1962 (all 8 seats)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continuous, still in use today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Hawaii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1962–1967 (2 seats)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cleanly documented for this window</w:t>
            </w:r>
          </w:p>
        </w:tc>
      </w:tr>
    </w:tbl>
    <w:p>
      <w:pPr>
        <w:spacing w:after="120"/>
      </w:pPr>
      <w:r>
        <w:t xml:space="preserve"/>
      </w:r>
    </w:p>
    <w:p>
      <w:pPr>
        <w:pStyle w:val="Heading1"/>
      </w:pPr>
      <w:r>
        <w:t xml:space="preserve">Did parties allocate votes to chosen candidates?</w:t>
      </w:r>
    </w:p>
    <w:p>
      <w:pPr>
        <w:spacing w:after="120"/>
      </w:pPr>
      <w:r>
        <w:rPr>
          <w:b/>
          <w:bCs/>
        </w:rPr>
        <w:t xml:space="preserve">No. </w:t>
      </w:r>
      <w:r>
        <w:t xml:space="preserve">In none of these states did a voter choose only a party and then have the party allocate that vote to candidates of its own choosing. That mechanism — a closed party list or group voting ticket — has never been used for U.S. congressional elections. Three things were happening instead, none of which match that description:</w:t>
      </w:r>
    </w:p>
    <w:p>
      <w:pPr>
        <w:pStyle w:val="Heading2"/>
      </w:pPr>
      <w:r>
        <w:t xml:space="preserve">1. General-ticket / block-vote at-large elections</w:t>
      </w:r>
    </w:p>
    <w:p>
      <w:pPr>
        <w:spacing w:after="120"/>
      </w:pPr>
      <w:r>
        <w:t xml:space="preserve">Where a state elected several representatives statewide, each voter could vote for as many named candidates as there were seats. Each candidate appeared individually with their own vote total. In Ohio’s 1932 at-large election, the major-party candidates each had distinct tallies (Truax 1,206,631; Young 1,200,946; Bender 1,109,562; Palmer 1,102,567). The voter chose people, not a party allocation. The “sweep effect” — where a bare plurality wins every seat — is an aggregate outcome of individual candidate votes, not party distribution.</w:t>
      </w:r>
    </w:p>
    <w:p>
      <w:pPr>
        <w:pStyle w:val="Heading2"/>
      </w:pPr>
      <w:r>
        <w:t xml:space="preserve">2. New Mexico’s designated-post system</w:t>
      </w:r>
    </w:p>
    <w:p>
      <w:pPr>
        <w:spacing w:after="120"/>
      </w:pPr>
      <w:r>
        <w:t xml:space="preserve">New Mexico ran its two at-large seats as two separate head-to-head contests. In 1966, one seat was Morris vs. Cook and the other Walker vs. Davidson, each with its own vote total. The voter picked a named candidate for each post.</w:t>
      </w:r>
    </w:p>
    <w:p>
      <w:pPr>
        <w:pStyle w:val="Heading2"/>
      </w:pPr>
      <w:r>
        <w:t xml:space="preserve">3. The straight-ticket mark, layered on top</w:t>
      </w:r>
    </w:p>
    <w:p>
      <w:pPr>
        <w:spacing w:after="120"/>
      </w:pPr>
      <w:r>
        <w:t xml:space="preserve">Where a straight-ticket option existed, one mark cast one vote for each candidate that party had listed — transparently and with no party discretion: the mark mechanically attached the voter’s vote to specific, named, publicly known candidates, and the party chose its slate beforehand through nomination, never afterward through allocation. This did not mean the party’s candidates won or lost together. The option was one choice among others — many voters marked races individually or split their tickets — and each seat or post was tallied as its own contest. A party’s candidates therefore drew different totals and could diverge in outcome (one winning while another lost), as their separate vote counts in the at-large elections above show.</w:t>
      </w:r>
    </w:p>
    <w:p>
      <w:pPr>
        <w:pStyle w:val="Heading1"/>
      </w:pPr>
      <w:r>
        <w:t xml:space="preserve">A note on caveats</w:t>
      </w:r>
    </w:p>
    <w:p>
      <w:pPr>
        <w:spacing w:after="120"/>
      </w:pPr>
      <w:r>
        <w:t xml:space="preserve">The at-large data (years and seat counts) is solid and well-sourced. The straight-ticket column is necessarily looser: no single source gives a clean year-by-year national roster across all eight decades. Straight-ticket was the norm — a majority of states into the 1960s, and the large majority of pre-1960s ballots were straight-ticket — so the base rate of overlap is high, but confirming any individual state-year would require checking that state’s election code for that year. Hawaii is the one case here that cannot be confirmed.</w:t>
      </w:r>
    </w:p>
    <w:p>
      <w:r>
        <w:br w:type="page"/>
      </w:r>
    </w:p>
    <w:p>
      <w:pPr>
        <w:pBdr>
          <w:bottom w:val="single" w:color="2E75B6" w:sz="6" w:space="4"/>
        </w:pBdr>
        <w:spacing w:after="200" w:before="120"/>
      </w:pPr>
      <w:r>
        <w:rPr>
          <w:b/>
          <w:bCs/>
          <w:color w:val="1F4E79"/>
          <w:sz w:val="30"/>
          <w:szCs w:val="30"/>
        </w:rPr>
        <w:t xml:space="preserve">Part II — Would a State Party-List Ballot Be Unconstitutional?</w:t>
      </w:r>
    </w:p>
    <w:p>
      <w:pPr>
        <w:pStyle w:val="Heading1"/>
      </w:pPr>
      <w:r>
        <w:t xml:space="preserve">Two questions to keep separate</w:t>
      </w:r>
    </w:p>
    <w:p>
      <w:pPr>
        <w:spacing w:after="120"/>
      </w:pPr>
      <w:r>
        <w:t xml:space="preserve">The constitutional analysis turns on a distinction that is easy to blur. There are two questions, and the literature treats them very differently:</w:t>
      </w:r>
    </w:p>
    <w:p>
      <w:pPr>
        <w:pStyle w:val="ListParagraph"/>
        <w:numPr>
          <w:ilvl w:val="0"/>
          <w:numId w:val="2"/>
        </w:numPr>
      </w:pPr>
      <w:r>
        <w:rPr>
          <w:b/>
          <w:bCs/>
        </w:rPr>
        <w:t xml:space="preserve">The electoral system. </w:t>
      </w:r>
      <w:r>
        <w:t xml:space="preserve">May a state use multi-member or proportional methods rather than single-member districts? Here the supporting case is genuinely strong.</w:t>
      </w:r>
    </w:p>
    <w:p>
      <w:pPr>
        <w:pStyle w:val="ListParagraph"/>
        <w:numPr>
          <w:ilvl w:val="0"/>
          <w:numId w:val="2"/>
        </w:numPr>
        <w:spacing w:after="120"/>
      </w:pPr>
      <w:r>
        <w:rPr>
          <w:b/>
          <w:bCs/>
        </w:rPr>
        <w:t xml:space="preserve">Party control over candidate placement. </w:t>
      </w:r>
      <w:r>
        <w:t xml:space="preserve">May a party determine which individuals on a list are seated (a closed or flexible list), rather than voters choosing among named candidates (an open list / single transferable vote)? Here the constitutional doubt concentrates, and the literature is largely silent or cuts against it.</w:t>
      </w:r>
    </w:p>
    <w:p>
      <w:pPr>
        <w:spacing w:after="120"/>
      </w:pPr>
      <w:r>
        <w:rPr>
          <w:b/>
          <w:bCs/>
        </w:rPr>
        <w:t xml:space="preserve">A threshold point: </w:t>
      </w:r>
      <w:r>
        <w:t xml:space="preserve">party-list voting for the U.S. House is in any case barred today by statute — 2 U.S.C. §2c (the 1967 Uniform Congressional District Act) requires single-member districts. The constitutional question only becomes live if Congress repeals §2c, or if a litigant argues the Constitution itself forbids the practice regardless of statute. The Supreme Court has never squarely decided the latter, so what follows is plausible-argument analysis, not settled law.</w:t>
      </w:r>
    </w:p>
    <w:p>
      <w:pPr>
        <w:pStyle w:val="Heading1"/>
      </w:pPr>
      <w:r>
        <w:t xml:space="preserve">Arguments supporting constitutionality</w:t>
      </w:r>
    </w:p>
    <w:p>
      <w:pPr>
        <w:pStyle w:val="Heading2"/>
      </w:pPr>
      <w:r>
        <w:t xml:space="preserve">The Elections Clause “Manner” power is broad</w:t>
      </w:r>
    </w:p>
    <w:p>
      <w:pPr>
        <w:spacing w:after="120"/>
      </w:pPr>
      <w:r>
        <w:t xml:space="preserve">Article I, §4 gives states (and Congress) wide authority over the “Times, Places and Manner” of congressional elections. “Manner” has historically encompassed the method of election — district, at-large, general ticket, and block vote were all used in practice. The Constitution nowhere mandates single-member districts; that requirement is statutory (1842 and 1967). Scholarship makes this point directly: single-member districts are not constitutionally required.</w:t>
      </w:r>
    </w:p>
    <w:p>
      <w:pPr>
        <w:pStyle w:val="Heading2"/>
      </w:pPr>
      <w:r>
        <w:t xml:space="preserve">History tolerates non-district methods</w:t>
      </w:r>
    </w:p>
    <w:p>
      <w:pPr>
        <w:spacing w:after="120"/>
      </w:pPr>
      <w:r>
        <w:t xml:space="preserve">The general ticket and multi-member at-large systems — close cousins of list voting — were used from the founding era into the 20th century, and Congress seated those delegations even when they conflicted with the 1842 statute. A method that coexisted with the Constitution for roughly 175 years is difficult to characterize as inherently unconstitutional. Several states still use multi-member districts for their own legislatures.</w:t>
      </w:r>
    </w:p>
    <w:p>
      <w:pPr>
        <w:pStyle w:val="Heading2"/>
      </w:pPr>
      <w:r>
        <w:t xml:space="preserve">“By the People” can be read as an equal-weight command</w:t>
      </w:r>
    </w:p>
    <w:p>
      <w:pPr>
        <w:spacing w:after="120"/>
      </w:pPr>
      <w:r>
        <w:t xml:space="preserve">In Wesberry v. Sanders (1964), the Court read Article I, §2’s “chosen … by the People” as a guarantee of equal vote weight (one person, one vote) for apportionment purposes — not as a rule about ballot mechanics. On this reading, a vote cast for a party offering a slate is still a choice “by the People.” Justice Harlan’s dissent and later scholarship locate the phrase in the Great Compromise over population-based apportionment, not in any command about how voters select individuals. So Wesberry supports the system-level latitude — it does not, by its own terms, resolve the placement question either way.</w:t>
      </w:r>
    </w:p>
    <w:p>
      <w:pPr>
        <w:pStyle w:val="Heading2"/>
      </w:pPr>
      <w:r>
        <w:t xml:space="preserve">Party associational rights</w:t>
      </w:r>
    </w:p>
    <w:p>
      <w:pPr>
        <w:spacing w:after="120"/>
      </w:pPr>
      <w:r>
        <w:t xml:space="preserve">Cases such as California Democratic Party v. Jones and Tashjian recognize parties’ First Amendment interest in defining their candidate-selection processes — which a party could invoke in defense of a role in slate ordering, at least at the nomination stage.</w:t>
      </w:r>
    </w:p>
    <w:p>
      <w:pPr>
        <w:pStyle w:val="Heading1"/>
      </w:pPr>
      <w:r>
        <w:t xml:space="preserve">Arguments against constitutionality</w:t>
      </w:r>
    </w:p>
    <w:p>
      <w:pPr>
        <w:pStyle w:val="Heading2"/>
      </w:pPr>
      <w:r>
        <w:t xml:space="preserve">“Chosen by the People” presupposes choosing persons</w:t>
      </w:r>
    </w:p>
    <w:p>
      <w:pPr>
        <w:spacing w:after="120"/>
      </w:pPr>
      <w:r>
        <w:t xml:space="preserve">The strongest objection reads Article I, §2’s “chosen … by the People” as contemplating citizens selecting individual representatives, not selecting a party that then designates who is seated. Under a closed or party-ordered list, the voter never picks the person — the party’s ranking does. The argument is that this converts “chosen by the People” into “chosen by the party, ratified by the People.” This objection bites hardest precisely at party control over placement; it is weakest against open-list or single-transferable-vote designs, where voters still choose among named individuals.</w:t>
      </w:r>
    </w:p>
    <w:p>
      <w:pPr>
        <w:pStyle w:val="Heading2"/>
      </w:pPr>
      <w:r>
        <w:t xml:space="preserve">The direct people-to-representative link (Thornton)</w:t>
      </w:r>
    </w:p>
    <w:p>
      <w:pPr>
        <w:spacing w:after="120"/>
      </w:pPr>
      <w:r>
        <w:t xml:space="preserve">U.S. Term Limits v. Thornton (1995) emphasized a direct relationship between the people and their representatives and the people’s right to choose. A litigant could argue this presupposes an unmediated link between a voter and a named candidate — a link that party-controlled placement interposes the party into. Like the textual argument, this objection targets placement control specifically, not proportional methods as such.</w:t>
      </w:r>
    </w:p>
    <w:p>
      <w:pPr>
        <w:pStyle w:val="Heading2"/>
      </w:pPr>
      <w:r>
        <w:t xml:space="preserve">The state-delegation structure (defeats national lists)</w:t>
      </w:r>
    </w:p>
    <w:p>
      <w:pPr>
        <w:spacing w:after="120"/>
      </w:pPr>
      <w:r>
        <w:t xml:space="preserve">Representatives must be chosen “by the People of the several States,” so a national party list — allocating seats from a countrywide vote — is widely regarded as constitutionally doubtful because it severs the state-by-state structure. This objection is narrow but strong; it does not reach a list confined within a single state, which is why reform proposals keep all allocation inside states.</w:t>
      </w:r>
    </w:p>
    <w:p>
      <w:pPr>
        <w:pStyle w:val="Heading1"/>
      </w:pPr>
      <w:r>
        <w:t xml:space="preserve">Where this leaves the placement question</w:t>
      </w:r>
    </w:p>
    <w:p>
      <w:pPr>
        <w:spacing w:after="120"/>
      </w:pPr>
      <w:r>
        <w:t xml:space="preserve">The two strands do not point the same direction. The system-level latitude (multi-member or proportional methods at the state level) is well supported by the Elections Clause, by history, and by the equal-weight reading of Wesberry. But that support does not extend to party control over which individuals are seated: the literature does not establish that placement control is constitutional, and the live doubt — the “by the People” and Thornton arguments — clusters exactly there. This is why the systems reformers actually advance (the Fair Representation Act, FairVote’s model) favor open-list or single-transferable-vote designs that keep candidate selection with voters: those designs capture the proportional benefits while sidestepping the strongest constitutional objection. A closed, party-ordered list is the configuration most exposed to challenge.</w:t>
      </w:r>
    </w:p>
    <w:p>
      <w:r>
        <w:br w:type="page"/>
      </w:r>
    </w:p>
    <w:p>
      <w:pPr>
        <w:pBdr>
          <w:bottom w:val="single" w:color="2E75B6" w:sz="6" w:space="4"/>
        </w:pBdr>
        <w:spacing w:after="200" w:before="120"/>
      </w:pPr>
      <w:r>
        <w:rPr>
          <w:b/>
          <w:bCs/>
          <w:color w:val="1F4E79"/>
          <w:sz w:val="30"/>
          <w:szCs w:val="30"/>
        </w:rPr>
        <w:t xml:space="preserve">Part III — A Voter-Equality Argument for Permitting Open-List Proportional Elections</w:t>
      </w:r>
    </w:p>
    <w:p>
      <w:pPr>
        <w:spacing w:after="160"/>
      </w:pPr>
      <w:r>
        <w:rPr>
          <w:b/>
          <w:bCs/>
        </w:rPr>
        <w:t xml:space="preserve">The claim, in its defensible form: </w:t>
      </w:r>
      <w:r>
        <w:t xml:space="preserve">Nothing in the Constitution forbids a state or locality from adopting an open-list proportional system; and the principle animating one person, one vote — equal weight for every voter’s ballot — affirmatively favors such a system over single-member districts (SMDs), because SMDs uniquely make a ballot’s weight depend on the partisan geography of the voter’s district. The status quo (SMDs mandated by 2 U.S.C. §2c) is therefore a policy choice resting on values other than voter equality — and localities not bound by that statute may choose the system that better honors it.</w:t>
      </w:r>
    </w:p>
    <w:p>
      <w:pPr>
        <w:spacing w:after="160"/>
      </w:pPr>
      <w:r>
        <w:rPr>
          <w:b/>
          <w:bCs/>
        </w:rPr>
        <w:t xml:space="preserve">Note on register. </w:t>
      </w:r>
      <w:r>
        <w:t xml:space="preserve">The argument lives entirely in the voter-equality register, never the party-fairness register. This is deliberate. Claims that an electoral system is unfair to parties (vote share vs. seat share) are foreclosed in U.S. courts — there is no constitutional right to proportional representation (Mobile v. Bolden; Rucho v. Common Cause). The argument below concedes that ground completely and relies only on the equal treatment of individual voters, the one register in which equal-protection voting doctrine has 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8" w:val="clear"/>
            <w:tcMar>
              <w:top w:type="dxa" w:w="160"/>
              <w:left w:type="dxa" w:w="200"/>
              <w:bottom w:type="dxa" w:w="160"/>
              <w:right w:type="dxa" w:w="200"/>
            </w:tcMar>
          </w:tcPr>
          <w:p>
            <w:pPr>
              <w:spacing w:after="100"/>
            </w:pPr>
            <w:r>
              <w:rPr>
                <w:b/>
                <w:bCs/>
                <w:color w:val="1F4E79"/>
                <w:sz w:val="24"/>
                <w:szCs w:val="24"/>
              </w:rPr>
              <w:t xml:space="preserve">The formal result (van der Hout &amp; McGann 2009)</w:t>
            </w:r>
          </w:p>
          <w:p>
            <w:pPr>
              <w:spacing w:after="80"/>
            </w:pPr>
            <w:r>
              <w:t xml:space="preserve">For a single-vote seat-allocation rule, the authors define four properties:</w:t>
            </w:r>
          </w:p>
          <w:p>
            <w:pPr>
              <w:pStyle w:val="ListParagraph"/>
              <w:numPr>
                <w:ilvl w:val="0"/>
                <w:numId w:val="2"/>
              </w:numPr>
            </w:pPr>
            <w:r>
              <w:rPr>
                <w:b/>
                <w:bCs/>
              </w:rPr>
              <w:t xml:space="preserve">Anonymity — </w:t>
            </w:r>
            <w:r>
              <w:t xml:space="preserve">the rule does not treat voters differently based on who they are; no ballot counts for more than another. (This is the formal twin of one person, one vote.)</w:t>
            </w:r>
          </w:p>
          <w:p>
            <w:pPr>
              <w:pStyle w:val="ListParagraph"/>
              <w:numPr>
                <w:ilvl w:val="0"/>
                <w:numId w:val="2"/>
              </w:numPr>
            </w:pPr>
            <w:r>
              <w:rPr>
                <w:b/>
                <w:bCs/>
              </w:rPr>
              <w:t xml:space="preserve">Neutrality — </w:t>
            </w:r>
            <w:r>
              <w:t xml:space="preserve">the rule does not treat parties or lists differently based on their identity; if every A-voter and B-voter swapped, the seat totals would swap. (Party-blindness.)</w:t>
            </w:r>
          </w:p>
          <w:p>
            <w:pPr>
              <w:pStyle w:val="ListParagraph"/>
              <w:numPr>
                <w:ilvl w:val="0"/>
                <w:numId w:val="2"/>
              </w:numPr>
            </w:pPr>
            <w:r>
              <w:rPr>
                <w:b/>
                <w:bCs/>
              </w:rPr>
              <w:t xml:space="preserve">Non-negative / positive responsiveness — </w:t>
            </w:r>
            <w:r>
              <w:t xml:space="preserve">gaining votes cannot lose a list seats (and, in the strong form, must gain it seats).</w:t>
            </w:r>
          </w:p>
          <w:p>
            <w:pPr>
              <w:spacing w:before="80"/>
            </w:pPr>
            <w:r>
              <w:t xml:space="preserve">Applied to coalitions as well as parties, these yield (Propositions 1–4): any rule that is anonymous, neutral, and responsive produces a set of winning coalitions identical to pure proportional representation — and, decisively, cannot produce a “manufactured majority” (a coalition with a minority of votes holding a majority of seats). The result is proven for “pure PR” with infinitely divisible seats; real finite-seat systems can only approximate it.</w:t>
            </w:r>
          </w:p>
        </w:tc>
      </w:tr>
    </w:tbl>
    <w:p>
      <w:pPr>
        <w:spacing w:after="120"/>
      </w:pPr>
      <w:r>
        <w:t xml:space="preserve"/>
      </w:r>
    </w:p>
    <w:p>
      <w:pPr>
        <w:pStyle w:val="Heading1"/>
      </w:pPr>
      <w:r>
        <w:t xml:space="preserve">The argument in five steps</w:t>
      </w:r>
    </w:p>
    <w:p>
      <w:pPr>
        <w:pStyle w:val="Heading2"/>
      </w:pPr>
      <w:r>
        <w:t xml:space="preserve">1. Relocate the equality claim from parties to voters</w:t>
      </w:r>
    </w:p>
    <w:p>
      <w:pPr>
        <w:spacing w:after="120"/>
      </w:pPr>
      <w:r>
        <w:t xml:space="preserve">The theorem does not run on party fairness. SMD plurality is neutral — it is party-blind, and swapping every party’s voters would swap the seats. What SMD violates is anonymity: voter equality. The authors state this directly — SMD violates “the liberal political equality of voters, not of parties”; the axiom that fails is anonymity, not neutrality. This lets the whole argument be reframed as a voter-rights claim, the only register where U.S. equal-protection voting doctrine has teeth.</w:t>
      </w:r>
    </w:p>
    <w:p>
      <w:pPr>
        <w:pStyle w:val="Heading2"/>
      </w:pPr>
      <w:r>
        <w:t xml:space="preserve">2. Identify the precise defect</w:t>
      </w:r>
    </w:p>
    <w:p>
      <w:pPr>
        <w:spacing w:after="120"/>
      </w:pPr>
      <w:r>
        <w:t xml:space="preserve">Under SMD, two citizens casting identical ballots for the same party receive systematically unequal effective weight depending on the partisan composition of their districts: the voter in a 60–40 district and the voter in a 49–51 district are treated differently as voters — not because of who they are, but because of where the lines fall. Formally this is the anonymity violation, and its proven consequence is that SMD systems can produce manufactured majorities, which an anonymous and neutral system mathematically cannot. This is not a complaint about small parties; it is a complaint that two voters’ ballots count unequally — the one-person-one-vote register.</w:t>
      </w:r>
    </w:p>
    <w:p>
      <w:pPr>
        <w:pStyle w:val="Heading2"/>
      </w:pPr>
      <w:r>
        <w:t xml:space="preserve">3. Connect to one person, one vote — carefully</w:t>
      </w:r>
    </w:p>
    <w:p>
      <w:pPr>
        <w:spacing w:after="120"/>
      </w:pPr>
      <w:r>
        <w:t xml:space="preserve">Reynolds v. Sims and Wesberry v. Sanders ground one person, one vote in the equal weight of each voter’s ballot. The Court has so far operationalized that as equal district population — a thin proxy. The theorem supplies the rigorous, fully general version of the same value: equal weight means anonymity, and anonymity, applied to seat allocation, forbids manufactured majorities. The argument is that the Court’s population proxy is under-inclusive relative to its own stated principle, and that a system honoring the principle fully is at minimum constitutionally permissible and arguably preferable. (Caveat, addressed below: the theorem’s anonymity is a cousin of constitutional OPOV, not an identical twin — so this step is a normative claim about what the equality principle is best read to require, not a descriptive claim that doctrine already requires it.)</w:t>
      </w:r>
    </w:p>
    <w:p>
      <w:pPr>
        <w:pStyle w:val="Heading2"/>
      </w:pPr>
      <w:r>
        <w:t xml:space="preserve">4. Defang Rucho</w:t>
      </w:r>
    </w:p>
    <w:p>
      <w:pPr>
        <w:spacing w:after="120"/>
      </w:pPr>
      <w:r>
        <w:t xml:space="preserve">Rucho v. Common Cause (2019) held partisan-gerrymandering claims nonjusticiable for want of a manageable standard, framing the injury as party-level disproportionality. Two answers. First, the “no manageable standard” rationale is, as the dissent showed, mathematically untrue, and the anonymity / no-manufactured-majority criterion is a bright-line, binary test — did a minority-vote coalition take a majority of seats? — not the contestable “how much advantage is too much” line the majority actually objected to. Second, and more important, Rucho’s justiciability holding is a reason courts will not compel a remedy; it is no barrier to a locality adopting a system that prevents the injury by design. Rucho closes the courthouse door, not the statehouse door — and this project walks through the statehouse door.</w:t>
      </w:r>
    </w:p>
    <w:p>
      <w:pPr>
        <w:pStyle w:val="Heading2"/>
      </w:pPr>
      <w:r>
        <w:t xml:space="preserve">5. Land on permission, with the equality principle as tailwind</w:t>
      </w:r>
    </w:p>
    <w:p>
      <w:pPr>
        <w:spacing w:after="120"/>
      </w:pPr>
      <w:r>
        <w:t xml:space="preserve">A locality may adopt open-list PR: the Elections Clause and state control over the “Manner” of elections, confirmed by Timmons and Burdick (the ballot is the state’s to design), supply the authority. And when it does, it is not adopting a suspect party-favoring scheme — it is choosing the single-vote system that most fully respects voter anonymity, the very value one person, one vote exists to protect. That reframing is the strongest available answer both to a Timmons-style state-interest challenge (no “voter confusion” or “stability” rationale outweighs a system grounded in voter equality itself) and to any equal-protection attack from opponents (the system increases voter equality rather than diminishing it).</w:t>
      </w:r>
    </w:p>
    <w:p>
      <w:pPr>
        <w:pStyle w:val="Heading1"/>
      </w:pPr>
      <w:r>
        <w:t xml:space="preserve">What the argument does not claim</w:t>
      </w:r>
    </w:p>
    <w:p>
      <w:pPr>
        <w:spacing w:after="120"/>
      </w:pPr>
      <w:r>
        <w:t xml:space="preserve">Its restraint is its strength. It does not claim a judicially enforceable right to PR; it does not claim SMDs are presently unconstitutional; and it does not rely on the contested full-proportionality step of the theorem — only on the clean no-manufactured-majority result, which follows from anonymity and neutrality via the cancellation lemma. It stays in the voter-equality register throughout, never the party-fairness register where Rucho and Bolden wait. By asking only for permission plus a normative tailwind, it prevails on the same doctrines (Timmons, Burdick, the Elections Clause) that would defeat a more ambitious rights claim.</w:t>
      </w:r>
    </w:p>
    <w:p>
      <w:pPr>
        <w:pStyle w:val="Heading1"/>
      </w:pPr>
      <w:r>
        <w:t xml:space="preserve">Limits and anticipated rebuttals</w:t>
      </w:r>
    </w:p>
    <w:p>
      <w:pPr>
        <w:pStyle w:val="ListParagraph"/>
        <w:numPr>
          <w:ilvl w:val="0"/>
          <w:numId w:val="2"/>
        </w:numPr>
      </w:pPr>
      <w:r>
        <w:rPr>
          <w:b/>
          <w:bCs/>
        </w:rPr>
        <w:t xml:space="preserve">Anonymity is a cousin, not a twin, of OPOV. </w:t>
      </w:r>
      <w:r>
        <w:t xml:space="preserve">The theorem’s anonymity is violated because a voter’s weight depends on her district’s opinion distribution (the wasted-vote/efficacy problem). Constitutional OPOV has so far been satisfied by equal district population and treats wasted votes as outside its scope (Rucho confirms the Court will not police efficacy). So the theorem proves SMD violates the authors’ anonymity, not that it violates constitutional OPOV. The step from one to the other is normative — the claim that anonymity is the better reading of the equality principle OPOV gestures at — and must be argued as such.</w:t>
      </w:r>
    </w:p>
    <w:p>
      <w:pPr>
        <w:pStyle w:val="ListParagraph"/>
        <w:numPr>
          <w:ilvl w:val="0"/>
          <w:numId w:val="2"/>
        </w:numPr>
      </w:pPr>
      <w:r>
        <w:rPr>
          <w:b/>
          <w:bCs/>
        </w:rPr>
        <w:t xml:space="preserve">The result is an idealization. </w:t>
      </w:r>
      <w:r>
        <w:t xml:space="preserve">It is proven for pure PR with infinitely divisible seats; the authors concede every finite-seat system can be made non-proportional with enough tiny parties. One cannot claim a real local election achieves the equality — only that it approximates the unique ideal and that SMDs depart from it systematically and predictably, which is the constitutionally suspect part.</w:t>
      </w:r>
    </w:p>
    <w:p>
      <w:pPr>
        <w:pStyle w:val="ListParagraph"/>
        <w:numPr>
          <w:ilvl w:val="0"/>
          <w:numId w:val="2"/>
        </w:numPr>
        <w:spacing w:after="120"/>
      </w:pPr>
      <w:r>
        <w:rPr>
          <w:b/>
          <w:bCs/>
        </w:rPr>
        <w:t xml:space="preserve">The circularity critique. </w:t>
      </w:r>
      <w:r>
        <w:t xml:space="preserve">Wintein &amp; Heilmann (2022) argue the liberal axioms presuppose a further axiom (Independence of Vote Realization) that essentially only PR satisfies, making the proof close to question-begging. The response is to disclose the critique and confine reliance to the part it does not touch: the no-manufactured-majority result (Proposition 3) flows from anonymity, neutrality, and non-negative responsiveness via the cancellation lemma (Lemma 1), a clean step the critique does not reach. Lean on “no manufactured majority,” not on “full proportionality.”</w:t>
      </w:r>
    </w:p>
    <w:p>
      <w:pPr>
        <w:pBdr>
          <w:top w:val="single" w:color="CCCCCC" w:sz="4" w:space="6"/>
        </w:pBdr>
        <w:spacing w:before="240"/>
      </w:pPr>
      <w:r>
        <w:rPr>
          <w:i/>
          <w:iCs/>
          <w:color w:val="666666"/>
          <w:sz w:val="18"/>
          <w:szCs w:val="18"/>
        </w:rPr>
        <w:t xml:space="preserve">These are litigation and theoretical arguments, not predictions of outcome, and do not constitute legal advice. Key legal sources: U.S. Const. art. I, §§2, 4; Wesberry v. Sanders, 376 U.S. 1 (1964); Reynolds v. Sims, 377 U.S. 533 (1964); U.S. Term Limits v. Thornton, 514 U.S. 779 (1995); Burdick v. Takushi, 504 U.S. 428 (1992); Timmons v. Twin Cities Area New Party, 520 U.S. 351 (1997); California Democratic Party v. Jones, 530 U.S. 567 (2000); City of Mobile v. Bolden, 446 U.S. 55 (1980); Rucho v. Common Cause, 588 U.S. ___ (2019); 2 U.S.C. §2c. Theoretical sources: E. van der Hout &amp; A. McGann, “Liberal Political Equality Implies Proportional Representation,” 33 Social Choice &amp; Welfare 617 (2009); S. Wintein &amp; C. Heilmann, “Liberal Political Equality Does Not Imply Proportional Representation,” 59 Social Choice &amp; Welfare 63 (2022); K. May, 20 Econometrica 680 (1952). At-large data: Guide to U.S. Elections, 6th ed. (Washington, DC: CQ Press, 2010), congressional-elections volume (verify edition and pagination); 1967 Uniform Congressional District Act, Pub. L. No. 90-196, 81 Stat. 581 (codified at 2 U.S.C. §2c). Straight-ticket data: J. Rusk, “The Effect of the Australian Ballot Reform on Split Ticket Voting: 1876–1908,” 64 American Political Science Review 1220 (1970) (historical state-by-state availability); MIT Election Data and Science Lab and Ballotpedia (current straight-ticket states); for individual states, the operative state election code for the relevant year.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2026-06-12T15:50:49.406Z</dcterms:created>
  <dcterms:modified xsi:type="dcterms:W3CDTF">2026-06-12T15:50:49.420Z</dcterms:modified>
</cp:coreProperties>
</file>

<file path=docProps/custom.xml><?xml version="1.0" encoding="utf-8"?>
<Properties xmlns="http://schemas.openxmlformats.org/officeDocument/2006/custom-properties" xmlns:vt="http://schemas.openxmlformats.org/officeDocument/2006/docPropsVTypes"/>
</file>