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Baby Names in France (1900–2020)</w:t>
      </w:r>
    </w:p>
    <w:p>
      <w:pPr>
        <w:jc w:val="center"/>
      </w:pPr>
      <w:r>
        <w:rPr>
          <w:i/>
          <w:sz w:val="26"/>
        </w:rPr>
        <w:t>Final Visualizations — Presentation &amp; Rationale</w:t>
      </w:r>
    </w:p>
    <w:p>
      <w:r>
        <w:t>We implemented three interactive visualizations in Altair (Vega-Lite), one per set of questions. Each is a self-contained HTML file with a slider, tooltips and linked views. Popularity is measured as a share of births so that years, regions and sexes are comparable. Below, each visualization is presented with a snapshot and an explanation of why it is appropriate and effective for its target questions. (Screenshots here are static; the live files reveal the full interaction — we recommend a short screen-capture clip per visualization showing the slider being dragged.)</w:t>
      </w:r>
    </w:p>
    <w:p>
      <w:r>
        <w:rPr>
          <w:b/>
          <w:color w:val="1F4E79"/>
          <w:sz w:val="30"/>
        </w:rPr>
        <w:t>Visualization 1 — Evolution over time</w:t>
      </w:r>
    </w:p>
    <w:p>
      <w:r>
        <w:t>Target questions: which names stay consistently (un)popular, which are suddenly or briefly popular, and are there temporal trends?</w:t>
      </w:r>
    </w:p>
    <w:p>
      <w:r>
        <w:rPr>
          <w:b/>
          <w:color w:val="2E75B6"/>
          <w:sz w:val="23"/>
        </w:rPr>
        <w:t>What it shows</w:t>
      </w:r>
    </w:p>
    <w:p>
      <w:r>
        <w:t>An animated bubble cloud. Each bubble is a name in the selected year: the X-axis is the name's peak year, the Y-axis is its longevity (the number of years it stayed in the national Top 100), and bubble area is the number of births that year, on a fixed scale so sizes stay comparable from one year to the next, and each bubble is coloured on a blue→rose diverging scale by the share of girls among that name's births in the displayed year. Each name is a single bubble (the few unisex names like Camille or Dominique are pooled), and because the colour tracks the displayed year it shifts as the slider moves: a name that changed sex over time visibly slides from blue to rose, while a genuinely mixed name sits at a muted midpoint. The year selector is the X-axis itself: a handle slides along the time axis (or the ▶ button plays the years in sequence), while the giant year label and the moving, growing bubbles make the evolution tangible and a dashed ghost ring recalls each bubble's size the year before. Two filters sharpen the reading — a “Top n” slider (1–100) thins the cloud from the headline names down to the long tail, and a “Follow a name” box highlights one name, fading the rest and drawing its full 1900–2020 births curve above the chart.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viz1_bulles_preview.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Consistent vs brief popularity is read directly off the vertical axis: long-lived classics sit high (e.g. Marie), short-lived fads sit low — answering the core question by position.</w:t>
      </w:r>
    </w:p>
    <w:p>
      <w:pPr>
        <w:pStyle w:val="ListBullet"/>
      </w:pPr>
      <w:r>
        <w:t>Following a name draws its births curve over the whole century, so the shape settles the question at a glance: a broad plateau is an enduring favourite, a single narrow spike a passing fad (e.g. Brigitte around 1960, Kevin around 1990).</w:t>
      </w:r>
    </w:p>
    <w:p>
      <w:pPr>
        <w:pStyle w:val="ListBullet"/>
      </w:pPr>
      <w:r>
        <w:t>Temporal trends emerge from scrubbing: the cloud drifts rightward over the century and names are replaced faster in recent decades, making accelerating turnover visible.</w:t>
      </w:r>
    </w:p>
    <w:p>
      <w:pPr>
        <w:pStyle w:val="ListBullet"/>
      </w:pPr>
      <w:r>
        <w:t>Colour encodes the share of girls among the name's births in the displayed year on a blue→rose diverging scale, so mixed names read as muted and names that changed sex over time (Camille, Dominique) visibly shift hue as the slider advances — a fourth, time-varying variable at no interaction cost.</w:t>
      </w:r>
    </w:p>
    <w:p>
      <w:pPr>
        <w:pStyle w:val="ListBullet"/>
      </w:pPr>
      <w:r>
        <w:t>Sudden popularity is shown by a bubble that appears and inflates rapidly as the slider advances, while its low longevity keeps it near the bottom.</w:t>
      </w:r>
    </w:p>
    <w:p>
      <w:pPr>
        <w:pStyle w:val="ListBullet"/>
      </w:pPr>
      <w:r>
        <w:t>The “Top n” filter controls clutter: a low n isolates the dominant names, a high n exposes the churn of the long tail while keeping the overall structure.</w:t>
      </w:r>
    </w:p>
    <w:p>
      <w:pPr>
        <w:pStyle w:val="ListBullet"/>
      </w:pPr>
      <w:r>
        <w:t>Dense years stay legible thanks to a light collision layout: bubbles nudge apart instead of piling into an unreadable clump, while staying anchored to their true peak-year and longevity and kept slightly translucent so buried bubbles still show through.</w:t>
      </w:r>
    </w:p>
    <w:p>
      <w:pPr>
        <w:pStyle w:val="ListBullet"/>
      </w:pPr>
      <w:r>
        <w:t>Hover tooltips give the exact name, the year's girl/boy share, births, rank within the year, peak year and longevity for detail on demand.</w:t>
      </w:r>
    </w:p>
    <w:p>
      <w:r>
        <w:rPr>
          <w:b/>
          <w:color w:val="2E75B6"/>
          <w:sz w:val="23"/>
        </w:rPr>
        <w:t>Key points to demonstrate (screenshots / video)</w:t>
      </w:r>
    </w:p>
    <w:p>
      <w:pPr>
        <w:pStyle w:val="ListBullet"/>
      </w:pPr>
      <w:r>
        <w:t>Snapshots at 1905, 1965 and 2015 to show how the set of names turns over.</w:t>
      </w:r>
    </w:p>
    <w:p>
      <w:pPr>
        <w:pStyle w:val="ListBullet"/>
      </w:pPr>
      <w:r>
        <w:t>A long-lived name high on the axis (Marie/Jean) versus a brief fad low on the axis.</w:t>
      </w:r>
    </w:p>
    <w:p>
      <w:pPr>
        <w:pStyle w:val="ListBullet"/>
      </w:pPr>
      <w:r>
        <w:t>“Follow a name” on a fad to reveal its sharp, isolated births curve — e.g. Brigitte (a 1960s spike) or Camille (a telling bimodal curve once its two eras are pooled).</w:t>
      </w:r>
    </w:p>
    <w:p>
      <w:pPr>
        <w:pStyle w:val="ListBullet"/>
      </w:pPr>
      <w:r>
        <w:t>A short clip dragging the slider along the axis to show the cloud shifting and bubbles growing.</w:t>
      </w:r>
    </w:p>
    <w:p>
      <w:r>
        <w:rPr>
          <w:b/>
          <w:color w:val="1F4E79"/>
          <w:sz w:val="30"/>
        </w:rPr>
        <w:t>Visualization 2 — Regional effect</w:t>
      </w:r>
    </w:p>
    <w:p>
      <w:r>
        <w:t>Target questions: are some names more popular in some regions, and are popular names generally popular across the whole country?</w:t>
      </w:r>
    </w:p>
    <w:p>
      <w:r>
        <w:t>We use two complementary views: a per-name radial chart (the main answer) and a sunburst (demographic context).</w:t>
      </w:r>
    </w:p>
    <w:p>
      <w:r>
        <w:rPr>
          <w:b/>
          <w:color w:val="2E75B6"/>
          <w:sz w:val="23"/>
        </w:rPr>
        <w:t>Main view — radial chart of a name's local popularity</w:t>
      </w:r>
    </w:p>
    <w:p>
      <w:r>
        <w:t>Each department is a fixed-width angular sector, arranged in pseudo-geographic order (west on the left, east on the right, north on top), so the layout is always the same and recognizable. The radial length of a sector encodes the name's local popularity as a frequency — births per thousand in that department — normalized by the national rate, i.e. how many times more (or less) common the name is locally than nationally. A fixed dashed reference circle marks the national level (×1): a sector reaching beyond the circle means the name is over-represented there, inside means under-represented. A name selector (sorted by popularity) and a decade slider drive the chart; region codes label the ring and are repeated with full names in the legend.</w:t>
      </w:r>
    </w:p>
    <w:p>
      <w:pPr>
        <w:jc w:val="center"/>
      </w:pPr>
      <w:r>
        <w:drawing>
          <wp:inline xmlns:a="http://schemas.openxmlformats.org/drawingml/2006/main" xmlns:pic="http://schemas.openxmlformats.org/drawingml/2006/picture">
            <wp:extent cx="5486400" cy="3839285"/>
            <wp:docPr id="2" name="Picture 2"/>
            <wp:cNvGraphicFramePr>
              <a:graphicFrameLocks noChangeAspect="1"/>
            </wp:cNvGraphicFramePr>
            <a:graphic>
              <a:graphicData uri="http://schemas.openxmlformats.org/drawingml/2006/picture">
                <pic:pic>
                  <pic:nvPicPr>
                    <pic:cNvPr id="0" name="viz2_sunburst_2_demo_ewen.png"/>
                    <pic:cNvPicPr/>
                  </pic:nvPicPr>
                  <pic:blipFill>
                    <a:blip r:embed="rId10"/>
                    <a:stretch>
                      <a:fillRect/>
                    </a:stretch>
                  </pic:blipFill>
                  <pic:spPr>
                    <a:xfrm>
                      <a:off x="0" y="0"/>
                      <a:ext cx="5486400" cy="3839285"/>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Frequency-normalized length removes the population-size bias: Paris (75) is no longer automatically ‘biggest’; we compare like with like.</w:t>
      </w:r>
    </w:p>
    <w:p>
      <w:pPr>
        <w:pStyle w:val="ListBullet"/>
      </w:pPr>
      <w:r>
        <w:t>The fixed ×1 reference circle turns the regional question into a one-glance read: bars beyond the circle = locally more popular, bars inside = less.</w:t>
      </w:r>
    </w:p>
    <w:p>
      <w:pPr>
        <w:pStyle w:val="ListBullet"/>
      </w:pPr>
      <w:r>
        <w:t>It answers both sub-questions directly — a regional name (Breton EWEN) makes the western sectors shoot past the circle while everywhere else stays inside; a top national name (EMMA) produces near-uniform bars hugging the circle everywhere (popular across the whole country).</w:t>
      </w:r>
    </w:p>
    <w:p>
      <w:pPr>
        <w:pStyle w:val="ListBullet"/>
      </w:pPr>
      <w:r>
        <w:t>The stable geographic ordering lets the eye learn the layout once and then compare any name; the decade slider shows how a name's geography appears, spreads or fades over time.</w:t>
      </w:r>
    </w:p>
    <w:p>
      <w:r>
        <w:rPr>
          <w:b/>
          <w:color w:val="2E75B6"/>
          <w:sz w:val="23"/>
        </w:rPr>
        <w:t>Complementary view — sunburst of births by region and department</w:t>
      </w:r>
    </w:p>
    <w:p>
      <w:r>
        <w:t>The sunburst (inner ring = region, outer ring = departments, angle = number of births, decade slider) gives the demographic context the radial chart abstracts away: how many births each region actually contributes, and how that weight shifts across decades. It is the ‘how big is each region’ overview; the radial chart is the ‘where is this name over-represented’ detail.</w:t>
      </w:r>
    </w:p>
    <w:p>
      <w:pPr>
        <w:jc w:val="center"/>
      </w:pPr>
      <w:r>
        <w:drawing>
          <wp:inline xmlns:a="http://schemas.openxmlformats.org/drawingml/2006/main" xmlns:pic="http://schemas.openxmlformats.org/drawingml/2006/picture">
            <wp:extent cx="4023360" cy="3339940"/>
            <wp:docPr id="3" name="Picture 3"/>
            <wp:cNvGraphicFramePr>
              <a:graphicFrameLocks noChangeAspect="1"/>
            </wp:cNvGraphicFramePr>
            <a:graphic>
              <a:graphicData uri="http://schemas.openxmlformats.org/drawingml/2006/picture">
                <pic:pic>
                  <pic:nvPicPr>
                    <pic:cNvPr id="0" name="viz2_sunburst_1_preview.png"/>
                    <pic:cNvPicPr/>
                  </pic:nvPicPr>
                  <pic:blipFill>
                    <a:blip r:embed="rId11"/>
                    <a:stretch>
                      <a:fillRect/>
                    </a:stretch>
                  </pic:blipFill>
                  <pic:spPr>
                    <a:xfrm>
                      <a:off x="0" y="0"/>
                      <a:ext cx="4023360" cy="333994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Key points to demonstrate (screenshots / video)</w:t>
      </w:r>
    </w:p>
    <w:p>
      <w:pPr>
        <w:pStyle w:val="ListBullet"/>
      </w:pPr>
      <w:r>
        <w:t>Radial chart with a regional name (EWEN/JORDI/MAYLIS) — western/southern sectors past the circle.</w:t>
      </w:r>
    </w:p>
    <w:p>
      <w:pPr>
        <w:pStyle w:val="ListBullet"/>
      </w:pPr>
      <w:r>
        <w:t>Radial chart with a national name (EMMA/LUCAS) — uniform bars on the reference circle.</w:t>
      </w:r>
    </w:p>
    <w:p>
      <w:pPr>
        <w:pStyle w:val="ListBullet"/>
      </w:pPr>
      <w:r>
        <w:t>A short clip changing the name in the selector to show the pattern reshaping.</w:t>
      </w:r>
    </w:p>
    <w:p>
      <w:r>
        <w:rPr>
          <w:b/>
          <w:color w:val="1F4E79"/>
          <w:sz w:val="30"/>
        </w:rPr>
        <w:t>Visualization 3 — Gender effect</w:t>
      </w:r>
    </w:p>
    <w:p>
      <w:r>
        <w:t>Target questions: are there gender effects, and does the popularity of names given to both sexes evolve consistently across sexes?</w:t>
      </w:r>
    </w:p>
    <w:p>
      <w:r>
        <w:rPr>
          <w:b/>
          <w:color w:val="2E75B6"/>
          <w:sz w:val="23"/>
        </w:rPr>
        <w:t>What it shows</w:t>
      </w:r>
    </w:p>
    <w:p>
      <w:r>
        <w:t>Split violin plots — one per unisex name. Each violin shows the distribution of births over time (vertical axis = year): the left half (blue) is boys, the right half (orange) is girls, and the width at each year is the number of births that year for that sex. Names are ordered from the most male-leaning to the most female-leaning, and hovering a name highlights its violin.</w:t>
      </w:r>
    </w:p>
    <w:p>
      <w:pPr>
        <w:jc w:val="center"/>
      </w:pPr>
      <w:r>
        <w:drawing>
          <wp:inline xmlns:a="http://schemas.openxmlformats.org/drawingml/2006/main" xmlns:pic="http://schemas.openxmlformats.org/drawingml/2006/picture">
            <wp:extent cx="5852160" cy="4105190"/>
            <wp:docPr id="4" name="Picture 4"/>
            <wp:cNvGraphicFramePr>
              <a:graphicFrameLocks noChangeAspect="1"/>
            </wp:cNvGraphicFramePr>
            <a:graphic>
              <a:graphicData uri="http://schemas.openxmlformats.org/drawingml/2006/picture">
                <pic:pic>
                  <pic:nvPicPr>
                    <pic:cNvPr id="0" name="viz3_violon_preview.png"/>
                    <pic:cNvPicPr/>
                  </pic:nvPicPr>
                  <pic:blipFill>
                    <a:blip r:embed="rId12"/>
                    <a:stretch>
                      <a:fillRect/>
                    </a:stretch>
                  </pic:blipFill>
                  <pic:spPr>
                    <a:xfrm>
                      <a:off x="0" y="0"/>
                      <a:ext cx="5852160" cy="4105190"/>
                    </a:xfrm>
                    <a:prstGeom prst="rect"/>
                  </pic:spPr>
                </pic:pic>
              </a:graphicData>
            </a:graphic>
          </wp:inline>
        </w:drawing>
      </w:r>
    </w:p>
    <w:p>
      <w:pPr>
        <w:jc w:val="center"/>
      </w:pPr>
      <w:r>
        <w:rPr>
          <w:i/>
          <w:color w:val="808080"/>
          <w:sz w:val="17"/>
        </w:rPr>
        <w:t>Static snapshot — the live HTML adds the slider, hover and linked views.</w:t>
      </w:r>
    </w:p>
    <w:p>
      <w:r>
        <w:rPr>
          <w:b/>
          <w:color w:val="2E75B6"/>
          <w:sz w:val="23"/>
        </w:rPr>
        <w:t>Why it is appropriate and effective</w:t>
      </w:r>
    </w:p>
    <w:p>
      <w:pPr>
        <w:pStyle w:val="ListBullet"/>
      </w:pPr>
      <w:r>
        <w:t>It focuses on unisex names — the only names for which a gender question is meaningful — so the view is on-topic by construction.</w:t>
      </w:r>
    </w:p>
    <w:p>
      <w:pPr>
        <w:pStyle w:val="ListBullet"/>
      </w:pPr>
      <w:r>
        <w:t>A gender flip is read directly from the shape: when the blue and orange halves are offset vertically, the name was given to one sex in one era and the other sex later (e.g. Camille — a little blue early, a large orange bulge recently).</w:t>
      </w:r>
    </w:p>
    <w:p>
      <w:pPr>
        <w:pStyle w:val="ListBullet"/>
      </w:pPr>
      <w:r>
        <w:t>Consistent evolution shows as two halves that rise and fall together over the same years; an inconsistent / shifting name shows halves peaking in different decades.</w:t>
      </w:r>
    </w:p>
    <w:p>
      <w:pPr>
        <w:pStyle w:val="ListBullet"/>
      </w:pPr>
      <w:r>
        <w:t>Putting all names side by side, ordered by overall female share, turns the whole set of unisex names into one comparable small-multiples panel.</w:t>
      </w:r>
    </w:p>
    <w:p>
      <w:pPr>
        <w:pStyle w:val="ListBullet"/>
      </w:pPr>
      <w:r>
        <w:t>Width = births per year, so each violin also conveys when the name was actually in use, not just its balance.</w:t>
      </w:r>
    </w:p>
    <w:p>
      <w:r>
        <w:rPr>
          <w:b/>
          <w:color w:val="2E75B6"/>
          <w:sz w:val="23"/>
        </w:rPr>
        <w:t>Key points to demonstrate (screenshots / video)</w:t>
      </w:r>
    </w:p>
    <w:p>
      <w:pPr>
        <w:pStyle w:val="ListBullet"/>
      </w:pPr>
      <w:r>
        <w:t>The full panel, showing names ranging from male-dominated (left) to female-dominated (right).</w:t>
      </w:r>
    </w:p>
    <w:p>
      <w:pPr>
        <w:pStyle w:val="ListBullet"/>
      </w:pPr>
      <w:r>
        <w:t>A flipped name (Camille, Alix) whose blue and orange halves sit in different eras.</w:t>
      </w:r>
    </w:p>
    <w:p>
      <w:pPr>
        <w:pStyle w:val="ListBullet"/>
      </w:pPr>
      <w:r>
        <w:t>A name used for both sexes in the same period (Dominique) as a balanced counter-example.</w:t>
      </w:r>
    </w:p>
    <w:p>
      <w:r>
        <w:rPr>
          <w:b/>
          <w:color w:val="1F4E79"/>
          <w:sz w:val="30"/>
        </w:rPr>
        <w:t>Summary</w:t>
      </w:r>
    </w:p>
    <w:p>
      <w:r>
        <w:t>Each visualization is matched to its question through a deliberate encoding: longevity on an axis for time, a frequency-normalized radial chart with a national reference circle (plus a sunburst for demographic context) for region, and split male/female violins over time for gender. All three follow the same overview + detail-on-demand pattern (slider / hover / linked view) and share a consistent, accessible color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