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CE6" w:rsidRDefault="00341CE6" w:rsidP="00341CE6">
      <w:pPr>
        <w:pStyle w:val="Heading1"/>
      </w:pPr>
      <w:r>
        <w:t>Proportion Days Covered (PDC) &amp; Concomitant Drug Utilization with SQL</w:t>
      </w:r>
      <w:bookmarkStart w:id="0" w:name="_GoBack"/>
      <w:bookmarkEnd w:id="0"/>
    </w:p>
    <w:p w:rsidR="00341CE6" w:rsidRDefault="00341CE6" w:rsidP="00341CE6">
      <w:r>
        <w:t>Calculation of PDC can be efficiently performed within SQL by using dynamic SQL. But before that can be applied, the data must first be standardized to a timeframe of reference. We need to carve out specific business rules to identify our timeframe of interest and the methodology for calculating PDC.</w:t>
      </w:r>
    </w:p>
    <w:p w:rsidR="00341CE6" w:rsidRDefault="00341CE6" w:rsidP="00341CE6">
      <w:pPr>
        <w:pStyle w:val="ListParagraph"/>
        <w:numPr>
          <w:ilvl w:val="0"/>
          <w:numId w:val="1"/>
        </w:numPr>
      </w:pPr>
      <w:r>
        <w:t xml:space="preserve">Where is the starting point for the timeframe? </w:t>
      </w:r>
    </w:p>
    <w:p w:rsidR="00341CE6" w:rsidRDefault="00341CE6" w:rsidP="00341CE6">
      <w:pPr>
        <w:pStyle w:val="ListParagraph"/>
        <w:numPr>
          <w:ilvl w:val="1"/>
          <w:numId w:val="1"/>
        </w:numPr>
      </w:pPr>
      <w:r>
        <w:t>Last “x” days?</w:t>
      </w:r>
    </w:p>
    <w:p w:rsidR="00341CE6" w:rsidRDefault="00341CE6" w:rsidP="00341CE6">
      <w:pPr>
        <w:pStyle w:val="ListParagraph"/>
        <w:numPr>
          <w:ilvl w:val="1"/>
          <w:numId w:val="1"/>
        </w:numPr>
      </w:pPr>
      <w:r>
        <w:t>Last “x” calendar years?</w:t>
      </w:r>
    </w:p>
    <w:p w:rsidR="00341CE6" w:rsidRDefault="00341CE6" w:rsidP="00341CE6">
      <w:pPr>
        <w:pStyle w:val="ListParagraph"/>
        <w:numPr>
          <w:ilvl w:val="1"/>
          <w:numId w:val="1"/>
        </w:numPr>
      </w:pPr>
      <w:r>
        <w:t xml:space="preserve">Beginning of each Fiscal Quarter? </w:t>
      </w:r>
    </w:p>
    <w:p w:rsidR="00341CE6" w:rsidRDefault="00341CE6" w:rsidP="00341CE6">
      <w:pPr>
        <w:pStyle w:val="ListParagraph"/>
        <w:numPr>
          <w:ilvl w:val="0"/>
          <w:numId w:val="1"/>
        </w:numPr>
      </w:pPr>
      <w:r>
        <w:t>Where is the ending point for the timeframe?</w:t>
      </w:r>
    </w:p>
    <w:p w:rsidR="00341CE6" w:rsidRDefault="00341CE6" w:rsidP="00341CE6">
      <w:pPr>
        <w:pStyle w:val="ListParagraph"/>
        <w:numPr>
          <w:ilvl w:val="1"/>
          <w:numId w:val="1"/>
        </w:numPr>
      </w:pPr>
      <w:r>
        <w:t>Today?</w:t>
      </w:r>
    </w:p>
    <w:p w:rsidR="00341CE6" w:rsidRDefault="00341CE6" w:rsidP="00341CE6">
      <w:pPr>
        <w:pStyle w:val="ListParagraph"/>
        <w:numPr>
          <w:ilvl w:val="1"/>
          <w:numId w:val="1"/>
        </w:numPr>
      </w:pPr>
      <w:r>
        <w:t xml:space="preserve">End of a calendar year? </w:t>
      </w:r>
    </w:p>
    <w:p w:rsidR="00341CE6" w:rsidRDefault="00341CE6" w:rsidP="00341CE6">
      <w:pPr>
        <w:pStyle w:val="ListParagraph"/>
        <w:numPr>
          <w:ilvl w:val="1"/>
          <w:numId w:val="1"/>
        </w:numPr>
      </w:pPr>
      <w:r>
        <w:t>End of a Fiscal Quarter?</w:t>
      </w:r>
    </w:p>
    <w:p w:rsidR="00341CE6" w:rsidRDefault="00341CE6" w:rsidP="00341CE6">
      <w:pPr>
        <w:pStyle w:val="ListParagraph"/>
        <w:numPr>
          <w:ilvl w:val="0"/>
          <w:numId w:val="1"/>
        </w:numPr>
      </w:pPr>
      <w:r>
        <w:t>Where do we start counting PDC?</w:t>
      </w:r>
    </w:p>
    <w:p w:rsidR="00341CE6" w:rsidRDefault="00341CE6" w:rsidP="00341CE6">
      <w:pPr>
        <w:pStyle w:val="ListParagraph"/>
        <w:numPr>
          <w:ilvl w:val="1"/>
          <w:numId w:val="1"/>
        </w:numPr>
      </w:pPr>
      <w:r>
        <w:t>The start of the timeframe?</w:t>
      </w:r>
    </w:p>
    <w:p w:rsidR="00341CE6" w:rsidRDefault="00341CE6" w:rsidP="00341CE6">
      <w:pPr>
        <w:pStyle w:val="ListParagraph"/>
        <w:numPr>
          <w:ilvl w:val="2"/>
          <w:numId w:val="1"/>
        </w:numPr>
      </w:pPr>
      <w:r>
        <w:t>CON: Do we want to negatively score a patient who hasn’t received the medication yet?</w:t>
      </w:r>
    </w:p>
    <w:p w:rsidR="00341CE6" w:rsidRDefault="00341CE6" w:rsidP="00341CE6">
      <w:pPr>
        <w:pStyle w:val="ListParagraph"/>
        <w:numPr>
          <w:ilvl w:val="1"/>
          <w:numId w:val="1"/>
        </w:numPr>
      </w:pPr>
      <w:r>
        <w:t>From when the patient first has supply on hand within the timeframe?</w:t>
      </w:r>
    </w:p>
    <w:p w:rsidR="00341CE6" w:rsidRDefault="00341CE6" w:rsidP="00341CE6">
      <w:pPr>
        <w:pStyle w:val="ListParagraph"/>
        <w:numPr>
          <w:ilvl w:val="2"/>
          <w:numId w:val="1"/>
        </w:numPr>
      </w:pPr>
      <w:r>
        <w:t>PRO: Doesn’t count against the patient’s PDC until they have supply</w:t>
      </w:r>
    </w:p>
    <w:p w:rsidR="00341CE6" w:rsidRDefault="00341CE6" w:rsidP="00341CE6">
      <w:pPr>
        <w:pStyle w:val="ListParagraph"/>
        <w:numPr>
          <w:ilvl w:val="2"/>
          <w:numId w:val="1"/>
        </w:numPr>
      </w:pPr>
      <w:r>
        <w:t xml:space="preserve">CON: Shorter timeframes might inflate the PDC </w:t>
      </w:r>
    </w:p>
    <w:p w:rsidR="00341CE6" w:rsidRDefault="00341CE6" w:rsidP="00341CE6">
      <w:pPr>
        <w:pStyle w:val="ListParagraph"/>
        <w:numPr>
          <w:ilvl w:val="0"/>
          <w:numId w:val="1"/>
        </w:numPr>
      </w:pPr>
      <w:r>
        <w:t>Where do we count until?</w:t>
      </w:r>
    </w:p>
    <w:p w:rsidR="00341CE6" w:rsidRDefault="00341CE6" w:rsidP="00341CE6">
      <w:pPr>
        <w:pStyle w:val="ListParagraph"/>
        <w:numPr>
          <w:ilvl w:val="1"/>
          <w:numId w:val="1"/>
        </w:numPr>
      </w:pPr>
      <w:r>
        <w:t xml:space="preserve">The end of the timeframe? </w:t>
      </w:r>
    </w:p>
    <w:p w:rsidR="00341CE6" w:rsidRDefault="00341CE6" w:rsidP="00341CE6">
      <w:pPr>
        <w:pStyle w:val="ListParagraph"/>
        <w:numPr>
          <w:ilvl w:val="2"/>
          <w:numId w:val="1"/>
        </w:numPr>
      </w:pPr>
      <w:r>
        <w:t xml:space="preserve">CON: Change / discontinuation of therapy might look like low PDC. </w:t>
      </w:r>
    </w:p>
    <w:p w:rsidR="00341CE6" w:rsidRDefault="00341CE6" w:rsidP="00341CE6">
      <w:pPr>
        <w:pStyle w:val="ListParagraph"/>
        <w:numPr>
          <w:ilvl w:val="1"/>
          <w:numId w:val="1"/>
        </w:numPr>
      </w:pPr>
      <w:r>
        <w:t>The end of the latest prescription?</w:t>
      </w:r>
    </w:p>
    <w:p w:rsidR="00341CE6" w:rsidRDefault="00341CE6" w:rsidP="00341CE6">
      <w:pPr>
        <w:pStyle w:val="ListParagraph"/>
        <w:numPr>
          <w:ilvl w:val="2"/>
          <w:numId w:val="1"/>
        </w:numPr>
      </w:pPr>
      <w:r>
        <w:t>CON: It’ll miss patients who need a refill and inflate PDC</w:t>
      </w:r>
    </w:p>
    <w:p w:rsidR="00341CE6" w:rsidRDefault="00341CE6" w:rsidP="00341CE6">
      <w:r>
        <w:t>Regardless of the specific timeframe you choose, the below graphic is the situation you will next encounter regarding the prescription fill data.</w:t>
      </w:r>
    </w:p>
    <w:p w:rsidR="00341CE6" w:rsidRPr="00DD40CA" w:rsidRDefault="00341CE6" w:rsidP="00341CE6">
      <w:pPr>
        <w:rPr>
          <w:b/>
        </w:rPr>
      </w:pPr>
      <w:r w:rsidRPr="00DD40CA">
        <w:rPr>
          <w:b/>
        </w:rPr>
        <w:t>Figure 1. All Possible Combinations of Prescription Fills within the Timeframe of Interest</w:t>
      </w:r>
    </w:p>
    <w:p w:rsidR="00341CE6" w:rsidRDefault="00341CE6" w:rsidP="00341CE6">
      <w:r w:rsidRPr="00683D30">
        <w:rPr>
          <w:noProof/>
        </w:rPr>
        <w:lastRenderedPageBreak/>
        <w:drawing>
          <wp:inline distT="0" distB="0" distL="0" distR="0" wp14:anchorId="5BE46BB1" wp14:editId="6504492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341CE6" w:rsidRDefault="00341CE6" w:rsidP="00341CE6">
      <w:pPr>
        <w:pStyle w:val="Heading1"/>
      </w:pPr>
      <w:r>
        <w:t>Step 1 – Standardize the Raw Data</w:t>
      </w:r>
    </w:p>
    <w:p w:rsidR="00341CE6" w:rsidRDefault="00341CE6" w:rsidP="00341CE6">
      <w:r>
        <w:t xml:space="preserve">Using your start and stop definitions defined above, we can now create a function that calculates the Modified </w:t>
      </w:r>
      <w:proofErr w:type="spellStart"/>
      <w:r>
        <w:t>Days</w:t>
      </w:r>
      <w:proofErr w:type="spellEnd"/>
      <w:r>
        <w:t xml:space="preserve"> Supply as the Day Supply within the Timeframe of Interest and a Modified Fill Date as the First Day the patient had medication on hand within the Timeframe of Interest by addressing the 4 possible conditions of interest and ignoring all else. </w:t>
      </w:r>
    </w:p>
    <w:p w:rsidR="00341CE6" w:rsidRDefault="00341CE6" w:rsidP="00341CE6">
      <w:r>
        <w:t>For my purposes, I generally trend data on a quarterly basis so the function below is specific to Fiscal Year and Fiscal Quarter:</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[FX</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RxQuarter_Int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proofErr w:type="spellStart"/>
      <w:r>
        <w:rPr>
          <w:rFonts w:ascii="Consolas" w:hAnsi="Consolas" w:cs="Consolas"/>
          <w:color w:val="0000FF"/>
          <w:sz w:val="19"/>
          <w:szCs w:val="19"/>
          <w:highlight w:val="white"/>
        </w:rPr>
        <w: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DaysSupply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@FYFQ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DateAdd</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dd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DaysSupply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Staging</w:t>
      </w:r>
      <w:r>
        <w:rPr>
          <w:rFonts w:ascii="Consolas" w:hAnsi="Consolas" w:cs="Consolas"/>
          <w:color w:val="808080"/>
          <w:sz w:val="19"/>
          <w:szCs w:val="19"/>
          <w:highlight w:val="white"/>
        </w:rPr>
        <w:t>.</w:t>
      </w:r>
      <w:r>
        <w:rPr>
          <w:rFonts w:ascii="Consolas" w:hAnsi="Consolas" w:cs="Consolas"/>
          <w:color w:val="000000"/>
          <w:sz w:val="19"/>
          <w:szCs w:val="19"/>
          <w:highlight w:val="white"/>
        </w:rPr>
        <w:t>QuarterDates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FYFQ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@FYFQ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Staging</w:t>
      </w:r>
      <w:r>
        <w:rPr>
          <w:rFonts w:ascii="Consolas" w:hAnsi="Consolas" w:cs="Consolas"/>
          <w:color w:val="808080"/>
          <w:sz w:val="19"/>
          <w:szCs w:val="19"/>
          <w:highlight w:val="white"/>
        </w:rPr>
        <w:t>.</w:t>
      </w:r>
      <w:r>
        <w:rPr>
          <w:rFonts w:ascii="Consolas" w:hAnsi="Consolas" w:cs="Consolas"/>
          <w:color w:val="000000"/>
          <w:sz w:val="19"/>
          <w:szCs w:val="19"/>
          <w:highlight w:val="white"/>
        </w:rPr>
        <w:t>QuarterDates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FYFQ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@FYFQ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begins before the quarter, </w:t>
      </w:r>
      <w:proofErr w:type="spellStart"/>
      <w:r>
        <w:rPr>
          <w:rFonts w:ascii="Consolas" w:hAnsi="Consolas" w:cs="Consolas"/>
          <w:color w:val="008000"/>
          <w:sz w:val="19"/>
          <w:szCs w:val="19"/>
          <w:highlight w:val="white"/>
        </w:rPr>
        <w:t>days</w:t>
      </w:r>
      <w:proofErr w:type="spellEnd"/>
      <w:r>
        <w:rPr>
          <w:rFonts w:ascii="Consolas" w:hAnsi="Consolas" w:cs="Consolas"/>
          <w:color w:val="008000"/>
          <w:sz w:val="19"/>
          <w:szCs w:val="19"/>
          <w:highlight w:val="white"/>
        </w:rPr>
        <w:t xml:space="preserve"> supply lasts into the quarter</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DATEDIFF</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dd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 to avoid 0-indexing the day supply, begins in prior quarter into current quarter</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begins before the quarter, </w:t>
      </w:r>
      <w:proofErr w:type="spellStart"/>
      <w:r>
        <w:rPr>
          <w:rFonts w:ascii="Consolas" w:hAnsi="Consolas" w:cs="Consolas"/>
          <w:color w:val="008000"/>
          <w:sz w:val="19"/>
          <w:szCs w:val="19"/>
          <w:highlight w:val="white"/>
        </w:rPr>
        <w:t>days</w:t>
      </w:r>
      <w:proofErr w:type="spellEnd"/>
      <w:r>
        <w:rPr>
          <w:rFonts w:ascii="Consolas" w:hAnsi="Consolas" w:cs="Consolas"/>
          <w:color w:val="008000"/>
          <w:sz w:val="19"/>
          <w:szCs w:val="19"/>
          <w:highlight w:val="white"/>
        </w:rPr>
        <w:t xml:space="preserve"> supply lasts beyond the quarter (should never occur assuming max </w:t>
      </w:r>
      <w:proofErr w:type="spellStart"/>
      <w:r>
        <w:rPr>
          <w:rFonts w:ascii="Consolas" w:hAnsi="Consolas" w:cs="Consolas"/>
          <w:color w:val="008000"/>
          <w:sz w:val="19"/>
          <w:szCs w:val="19"/>
          <w:highlight w:val="white"/>
        </w:rPr>
        <w:t>days</w:t>
      </w:r>
      <w:proofErr w:type="spellEnd"/>
      <w:r>
        <w:rPr>
          <w:rFonts w:ascii="Consolas" w:hAnsi="Consolas" w:cs="Consolas"/>
          <w:color w:val="008000"/>
          <w:sz w:val="19"/>
          <w:szCs w:val="19"/>
          <w:highlight w:val="white"/>
        </w:rPr>
        <w:t xml:space="preserve"> supply is 3 months)</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DATEDIFF</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dd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begins after the quarter, </w:t>
      </w:r>
      <w:proofErr w:type="spellStart"/>
      <w:r>
        <w:rPr>
          <w:rFonts w:ascii="Consolas" w:hAnsi="Consolas" w:cs="Consolas"/>
          <w:color w:val="008000"/>
          <w:sz w:val="19"/>
          <w:szCs w:val="19"/>
          <w:highlight w:val="white"/>
        </w:rPr>
        <w:t>days</w:t>
      </w:r>
      <w:proofErr w:type="spellEnd"/>
      <w:r>
        <w:rPr>
          <w:rFonts w:ascii="Consolas" w:hAnsi="Consolas" w:cs="Consolas"/>
          <w:color w:val="008000"/>
          <w:sz w:val="19"/>
          <w:szCs w:val="19"/>
          <w:highlight w:val="white"/>
        </w:rPr>
        <w:t xml:space="preserve"> supply lasts only in the quarter</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DaysSupply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all within the quarter</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begins after the quarter, </w:t>
      </w:r>
      <w:proofErr w:type="spellStart"/>
      <w:r>
        <w:rPr>
          <w:rFonts w:ascii="Consolas" w:hAnsi="Consolas" w:cs="Consolas"/>
          <w:color w:val="008000"/>
          <w:sz w:val="19"/>
          <w:szCs w:val="19"/>
          <w:highlight w:val="white"/>
        </w:rPr>
        <w:t>days</w:t>
      </w:r>
      <w:proofErr w:type="spellEnd"/>
      <w:r>
        <w:rPr>
          <w:rFonts w:ascii="Consolas" w:hAnsi="Consolas" w:cs="Consolas"/>
          <w:color w:val="008000"/>
          <w:sz w:val="19"/>
          <w:szCs w:val="19"/>
          <w:highlight w:val="white"/>
        </w:rPr>
        <w:t xml:space="preserve"> supply lasts beyond the quarter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DATEDIFF</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dd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 need to count for it, begins in current quarter and overlaps into next quarter</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p>
    <w:p w:rsidR="00341CE6" w:rsidRDefault="00341CE6" w:rsidP="00341CE6">
      <w:pPr>
        <w:rPr>
          <w:rFonts w:ascii="Consolas" w:hAnsi="Consolas" w:cs="Consolas"/>
          <w:color w:val="0000FF"/>
          <w:sz w:val="19"/>
          <w:szCs w:val="19"/>
        </w:rPr>
      </w:pPr>
      <w:r>
        <w:rPr>
          <w:rFonts w:ascii="Consolas" w:hAnsi="Consolas" w:cs="Consolas"/>
          <w:color w:val="0000FF"/>
          <w:sz w:val="19"/>
          <w:szCs w:val="19"/>
          <w:highlight w:val="white"/>
        </w:rPr>
        <w:t>end</w:t>
      </w:r>
    </w:p>
    <w:p w:rsidR="00341CE6" w:rsidRDefault="00341CE6" w:rsidP="00341CE6"/>
    <w:p w:rsidR="00341CE6" w:rsidRDefault="00341CE6" w:rsidP="00341CE6">
      <w:r>
        <w:t xml:space="preserve">Application of the above function will convert the Day Supply to the Modified Day Supply. Additionally, a simple CASE statement (below) will provide the Modified Release Date. Altogether, this completes the first processing phase towards your PDC and concomitant utilization with SQL.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ReleaseDateTime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StartQuarter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StartQuarter</w:t>
      </w:r>
      <w:proofErr w:type="spellEnd"/>
      <w:r>
        <w:rPr>
          <w:rFonts w:ascii="Consolas" w:hAnsi="Consolas" w:cs="Consolas"/>
          <w:color w:val="000000"/>
          <w:sz w:val="19"/>
          <w:szCs w:val="19"/>
          <w:highlight w:val="white"/>
        </w:rPr>
        <w:t xml:space="preserve"> --start time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ReleaseDateTime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rsidR="00341CE6" w:rsidRDefault="00341CE6" w:rsidP="00341CE6">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ModifiedReleaseDate</w:t>
      </w:r>
      <w:proofErr w:type="spellEnd"/>
    </w:p>
    <w:p w:rsidR="00341CE6" w:rsidRPr="00DD40CA" w:rsidRDefault="00341CE6" w:rsidP="00341CE6">
      <w:pPr>
        <w:rPr>
          <w:b/>
        </w:rPr>
      </w:pPr>
      <w:r w:rsidRPr="00DD40CA">
        <w:rPr>
          <w:b/>
        </w:rPr>
        <w:t>Table 1. Example of the Prescription Standardization after Processing Step 1</w:t>
      </w:r>
    </w:p>
    <w:tbl>
      <w:tblPr>
        <w:tblStyle w:val="TableGrid"/>
        <w:tblW w:w="0" w:type="auto"/>
        <w:tblLook w:val="04A0" w:firstRow="1" w:lastRow="0" w:firstColumn="1" w:lastColumn="0" w:noHBand="0" w:noVBand="1"/>
      </w:tblPr>
      <w:tblGrid>
        <w:gridCol w:w="1904"/>
        <w:gridCol w:w="1890"/>
        <w:gridCol w:w="1061"/>
        <w:gridCol w:w="2250"/>
        <w:gridCol w:w="2245"/>
      </w:tblGrid>
      <w:tr w:rsidR="00341CE6" w:rsidTr="00082228">
        <w:trPr>
          <w:trHeight w:val="250"/>
        </w:trPr>
        <w:tc>
          <w:tcPr>
            <w:tcW w:w="1904" w:type="dxa"/>
          </w:tcPr>
          <w:p w:rsidR="00341CE6" w:rsidRDefault="00341CE6" w:rsidP="00082228">
            <w:r>
              <w:t>Release Date</w:t>
            </w:r>
          </w:p>
        </w:tc>
        <w:tc>
          <w:tcPr>
            <w:tcW w:w="1890" w:type="dxa"/>
          </w:tcPr>
          <w:p w:rsidR="00341CE6" w:rsidRDefault="00341CE6" w:rsidP="00082228">
            <w:r>
              <w:t>Day Supply</w:t>
            </w:r>
          </w:p>
        </w:tc>
        <w:tc>
          <w:tcPr>
            <w:tcW w:w="1061" w:type="dxa"/>
            <w:vMerge w:val="restart"/>
            <w:vAlign w:val="center"/>
          </w:tcPr>
          <w:p w:rsidR="00341CE6" w:rsidRDefault="00341CE6" w:rsidP="00082228">
            <w:pPr>
              <w:jc w:val="center"/>
            </w:pPr>
            <w:r>
              <w:sym w:font="Wingdings" w:char="F0E8"/>
            </w:r>
          </w:p>
        </w:tc>
        <w:tc>
          <w:tcPr>
            <w:tcW w:w="2250" w:type="dxa"/>
          </w:tcPr>
          <w:p w:rsidR="00341CE6" w:rsidRDefault="00341CE6" w:rsidP="00082228">
            <w:r>
              <w:t>Modified Release Date</w:t>
            </w:r>
          </w:p>
        </w:tc>
        <w:tc>
          <w:tcPr>
            <w:tcW w:w="2245" w:type="dxa"/>
          </w:tcPr>
          <w:p w:rsidR="00341CE6" w:rsidRDefault="00341CE6" w:rsidP="00082228">
            <w:r>
              <w:t>Modified Day Supply</w:t>
            </w:r>
          </w:p>
        </w:tc>
      </w:tr>
      <w:tr w:rsidR="00341CE6" w:rsidTr="00082228">
        <w:trPr>
          <w:trHeight w:val="268"/>
        </w:trPr>
        <w:tc>
          <w:tcPr>
            <w:tcW w:w="1904" w:type="dxa"/>
          </w:tcPr>
          <w:p w:rsidR="00341CE6" w:rsidRDefault="00341CE6" w:rsidP="00082228">
            <w:r>
              <w:t>2/1/2018</w:t>
            </w:r>
          </w:p>
        </w:tc>
        <w:tc>
          <w:tcPr>
            <w:tcW w:w="1890" w:type="dxa"/>
          </w:tcPr>
          <w:p w:rsidR="00341CE6" w:rsidRDefault="00341CE6" w:rsidP="00082228">
            <w:r>
              <w:t>90</w:t>
            </w:r>
          </w:p>
        </w:tc>
        <w:tc>
          <w:tcPr>
            <w:tcW w:w="1061" w:type="dxa"/>
            <w:vMerge/>
          </w:tcPr>
          <w:p w:rsidR="00341CE6" w:rsidRDefault="00341CE6" w:rsidP="00082228"/>
        </w:tc>
        <w:tc>
          <w:tcPr>
            <w:tcW w:w="2250" w:type="dxa"/>
          </w:tcPr>
          <w:p w:rsidR="00341CE6" w:rsidRDefault="00341CE6" w:rsidP="00082228">
            <w:r>
              <w:t xml:space="preserve">4/1/2018 </w:t>
            </w:r>
          </w:p>
        </w:tc>
        <w:tc>
          <w:tcPr>
            <w:tcW w:w="2245" w:type="dxa"/>
          </w:tcPr>
          <w:p w:rsidR="00341CE6" w:rsidRDefault="00341CE6" w:rsidP="00082228">
            <w:r>
              <w:t>31</w:t>
            </w:r>
          </w:p>
        </w:tc>
      </w:tr>
      <w:tr w:rsidR="00341CE6" w:rsidTr="00082228">
        <w:trPr>
          <w:trHeight w:val="268"/>
        </w:trPr>
        <w:tc>
          <w:tcPr>
            <w:tcW w:w="1904" w:type="dxa"/>
          </w:tcPr>
          <w:p w:rsidR="00341CE6" w:rsidRDefault="00341CE6" w:rsidP="00082228">
            <w:r>
              <w:t>2/1/2018</w:t>
            </w:r>
          </w:p>
        </w:tc>
        <w:tc>
          <w:tcPr>
            <w:tcW w:w="1890" w:type="dxa"/>
          </w:tcPr>
          <w:p w:rsidR="00341CE6" w:rsidRDefault="00341CE6" w:rsidP="00082228">
            <w:r>
              <w:t>30</w:t>
            </w:r>
          </w:p>
        </w:tc>
        <w:tc>
          <w:tcPr>
            <w:tcW w:w="1061" w:type="dxa"/>
            <w:vMerge/>
          </w:tcPr>
          <w:p w:rsidR="00341CE6" w:rsidRDefault="00341CE6" w:rsidP="00082228"/>
        </w:tc>
        <w:tc>
          <w:tcPr>
            <w:tcW w:w="2250" w:type="dxa"/>
          </w:tcPr>
          <w:p w:rsidR="00341CE6" w:rsidRDefault="00341CE6" w:rsidP="00082228">
            <w:r>
              <w:t>Null</w:t>
            </w:r>
          </w:p>
        </w:tc>
        <w:tc>
          <w:tcPr>
            <w:tcW w:w="2245" w:type="dxa"/>
          </w:tcPr>
          <w:p w:rsidR="00341CE6" w:rsidRDefault="00341CE6" w:rsidP="00082228">
            <w:r>
              <w:t>0</w:t>
            </w:r>
          </w:p>
        </w:tc>
      </w:tr>
      <w:tr w:rsidR="00341CE6" w:rsidTr="00082228">
        <w:trPr>
          <w:trHeight w:val="268"/>
        </w:trPr>
        <w:tc>
          <w:tcPr>
            <w:tcW w:w="1904" w:type="dxa"/>
          </w:tcPr>
          <w:p w:rsidR="00341CE6" w:rsidRDefault="00341CE6" w:rsidP="00082228">
            <w:r>
              <w:t>4/1/2018</w:t>
            </w:r>
          </w:p>
        </w:tc>
        <w:tc>
          <w:tcPr>
            <w:tcW w:w="1890" w:type="dxa"/>
          </w:tcPr>
          <w:p w:rsidR="00341CE6" w:rsidRDefault="00341CE6" w:rsidP="00082228">
            <w:r>
              <w:t>60</w:t>
            </w:r>
          </w:p>
        </w:tc>
        <w:tc>
          <w:tcPr>
            <w:tcW w:w="1061" w:type="dxa"/>
            <w:vMerge/>
          </w:tcPr>
          <w:p w:rsidR="00341CE6" w:rsidRDefault="00341CE6" w:rsidP="00082228"/>
        </w:tc>
        <w:tc>
          <w:tcPr>
            <w:tcW w:w="2250" w:type="dxa"/>
          </w:tcPr>
          <w:p w:rsidR="00341CE6" w:rsidRDefault="00341CE6" w:rsidP="00082228">
            <w:r>
              <w:t>4/1/2018</w:t>
            </w:r>
          </w:p>
        </w:tc>
        <w:tc>
          <w:tcPr>
            <w:tcW w:w="2245" w:type="dxa"/>
          </w:tcPr>
          <w:p w:rsidR="00341CE6" w:rsidRDefault="00341CE6" w:rsidP="00082228">
            <w:r>
              <w:t>60</w:t>
            </w:r>
          </w:p>
        </w:tc>
      </w:tr>
      <w:tr w:rsidR="00341CE6" w:rsidTr="00082228">
        <w:trPr>
          <w:trHeight w:val="268"/>
        </w:trPr>
        <w:tc>
          <w:tcPr>
            <w:tcW w:w="1904" w:type="dxa"/>
          </w:tcPr>
          <w:p w:rsidR="00341CE6" w:rsidRDefault="00341CE6" w:rsidP="00082228">
            <w:r>
              <w:t>5/1/2018</w:t>
            </w:r>
          </w:p>
        </w:tc>
        <w:tc>
          <w:tcPr>
            <w:tcW w:w="1890" w:type="dxa"/>
          </w:tcPr>
          <w:p w:rsidR="00341CE6" w:rsidRDefault="00341CE6" w:rsidP="00082228">
            <w:r>
              <w:t>30</w:t>
            </w:r>
          </w:p>
        </w:tc>
        <w:tc>
          <w:tcPr>
            <w:tcW w:w="1061" w:type="dxa"/>
            <w:vMerge/>
          </w:tcPr>
          <w:p w:rsidR="00341CE6" w:rsidRDefault="00341CE6" w:rsidP="00082228"/>
        </w:tc>
        <w:tc>
          <w:tcPr>
            <w:tcW w:w="2250" w:type="dxa"/>
          </w:tcPr>
          <w:p w:rsidR="00341CE6" w:rsidRDefault="00341CE6" w:rsidP="00082228">
            <w:r>
              <w:t>5/1/2018</w:t>
            </w:r>
          </w:p>
        </w:tc>
        <w:tc>
          <w:tcPr>
            <w:tcW w:w="2245" w:type="dxa"/>
          </w:tcPr>
          <w:p w:rsidR="00341CE6" w:rsidRDefault="00341CE6" w:rsidP="00082228">
            <w:r>
              <w:t>30</w:t>
            </w:r>
          </w:p>
        </w:tc>
      </w:tr>
      <w:tr w:rsidR="00341CE6" w:rsidTr="00082228">
        <w:trPr>
          <w:trHeight w:val="268"/>
        </w:trPr>
        <w:tc>
          <w:tcPr>
            <w:tcW w:w="1904" w:type="dxa"/>
          </w:tcPr>
          <w:p w:rsidR="00341CE6" w:rsidRDefault="00341CE6" w:rsidP="00082228">
            <w:r>
              <w:t>5/1/2018</w:t>
            </w:r>
          </w:p>
        </w:tc>
        <w:tc>
          <w:tcPr>
            <w:tcW w:w="1890" w:type="dxa"/>
          </w:tcPr>
          <w:p w:rsidR="00341CE6" w:rsidRDefault="00341CE6" w:rsidP="00082228">
            <w:r>
              <w:t>90</w:t>
            </w:r>
          </w:p>
        </w:tc>
        <w:tc>
          <w:tcPr>
            <w:tcW w:w="1061" w:type="dxa"/>
            <w:vMerge/>
          </w:tcPr>
          <w:p w:rsidR="00341CE6" w:rsidRDefault="00341CE6" w:rsidP="00082228"/>
        </w:tc>
        <w:tc>
          <w:tcPr>
            <w:tcW w:w="2250" w:type="dxa"/>
          </w:tcPr>
          <w:p w:rsidR="00341CE6" w:rsidRDefault="00341CE6" w:rsidP="00082228">
            <w:r>
              <w:t>5/1/2018</w:t>
            </w:r>
          </w:p>
        </w:tc>
        <w:tc>
          <w:tcPr>
            <w:tcW w:w="2245" w:type="dxa"/>
          </w:tcPr>
          <w:p w:rsidR="00341CE6" w:rsidRDefault="00341CE6" w:rsidP="00082228">
            <w:r>
              <w:t>61</w:t>
            </w:r>
          </w:p>
        </w:tc>
      </w:tr>
    </w:tbl>
    <w:p w:rsidR="00341CE6" w:rsidRDefault="00341CE6" w:rsidP="00341CE6"/>
    <w:p w:rsidR="00341CE6" w:rsidRDefault="00341CE6" w:rsidP="00341CE6">
      <w:pPr>
        <w:pStyle w:val="Heading1"/>
      </w:pPr>
      <w:r>
        <w:t>Step 2 – Stage and Transform the Processed Data</w:t>
      </w:r>
    </w:p>
    <w:p w:rsidR="00341CE6" w:rsidRDefault="00341CE6" w:rsidP="00341CE6">
      <w:r>
        <w:t xml:space="preserve">This next portion will require some dynamic SQL to create coverage flags for every single day counted within the timeframe of interest. </w:t>
      </w:r>
    </w:p>
    <w:p w:rsidR="00341CE6" w:rsidRDefault="00341CE6" w:rsidP="00341CE6">
      <w:r>
        <w:t>Personally, I decided to opt for designating the PDC Calculation to Start with the first day the patient has the medication on hand within the quarter of interest (PDC_Day0). This was achieved with a simple aggregation on the Patient and Drug (Drug was already limited down to one agent of interest but can be partitioned by the drug as well):</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 xml:space="preserve">as </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min</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ModifiedReleaseDate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PDC_Day0</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ModifiedReleaseDate</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DateDiff</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dd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StartQuarter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ModifiedReleaseDate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StartDay</w:t>
      </w:r>
      <w:proofErr w:type="spellEnd"/>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Test.RxProcessed</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ModifiedReleaseDate</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ModifiedDaysSupply</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StartDay</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DaysInTheQuarter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DateDiff</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dd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StartQuarter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PDC_Day0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PDCTotalDays</w:t>
      </w:r>
      <w:proofErr w:type="spellEnd"/>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#Rx_Step2</w:t>
      </w:r>
    </w:p>
    <w:p w:rsidR="00341CE6" w:rsidRDefault="00341CE6" w:rsidP="00341CE6">
      <w:pPr>
        <w:rPr>
          <w:rFonts w:ascii="Consolas" w:hAnsi="Consolas" w:cs="Consolas"/>
          <w:color w:val="00000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w:t>
      </w:r>
    </w:p>
    <w:p w:rsidR="00341CE6" w:rsidRPr="00DD40CA" w:rsidRDefault="00341CE6" w:rsidP="00341CE6">
      <w:pPr>
        <w:rPr>
          <w:b/>
        </w:rPr>
      </w:pPr>
      <w:r w:rsidRPr="00DD40CA">
        <w:rPr>
          <w:b/>
        </w:rPr>
        <w:t xml:space="preserve">Figure 2. Hardcoded Logic for any single day of coverage </w:t>
      </w:r>
    </w:p>
    <w:p w:rsidR="00341CE6" w:rsidRDefault="00341CE6" w:rsidP="00341CE6">
      <w:r w:rsidRPr="007E6509">
        <w:rPr>
          <w:noProof/>
        </w:rPr>
        <w:drawing>
          <wp:inline distT="0" distB="0" distL="0" distR="0" wp14:anchorId="7078486B" wp14:editId="517F217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341CE6" w:rsidRDefault="00341CE6" w:rsidP="00341CE6">
      <w:r>
        <w:t xml:space="preserve">Figure 2 shows the individual case statement needed to flag a single day with the binary 1/0 flag. For the selected day, the prescription MUST be released on or prior to the selected day. Then the addition of the Modified </w:t>
      </w:r>
      <w:proofErr w:type="spellStart"/>
      <w:r>
        <w:t>Days</w:t>
      </w:r>
      <w:proofErr w:type="spellEnd"/>
      <w:r>
        <w:t xml:space="preserve"> Supply to the normalized released date (Start Day) must be greater than or equal to selected day. Meeting these two criteria will indicate that the therapy was on hand during that single day.</w:t>
      </w:r>
    </w:p>
    <w:p w:rsidR="00341CE6" w:rsidRDefault="00341CE6" w:rsidP="00341CE6">
      <w:r>
        <w:t xml:space="preserve">“case when </w:t>
      </w:r>
      <w:proofErr w:type="spellStart"/>
      <w:r>
        <w:t>StartDay</w:t>
      </w:r>
      <w:proofErr w:type="spellEnd"/>
      <w:r>
        <w:t xml:space="preserve"> &lt;= @</w:t>
      </w:r>
      <w:proofErr w:type="spellStart"/>
      <w:r>
        <w:t>DayNumber</w:t>
      </w:r>
      <w:proofErr w:type="spellEnd"/>
      <w:r>
        <w:t xml:space="preserve"> and </w:t>
      </w:r>
      <w:proofErr w:type="spellStart"/>
      <w:r>
        <w:t>StartDay</w:t>
      </w:r>
      <w:proofErr w:type="spellEnd"/>
      <w:r>
        <w:t xml:space="preserve"> + </w:t>
      </w:r>
      <w:proofErr w:type="spellStart"/>
      <w:r>
        <w:t>ModifiedDaysSupply</w:t>
      </w:r>
      <w:proofErr w:type="spellEnd"/>
      <w:r>
        <w:t xml:space="preserve"> &gt;= @</w:t>
      </w:r>
      <w:proofErr w:type="spellStart"/>
      <w:r>
        <w:t>DayNumber</w:t>
      </w:r>
      <w:proofErr w:type="spellEnd"/>
      <w:r>
        <w:t xml:space="preserve"> then 1 else 0 end as </w:t>
      </w:r>
      <w:proofErr w:type="spellStart"/>
      <w:r>
        <w:t>DayNumber</w:t>
      </w:r>
      <w:proofErr w:type="spellEnd"/>
      <w:r>
        <w:t>”</w:t>
      </w:r>
    </w:p>
    <w:p w:rsidR="00341CE6" w:rsidRDefault="00341CE6" w:rsidP="00341CE6">
      <w:r>
        <w:t>Instead of hardcoding this “n” times to span a rolling 365 days or a quarter in my case, use dynamic SQL:</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ZeroIndexStart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FieldNameIndex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@SQL1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DaysInTheQuarter</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concat</w:t>
      </w:r>
      <w:proofErr w:type="spellEnd"/>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FieldNameIndex</w:t>
      </w:r>
      <w:proofErr w:type="spellEnd"/>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concat</w:t>
      </w:r>
      <w:proofErr w:type="spellEnd"/>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 +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@SQL1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concat</w:t>
      </w:r>
      <w:proofErr w:type="spellEnd"/>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 xml:space="preserve">', case when </w:t>
      </w:r>
      <w:proofErr w:type="spellStart"/>
      <w:r>
        <w:rPr>
          <w:rFonts w:ascii="Consolas" w:hAnsi="Consolas" w:cs="Consolas"/>
          <w:color w:val="FF0000"/>
          <w:sz w:val="19"/>
          <w:szCs w:val="19"/>
          <w:highlight w:val="white"/>
        </w:rPr>
        <w:t>StartDay</w:t>
      </w:r>
      <w:proofErr w:type="spellEnd"/>
      <w:r>
        <w:rPr>
          <w:rFonts w:ascii="Consolas" w:hAnsi="Consolas" w:cs="Consolas"/>
          <w:color w:val="FF0000"/>
          <w:sz w:val="19"/>
          <w:szCs w:val="19"/>
          <w:highlight w:val="white"/>
        </w:rPr>
        <w:t xml:space="preserve"> &lt;='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ZeroIndexStart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and </w:t>
      </w:r>
      <w:proofErr w:type="spellStart"/>
      <w:r>
        <w:rPr>
          <w:rFonts w:ascii="Consolas" w:hAnsi="Consolas" w:cs="Consolas"/>
          <w:color w:val="FF0000"/>
          <w:sz w:val="19"/>
          <w:szCs w:val="19"/>
          <w:highlight w:val="white"/>
        </w:rPr>
        <w:t>StartDay</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ModifiedDaysSupply</w:t>
      </w:r>
      <w:proofErr w:type="spellEnd"/>
      <w:r>
        <w:rPr>
          <w:rFonts w:ascii="Consolas" w:hAnsi="Consolas" w:cs="Consolas"/>
          <w:color w:val="FF0000"/>
          <w:sz w:val="19"/>
          <w:szCs w:val="19"/>
          <w:highlight w:val="white"/>
        </w:rPr>
        <w:t xml:space="preserve"> &gt;=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ZeroIndexStart</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then 1 else 0 end as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ZeroIndexStart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Test</w:t>
      </w:r>
      <w:r>
        <w:rPr>
          <w:rFonts w:ascii="Consolas" w:hAnsi="Consolas" w:cs="Consolas"/>
          <w:color w:val="808080"/>
          <w:sz w:val="19"/>
          <w:szCs w:val="19"/>
          <w:highlight w:val="white"/>
        </w:rPr>
        <w:t>.</w:t>
      </w:r>
      <w:r>
        <w:rPr>
          <w:rFonts w:ascii="Consolas" w:hAnsi="Consolas" w:cs="Consolas"/>
          <w:color w:val="000000"/>
          <w:sz w:val="19"/>
          <w:szCs w:val="19"/>
          <w:highlight w:val="white"/>
        </w:rPr>
        <w:t>RxProcessedStep3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341CE6" w:rsidRDefault="00341CE6" w:rsidP="00341CE6">
      <w:pPr>
        <w:rPr>
          <w:rFonts w:ascii="Consolas" w:hAnsi="Consolas" w:cs="Consolas"/>
          <w:color w:val="808080"/>
          <w:sz w:val="19"/>
          <w:szCs w:val="19"/>
        </w:rPr>
      </w:pPr>
      <w:proofErr w:type="gramStart"/>
      <w:r>
        <w:rPr>
          <w:rFonts w:ascii="Consolas" w:hAnsi="Consolas" w:cs="Consolas"/>
          <w:color w:val="0000FF"/>
          <w:sz w:val="19"/>
          <w:szCs w:val="19"/>
          <w:highlight w:val="white"/>
        </w:rPr>
        <w:t>exec</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'select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@SQL1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into Test.RxProcessedStep3 from #Rx_Step2'</w:t>
      </w:r>
      <w:r>
        <w:rPr>
          <w:rFonts w:ascii="Consolas" w:hAnsi="Consolas" w:cs="Consolas"/>
          <w:color w:val="808080"/>
          <w:sz w:val="19"/>
          <w:szCs w:val="19"/>
          <w:highlight w:val="white"/>
        </w:rPr>
        <w:t>)</w:t>
      </w:r>
    </w:p>
    <w:p w:rsidR="00341CE6" w:rsidRDefault="00341CE6" w:rsidP="00341CE6">
      <w:r>
        <w:t>With this query, every day within the quarter is categorized using the notation D01-D9x with a corresponding 1/0 flag.</w:t>
      </w:r>
    </w:p>
    <w:p w:rsidR="00341CE6" w:rsidRDefault="00341CE6" w:rsidP="00341CE6">
      <w:r>
        <w:t xml:space="preserve">This completes the transformation of the data into the format we can soon manipulate to calculate both PDC and detect concomitant drug therapy days. </w:t>
      </w:r>
    </w:p>
    <w:p w:rsidR="00341CE6" w:rsidRDefault="00341CE6" w:rsidP="00341CE6">
      <w:pPr>
        <w:pStyle w:val="Heading1"/>
      </w:pPr>
      <w:r>
        <w:t>Step 3 – Aggregate the Data</w:t>
      </w:r>
    </w:p>
    <w:p w:rsidR="00341CE6" w:rsidRDefault="00341CE6" w:rsidP="00341CE6">
      <w:r>
        <w:t>The above currently converts every prescription fill to be expressed as 1/0 over the identified timeframe. But what if the patient had more than one fill of the prescription? That’s currently being structured as a second row of data for the patient by the drug.</w:t>
      </w:r>
    </w:p>
    <w:p w:rsidR="00341CE6" w:rsidRDefault="00341CE6" w:rsidP="00341CE6">
      <w:r>
        <w:t xml:space="preserve">Solution: We need to begin aggregating the data to eliminate the fills to coverage by drug. </w:t>
      </w:r>
    </w:p>
    <w:p w:rsidR="00341CE6" w:rsidRDefault="00341CE6" w:rsidP="00341CE6">
      <w:r>
        <w:t xml:space="preserve">Very similar to Step 2, the best methodology is to use dynamic SQL to create the query for you rather than needing to hardcode every aggregation. </w:t>
      </w:r>
    </w:p>
    <w:p w:rsidR="00341CE6" w:rsidRDefault="00341CE6" w:rsidP="00341CE6">
      <w:r>
        <w:t xml:space="preserve">One major tip in this situation is to use Permanent tables which can be easily referenced by the SSMS’s </w:t>
      </w:r>
      <w:proofErr w:type="spellStart"/>
      <w:r>
        <w:t>Information_Schema</w:t>
      </w:r>
      <w:proofErr w:type="spellEnd"/>
      <w:r>
        <w:t xml:space="preserve"> to find all fields within a table.</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@Max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@Max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concat</w:t>
      </w:r>
      <w:proofErr w:type="spellEnd"/>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 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as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Table_Schema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'Test'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'RxProcessedStep3'</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PatientID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ModifiedReleaseDate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ModifiedDaysSupply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StartDay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Test</w:t>
      </w:r>
      <w:r>
        <w:rPr>
          <w:rFonts w:ascii="Consolas" w:hAnsi="Consolas" w:cs="Consolas"/>
          <w:color w:val="808080"/>
          <w:sz w:val="19"/>
          <w:szCs w:val="19"/>
          <w:highlight w:val="white"/>
        </w:rPr>
        <w:t>.</w:t>
      </w:r>
      <w:r>
        <w:rPr>
          <w:rFonts w:ascii="Consolas" w:hAnsi="Consolas" w:cs="Consolas"/>
          <w:color w:val="000000"/>
          <w:sz w:val="19"/>
          <w:szCs w:val="19"/>
          <w:highlight w:val="white"/>
        </w:rPr>
        <w:t>RxProcessedStep4</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exec</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ab/>
        <w:t xml:space="preserve">select </w:t>
      </w:r>
      <w:proofErr w:type="spellStart"/>
      <w:r>
        <w:rPr>
          <w:rFonts w:ascii="Consolas" w:hAnsi="Consolas" w:cs="Consolas"/>
          <w:color w:val="FF0000"/>
          <w:sz w:val="19"/>
          <w:szCs w:val="19"/>
          <w:highlight w:val="white"/>
        </w:rPr>
        <w:t>PatientID</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@Max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into Test.RxProcessedStep4</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from Test.RxProcessedStep3</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 xml:space="preserve">group by </w:t>
      </w:r>
      <w:proofErr w:type="spellStart"/>
      <w:r>
        <w:rPr>
          <w:rFonts w:ascii="Consolas" w:hAnsi="Consolas" w:cs="Consolas"/>
          <w:color w:val="FF0000"/>
          <w:sz w:val="19"/>
          <w:szCs w:val="19"/>
          <w:highlight w:val="white"/>
        </w:rPr>
        <w:t>PatientID</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w:t>
      </w:r>
    </w:p>
    <w:p w:rsidR="00341CE6" w:rsidRDefault="00341CE6" w:rsidP="00341CE6">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rsidR="00341CE6" w:rsidRDefault="00341CE6" w:rsidP="00341CE6">
      <w:r>
        <w:lastRenderedPageBreak/>
        <w:t xml:space="preserve">Note: If detecting the presence of concomitant drug therapy, you’ll want to include the drug name here so that the data is retained. For simplicity, I showed an example focused on PDC with 1 drug. </w:t>
      </w:r>
    </w:p>
    <w:p w:rsidR="00341CE6" w:rsidRDefault="00341CE6" w:rsidP="00341CE6">
      <w:r>
        <w:t xml:space="preserve">Since my underlying example was using only one Drug, I only grouped by the Patient. This will now yield Patient, D01, D02…D9n. </w:t>
      </w:r>
    </w:p>
    <w:p w:rsidR="00341CE6" w:rsidRDefault="00341CE6" w:rsidP="00341CE6">
      <w:pPr>
        <w:pStyle w:val="Heading1"/>
      </w:pPr>
      <w:r>
        <w:t>Step 4 – Manipulate the Data for your end goal</w:t>
      </w:r>
    </w:p>
    <w:p w:rsidR="00341CE6" w:rsidRDefault="00341CE6" w:rsidP="00341CE6">
      <w:r>
        <w:t>Now we’re at the end of the project! Do you want to calculate PDC or look for Concomitant Drug Therapy or both? Either way, read on and learn how!</w:t>
      </w:r>
    </w:p>
    <w:p w:rsidR="00341CE6" w:rsidRDefault="00341CE6" w:rsidP="00341CE6">
      <w:pPr>
        <w:pStyle w:val="Heading2"/>
      </w:pPr>
      <w:r>
        <w:t>Proportion Days Covered (PDC)</w:t>
      </w:r>
    </w:p>
    <w:p w:rsidR="00341CE6" w:rsidRDefault="00341CE6" w:rsidP="00341CE6">
      <w:pPr>
        <w:rPr>
          <w:rFonts w:eastAsiaTheme="minorEastAsia"/>
        </w:rPr>
      </w:pPr>
      <w:r>
        <w:t xml:space="preserve">This is most simply defined by this equation: PDC = </w:t>
      </w:r>
      <m:oMath>
        <m:f>
          <m:fPr>
            <m:ctrlPr>
              <w:rPr>
                <w:rFonts w:ascii="Cambria Math" w:hAnsi="Cambria Math"/>
                <w:i/>
              </w:rPr>
            </m:ctrlPr>
          </m:fPr>
          <m:num>
            <m:r>
              <w:rPr>
                <w:rFonts w:ascii="Cambria Math" w:hAnsi="Cambria Math"/>
              </w:rPr>
              <m:t># of Days Covered</m:t>
            </m:r>
          </m:num>
          <m:den>
            <m:r>
              <w:rPr>
                <w:rFonts w:ascii="Cambria Math" w:hAnsi="Cambria Math"/>
              </w:rPr>
              <m:t xml:space="preserve">Total # of Days </m:t>
            </m:r>
          </m:den>
        </m:f>
      </m:oMath>
    </w:p>
    <w:p w:rsidR="00341CE6" w:rsidRDefault="00341CE6" w:rsidP="00341CE6">
      <w:pPr>
        <w:rPr>
          <w:rFonts w:eastAsiaTheme="minorEastAsia"/>
        </w:rPr>
      </w:pPr>
      <w:r>
        <w:rPr>
          <w:rFonts w:eastAsiaTheme="minorEastAsia"/>
        </w:rPr>
        <w:t xml:space="preserve">Based on the decisions we made at the very beginning, before Step 1, we can now apply our business rules to complete this calculation. </w:t>
      </w:r>
    </w:p>
    <w:p w:rsidR="00341CE6" w:rsidRPr="0042688B" w:rsidRDefault="00341CE6" w:rsidP="00341CE6">
      <w:pPr>
        <w:pStyle w:val="ListParagraph"/>
        <w:numPr>
          <w:ilvl w:val="0"/>
          <w:numId w:val="2"/>
        </w:numPr>
      </w:pPr>
      <w:r>
        <w:t xml:space="preserve"># of Days Covered: </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Day</m:t>
                    </m:r>
                  </m:e>
                  <m:sub>
                    <m:r>
                      <w:rPr>
                        <w:rFonts w:ascii="Cambria Math" w:eastAsia="Cambria Math" w:hAnsi="Cambria Math" w:cs="Cambria Math"/>
                      </w:rPr>
                      <m:t>i</m:t>
                    </m:r>
                  </m:sub>
                </m:sSub>
              </m:e>
            </m:d>
          </m:e>
        </m:nary>
      </m:oMath>
    </w:p>
    <w:p w:rsidR="00341CE6" w:rsidRPr="0042688B" w:rsidRDefault="00341CE6" w:rsidP="00341CE6">
      <w:pPr>
        <w:pStyle w:val="ListParagraph"/>
        <w:numPr>
          <w:ilvl w:val="0"/>
          <w:numId w:val="2"/>
        </w:numPr>
      </w:pPr>
      <w:r>
        <w:rPr>
          <w:rFonts w:eastAsiaTheme="minorEastAsia"/>
        </w:rPr>
        <w:t>Total # of Days: Must be determined by your choice</w:t>
      </w:r>
    </w:p>
    <w:p w:rsidR="00341CE6" w:rsidRDefault="00341CE6" w:rsidP="00341CE6">
      <w:r>
        <w:t>Once again, instead of hardcoding the summation of every single day within the timeframe, use dynamic SQL to create the new field based on that n-days you have:</w:t>
      </w:r>
    </w:p>
    <w:p w:rsidR="00341CE6" w:rsidRDefault="00341CE6" w:rsidP="00341CE6">
      <w:pPr>
        <w:pStyle w:val="ListParagraph"/>
        <w:numPr>
          <w:ilvl w:val="0"/>
          <w:numId w:val="2"/>
        </w:numPr>
      </w:pPr>
      <w:r>
        <w:t>Please refer to Step 2: @</w:t>
      </w:r>
      <w:proofErr w:type="spellStart"/>
      <w:r>
        <w:t>PDCTotal</w:t>
      </w:r>
      <w:proofErr w:type="spellEnd"/>
      <w: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Test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RxProcessedStep5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exec</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select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as </w:t>
      </w:r>
      <w:proofErr w:type="spellStart"/>
      <w:r>
        <w:rPr>
          <w:rFonts w:ascii="Consolas" w:hAnsi="Consolas" w:cs="Consolas"/>
          <w:color w:val="FF0000"/>
          <w:sz w:val="19"/>
          <w:szCs w:val="19"/>
          <w:highlight w:val="white"/>
        </w:rPr>
        <w:t>PDCTotal</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Into Test.RxProcessedStep5</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from Test.RxProcessedStep4</w:t>
      </w:r>
    </w:p>
    <w:p w:rsidR="00341CE6" w:rsidRDefault="00341CE6" w:rsidP="00341CE6">
      <w:pPr>
        <w:pStyle w:val="ListParagraph"/>
        <w:rPr>
          <w:rFonts w:ascii="Consolas" w:hAnsi="Consolas" w:cs="Consolas"/>
          <w:color w:val="808080"/>
          <w:sz w:val="19"/>
          <w:szCs w:val="19"/>
        </w:rPr>
      </w:pPr>
      <w:r>
        <w:rPr>
          <w:rFonts w:ascii="Consolas" w:hAnsi="Consolas" w:cs="Consolas"/>
          <w:color w:val="FF0000"/>
          <w:sz w:val="19"/>
          <w:szCs w:val="19"/>
          <w:highlight w:val="white"/>
        </w:rPr>
        <w:tab/>
        <w:t>'</w:t>
      </w:r>
      <w:r>
        <w:rPr>
          <w:rFonts w:ascii="Consolas" w:hAnsi="Consolas" w:cs="Consolas"/>
          <w:color w:val="808080"/>
          <w:sz w:val="19"/>
          <w:szCs w:val="19"/>
          <w:highlight w:val="white"/>
        </w:rPr>
        <w:t>)</w:t>
      </w:r>
    </w:p>
    <w:p w:rsidR="00341CE6" w:rsidRDefault="00341CE6" w:rsidP="00341CE6">
      <w:pPr>
        <w:pStyle w:val="ListParagraph"/>
        <w:numPr>
          <w:ilvl w:val="0"/>
          <w:numId w:val="2"/>
        </w:numPr>
      </w:pPr>
      <w:r>
        <w:t>Finally, we can apply the equation to the entire dataset:</w:t>
      </w:r>
    </w:p>
    <w:p w:rsidR="00341CE6" w:rsidRDefault="00341CE6" w:rsidP="00341CE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PDCTotalDays</w:t>
      </w:r>
      <w:proofErr w:type="spellEnd"/>
    </w:p>
    <w:p w:rsidR="00341CE6" w:rsidRDefault="00341CE6" w:rsidP="00341CE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PDCTotalDays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1.0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PDCTotalDays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PDC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#PDC</w:t>
      </w:r>
    </w:p>
    <w:p w:rsidR="00341CE6" w:rsidRDefault="00341CE6" w:rsidP="00341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Test.RxProcessedStep5</w:t>
      </w:r>
    </w:p>
    <w:p w:rsidR="00341CE6" w:rsidRDefault="00341CE6" w:rsidP="00341CE6">
      <w:pPr>
        <w:autoSpaceDE w:val="0"/>
        <w:autoSpaceDN w:val="0"/>
        <w:adjustRightInd w:val="0"/>
        <w:spacing w:after="0" w:line="240" w:lineRule="auto"/>
        <w:rPr>
          <w:rFonts w:ascii="Consolas" w:hAnsi="Consolas" w:cs="Consolas"/>
          <w:color w:val="000000"/>
          <w:sz w:val="19"/>
          <w:szCs w:val="19"/>
        </w:rPr>
      </w:pPr>
    </w:p>
    <w:p w:rsidR="00341CE6" w:rsidRDefault="00341CE6" w:rsidP="00341CE6">
      <w:proofErr w:type="spellStart"/>
      <w:r>
        <w:t>PDCTotalDays</w:t>
      </w:r>
      <w:proofErr w:type="spellEnd"/>
      <w:r>
        <w:t xml:space="preserve"> was identified in Step 2 and incorporated as part of the aggregation in Step 3 making it ready to use in Step 4. </w:t>
      </w:r>
    </w:p>
    <w:p w:rsidR="00341CE6" w:rsidRDefault="00341CE6" w:rsidP="00341CE6">
      <w:pPr>
        <w:pStyle w:val="Heading2"/>
      </w:pPr>
      <w:r>
        <w:t xml:space="preserve">Concomitant Drug Therapy </w:t>
      </w:r>
    </w:p>
    <w:p w:rsidR="00341CE6" w:rsidRDefault="00341CE6" w:rsidP="00341CE6">
      <w:r>
        <w:t xml:space="preserve">This requires including at least another drug so let’s use the assumption that our final table has an additional Drug field. </w:t>
      </w:r>
    </w:p>
    <w:p w:rsidR="00341CE6" w:rsidRDefault="00341CE6" w:rsidP="00341CE6">
      <w:r>
        <w:t>This dataset will look more like the below:</w:t>
      </w:r>
      <w:r>
        <w:fldChar w:fldCharType="begin"/>
      </w:r>
      <w:r>
        <w:instrText xml:space="preserve"> LINK Excel.Sheet.12 "Book1" "Sheet2!R3C4:R4C12" \a \f 5 \h  \* MERGEFORMAT </w:instrText>
      </w:r>
      <w:r>
        <w:fldChar w:fldCharType="separate"/>
      </w:r>
    </w:p>
    <w:tbl>
      <w:tblPr>
        <w:tblStyle w:val="TableGrid"/>
        <w:tblW w:w="9350" w:type="dxa"/>
        <w:tblLook w:val="04A0" w:firstRow="1" w:lastRow="0" w:firstColumn="1" w:lastColumn="0" w:noHBand="0" w:noVBand="1"/>
      </w:tblPr>
      <w:tblGrid>
        <w:gridCol w:w="1161"/>
        <w:gridCol w:w="1264"/>
        <w:gridCol w:w="1469"/>
        <w:gridCol w:w="871"/>
        <w:gridCol w:w="900"/>
        <w:gridCol w:w="850"/>
        <w:gridCol w:w="945"/>
        <w:gridCol w:w="945"/>
        <w:gridCol w:w="945"/>
      </w:tblGrid>
      <w:tr w:rsidR="00341CE6" w:rsidRPr="00C41731" w:rsidTr="00082228">
        <w:trPr>
          <w:trHeight w:val="300"/>
        </w:trPr>
        <w:tc>
          <w:tcPr>
            <w:tcW w:w="1161" w:type="dxa"/>
            <w:noWrap/>
            <w:hideMark/>
          </w:tcPr>
          <w:p w:rsidR="00341CE6" w:rsidRPr="00C41731" w:rsidRDefault="00341CE6" w:rsidP="00082228">
            <w:proofErr w:type="spellStart"/>
            <w:r w:rsidRPr="00C41731">
              <w:t>PatientID</w:t>
            </w:r>
            <w:proofErr w:type="spellEnd"/>
          </w:p>
        </w:tc>
        <w:tc>
          <w:tcPr>
            <w:tcW w:w="1264" w:type="dxa"/>
            <w:noWrap/>
            <w:hideMark/>
          </w:tcPr>
          <w:p w:rsidR="00341CE6" w:rsidRPr="00C41731" w:rsidRDefault="00341CE6" w:rsidP="00082228">
            <w:r w:rsidRPr="00C41731">
              <w:t>Drug</w:t>
            </w:r>
          </w:p>
        </w:tc>
        <w:tc>
          <w:tcPr>
            <w:tcW w:w="1469" w:type="dxa"/>
            <w:noWrap/>
            <w:hideMark/>
          </w:tcPr>
          <w:p w:rsidR="00341CE6" w:rsidRPr="00C41731" w:rsidRDefault="00341CE6" w:rsidP="00082228">
            <w:proofErr w:type="spellStart"/>
            <w:r w:rsidRPr="00C41731">
              <w:t>PDCTotalDays</w:t>
            </w:r>
            <w:proofErr w:type="spellEnd"/>
          </w:p>
        </w:tc>
        <w:tc>
          <w:tcPr>
            <w:tcW w:w="871" w:type="dxa"/>
            <w:noWrap/>
            <w:hideMark/>
          </w:tcPr>
          <w:p w:rsidR="00341CE6" w:rsidRPr="00C41731" w:rsidRDefault="00341CE6" w:rsidP="00082228">
            <w:r w:rsidRPr="00C41731">
              <w:t>D01</w:t>
            </w:r>
          </w:p>
        </w:tc>
        <w:tc>
          <w:tcPr>
            <w:tcW w:w="900" w:type="dxa"/>
            <w:noWrap/>
            <w:hideMark/>
          </w:tcPr>
          <w:p w:rsidR="00341CE6" w:rsidRPr="00C41731" w:rsidRDefault="00341CE6" w:rsidP="00082228">
            <w:r w:rsidRPr="00C41731">
              <w:t>D02</w:t>
            </w:r>
          </w:p>
        </w:tc>
        <w:tc>
          <w:tcPr>
            <w:tcW w:w="850" w:type="dxa"/>
            <w:noWrap/>
            <w:hideMark/>
          </w:tcPr>
          <w:p w:rsidR="00341CE6" w:rsidRPr="00C41731" w:rsidRDefault="00341CE6" w:rsidP="00082228">
            <w:r w:rsidRPr="00C41731">
              <w:t>D03</w:t>
            </w:r>
          </w:p>
        </w:tc>
        <w:tc>
          <w:tcPr>
            <w:tcW w:w="945" w:type="dxa"/>
            <w:noWrap/>
            <w:hideMark/>
          </w:tcPr>
          <w:p w:rsidR="00341CE6" w:rsidRPr="00C41731" w:rsidRDefault="00341CE6" w:rsidP="00082228">
            <w:r w:rsidRPr="00C41731">
              <w:t>D04</w:t>
            </w:r>
          </w:p>
        </w:tc>
        <w:tc>
          <w:tcPr>
            <w:tcW w:w="945" w:type="dxa"/>
            <w:noWrap/>
            <w:hideMark/>
          </w:tcPr>
          <w:p w:rsidR="00341CE6" w:rsidRPr="00C41731" w:rsidRDefault="00341CE6" w:rsidP="00082228">
            <w:r w:rsidRPr="00C41731">
              <w:t>D05</w:t>
            </w:r>
          </w:p>
        </w:tc>
        <w:tc>
          <w:tcPr>
            <w:tcW w:w="945" w:type="dxa"/>
            <w:noWrap/>
            <w:hideMark/>
          </w:tcPr>
          <w:p w:rsidR="00341CE6" w:rsidRPr="00C41731" w:rsidRDefault="00341CE6" w:rsidP="00082228">
            <w:r w:rsidRPr="00C41731">
              <w:t>D</w:t>
            </w:r>
            <w:r>
              <w:t>XX</w:t>
            </w:r>
          </w:p>
        </w:tc>
      </w:tr>
      <w:tr w:rsidR="00341CE6" w:rsidRPr="00C41731" w:rsidTr="00082228">
        <w:trPr>
          <w:trHeight w:val="300"/>
        </w:trPr>
        <w:tc>
          <w:tcPr>
            <w:tcW w:w="1161" w:type="dxa"/>
            <w:noWrap/>
            <w:hideMark/>
          </w:tcPr>
          <w:p w:rsidR="00341CE6" w:rsidRPr="00C41731" w:rsidRDefault="00341CE6" w:rsidP="00082228">
            <w:r w:rsidRPr="00C41731">
              <w:t>A</w:t>
            </w:r>
          </w:p>
        </w:tc>
        <w:tc>
          <w:tcPr>
            <w:tcW w:w="1264" w:type="dxa"/>
            <w:noWrap/>
            <w:hideMark/>
          </w:tcPr>
          <w:p w:rsidR="00341CE6" w:rsidRPr="00C41731" w:rsidRDefault="00341CE6" w:rsidP="00082228">
            <w:r w:rsidRPr="00C41731">
              <w:t>Sertraline</w:t>
            </w:r>
          </w:p>
        </w:tc>
        <w:tc>
          <w:tcPr>
            <w:tcW w:w="1469" w:type="dxa"/>
            <w:noWrap/>
            <w:hideMark/>
          </w:tcPr>
          <w:p w:rsidR="00341CE6" w:rsidRPr="00C41731" w:rsidRDefault="00341CE6" w:rsidP="00082228">
            <w:r w:rsidRPr="00C41731">
              <w:t>91</w:t>
            </w:r>
          </w:p>
        </w:tc>
        <w:tc>
          <w:tcPr>
            <w:tcW w:w="871" w:type="dxa"/>
            <w:noWrap/>
            <w:hideMark/>
          </w:tcPr>
          <w:p w:rsidR="00341CE6" w:rsidRPr="00C41731" w:rsidRDefault="00341CE6" w:rsidP="00082228">
            <w:r w:rsidRPr="00C41731">
              <w:t>1</w:t>
            </w:r>
          </w:p>
        </w:tc>
        <w:tc>
          <w:tcPr>
            <w:tcW w:w="900" w:type="dxa"/>
            <w:noWrap/>
            <w:hideMark/>
          </w:tcPr>
          <w:p w:rsidR="00341CE6" w:rsidRPr="00C41731" w:rsidRDefault="00341CE6" w:rsidP="00082228">
            <w:r w:rsidRPr="00C41731">
              <w:t>1</w:t>
            </w:r>
          </w:p>
        </w:tc>
        <w:tc>
          <w:tcPr>
            <w:tcW w:w="850" w:type="dxa"/>
            <w:noWrap/>
            <w:hideMark/>
          </w:tcPr>
          <w:p w:rsidR="00341CE6" w:rsidRPr="00C41731" w:rsidRDefault="00341CE6" w:rsidP="00082228">
            <w:r w:rsidRPr="00C41731">
              <w:t>1</w:t>
            </w:r>
          </w:p>
        </w:tc>
        <w:tc>
          <w:tcPr>
            <w:tcW w:w="945" w:type="dxa"/>
            <w:noWrap/>
            <w:hideMark/>
          </w:tcPr>
          <w:p w:rsidR="00341CE6" w:rsidRPr="00C41731" w:rsidRDefault="00341CE6" w:rsidP="00082228">
            <w:r w:rsidRPr="00C41731">
              <w:t>1</w:t>
            </w:r>
          </w:p>
        </w:tc>
        <w:tc>
          <w:tcPr>
            <w:tcW w:w="945" w:type="dxa"/>
            <w:noWrap/>
            <w:hideMark/>
          </w:tcPr>
          <w:p w:rsidR="00341CE6" w:rsidRPr="00C41731" w:rsidRDefault="00341CE6" w:rsidP="00082228">
            <w:r w:rsidRPr="00C41731">
              <w:t>1</w:t>
            </w:r>
          </w:p>
        </w:tc>
        <w:tc>
          <w:tcPr>
            <w:tcW w:w="945" w:type="dxa"/>
            <w:noWrap/>
            <w:hideMark/>
          </w:tcPr>
          <w:p w:rsidR="00341CE6" w:rsidRPr="00C41731" w:rsidRDefault="00341CE6" w:rsidP="00082228">
            <w:r w:rsidRPr="00C41731">
              <w:t>1</w:t>
            </w:r>
          </w:p>
        </w:tc>
      </w:tr>
      <w:tr w:rsidR="00341CE6" w:rsidRPr="00C41731" w:rsidTr="00082228">
        <w:trPr>
          <w:trHeight w:val="300"/>
        </w:trPr>
        <w:tc>
          <w:tcPr>
            <w:tcW w:w="1161" w:type="dxa"/>
            <w:noWrap/>
          </w:tcPr>
          <w:p w:rsidR="00341CE6" w:rsidRPr="00C41731" w:rsidRDefault="00341CE6" w:rsidP="00082228">
            <w:r>
              <w:t>A</w:t>
            </w:r>
          </w:p>
        </w:tc>
        <w:tc>
          <w:tcPr>
            <w:tcW w:w="1264" w:type="dxa"/>
            <w:noWrap/>
          </w:tcPr>
          <w:p w:rsidR="00341CE6" w:rsidRPr="00C41731" w:rsidRDefault="00341CE6" w:rsidP="00082228">
            <w:r>
              <w:t>Fluoxetine</w:t>
            </w:r>
          </w:p>
        </w:tc>
        <w:tc>
          <w:tcPr>
            <w:tcW w:w="1469" w:type="dxa"/>
            <w:noWrap/>
          </w:tcPr>
          <w:p w:rsidR="00341CE6" w:rsidRPr="00C41731" w:rsidRDefault="00341CE6" w:rsidP="00082228">
            <w:r>
              <w:t>91</w:t>
            </w:r>
          </w:p>
        </w:tc>
        <w:tc>
          <w:tcPr>
            <w:tcW w:w="871" w:type="dxa"/>
            <w:noWrap/>
          </w:tcPr>
          <w:p w:rsidR="00341CE6" w:rsidRPr="00C41731" w:rsidRDefault="00341CE6" w:rsidP="00082228">
            <w:r>
              <w:t>1</w:t>
            </w:r>
          </w:p>
        </w:tc>
        <w:tc>
          <w:tcPr>
            <w:tcW w:w="900" w:type="dxa"/>
            <w:noWrap/>
          </w:tcPr>
          <w:p w:rsidR="00341CE6" w:rsidRPr="00C41731" w:rsidRDefault="00341CE6" w:rsidP="00082228">
            <w:r>
              <w:t>0</w:t>
            </w:r>
          </w:p>
        </w:tc>
        <w:tc>
          <w:tcPr>
            <w:tcW w:w="850" w:type="dxa"/>
            <w:noWrap/>
          </w:tcPr>
          <w:p w:rsidR="00341CE6" w:rsidRPr="00C41731" w:rsidRDefault="00341CE6" w:rsidP="00082228">
            <w:r>
              <w:t>0</w:t>
            </w:r>
          </w:p>
        </w:tc>
        <w:tc>
          <w:tcPr>
            <w:tcW w:w="945" w:type="dxa"/>
            <w:noWrap/>
          </w:tcPr>
          <w:p w:rsidR="00341CE6" w:rsidRPr="00C41731" w:rsidRDefault="00341CE6" w:rsidP="00082228">
            <w:r>
              <w:t>0</w:t>
            </w:r>
          </w:p>
        </w:tc>
        <w:tc>
          <w:tcPr>
            <w:tcW w:w="945" w:type="dxa"/>
            <w:noWrap/>
          </w:tcPr>
          <w:p w:rsidR="00341CE6" w:rsidRPr="00C41731" w:rsidRDefault="00341CE6" w:rsidP="00082228">
            <w:r>
              <w:t>0</w:t>
            </w:r>
          </w:p>
        </w:tc>
        <w:tc>
          <w:tcPr>
            <w:tcW w:w="945" w:type="dxa"/>
            <w:noWrap/>
          </w:tcPr>
          <w:p w:rsidR="00341CE6" w:rsidRPr="00C41731" w:rsidRDefault="00341CE6" w:rsidP="00082228">
            <w:r>
              <w:t>0</w:t>
            </w:r>
          </w:p>
        </w:tc>
      </w:tr>
    </w:tbl>
    <w:p w:rsidR="00341CE6" w:rsidRDefault="00341CE6" w:rsidP="00341CE6">
      <w:r>
        <w:fldChar w:fldCharType="end"/>
      </w:r>
    </w:p>
    <w:p w:rsidR="00341CE6" w:rsidRDefault="00341CE6" w:rsidP="00341CE6">
      <w:r>
        <w:lastRenderedPageBreak/>
        <w:t>For concomitant drug therapy, you can first apply some preprocessing to eliminate patients that simply do not meet the number of drugs on hand of interest. For example, if you’re looking at polypharmacy and require a minimum of 5 unique drugs, simply filter the dataset to only those that have at least 5 unique drugs.</w:t>
      </w:r>
    </w:p>
    <w:p w:rsidR="00341CE6" w:rsidRDefault="00341CE6" w:rsidP="00341CE6">
      <w:r>
        <w:t>This filter can be applied as early as Step 2 but is only optional.</w:t>
      </w:r>
    </w:p>
    <w:p w:rsidR="00341CE6" w:rsidRDefault="00341CE6" w:rsidP="00341CE6">
      <w:r>
        <w:t>Using the above table, we can easily see that D01 had concomitant therapy between Sertraline and Fluoxetine. Now if the Drug field is cleaned to just the category of agents we want such as antidepressants, we would simply conduct yet another aggregation with a having clause:</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HavingClause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@Sum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@Sum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concat</w:t>
      </w:r>
      <w:proofErr w:type="spellEnd"/>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 Sum('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as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HavingClause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'D01'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concat</w:t>
      </w:r>
      <w:proofErr w:type="spellEnd"/>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&gt; 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concat</w:t>
      </w:r>
      <w:proofErr w:type="spellEnd"/>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'OR sum('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&gt; 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Table_Schema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'Test'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'RxProcessedStep4'</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PatientID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DrugNameWithoutDose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Column_Name</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Test</w:t>
      </w:r>
      <w:r>
        <w:rPr>
          <w:rFonts w:ascii="Consolas" w:hAnsi="Consolas" w:cs="Consolas"/>
          <w:color w:val="808080"/>
          <w:sz w:val="19"/>
          <w:szCs w:val="19"/>
          <w:highlight w:val="white"/>
        </w:rPr>
        <w:t>.</w:t>
      </w:r>
      <w:r>
        <w:rPr>
          <w:rFonts w:ascii="Consolas" w:hAnsi="Consolas" w:cs="Consolas"/>
          <w:color w:val="000000"/>
          <w:sz w:val="19"/>
          <w:szCs w:val="19"/>
          <w:highlight w:val="white"/>
        </w:rPr>
        <w:t>RxProcessedStep5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exec </w:t>
      </w:r>
      <w:r>
        <w:rPr>
          <w:rFonts w:ascii="Consolas" w:hAnsi="Consolas" w:cs="Consolas"/>
          <w:color w:val="808080"/>
          <w:sz w:val="19"/>
          <w:szCs w:val="19"/>
          <w:highlight w:val="white"/>
        </w:rPr>
        <w:t>(</w:t>
      </w:r>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FF0000"/>
          <w:sz w:val="19"/>
          <w:szCs w:val="19"/>
          <w:highlight w:val="white"/>
        </w:rPr>
        <w:t xml:space="preserve">select </w:t>
      </w:r>
      <w:proofErr w:type="spellStart"/>
      <w:r>
        <w:rPr>
          <w:rFonts w:ascii="Consolas" w:hAnsi="Consolas" w:cs="Consolas"/>
          <w:color w:val="FF0000"/>
          <w:sz w:val="19"/>
          <w:szCs w:val="19"/>
          <w:highlight w:val="white"/>
        </w:rPr>
        <w:t>PatientID</w:t>
      </w:r>
      <w:proofErr w:type="spellEnd"/>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Into Test.RxProcessedStep5</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from Test.RxProcessedStep4</w:t>
      </w:r>
    </w:p>
    <w:p w:rsidR="00341CE6" w:rsidRDefault="00341CE6" w:rsidP="0034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t xml:space="preserve">group by </w:t>
      </w:r>
      <w:proofErr w:type="spellStart"/>
      <w:r>
        <w:rPr>
          <w:rFonts w:ascii="Consolas" w:hAnsi="Consolas" w:cs="Consolas"/>
          <w:color w:val="FF0000"/>
          <w:sz w:val="19"/>
          <w:szCs w:val="19"/>
          <w:highlight w:val="white"/>
        </w:rPr>
        <w:t>PatientID</w:t>
      </w:r>
      <w:proofErr w:type="spellEnd"/>
    </w:p>
    <w:p w:rsidR="00341CE6" w:rsidRDefault="00341CE6" w:rsidP="00341CE6">
      <w:pPr>
        <w:rPr>
          <w:rFonts w:ascii="Consolas" w:hAnsi="Consolas" w:cs="Consolas"/>
          <w:color w:val="808080"/>
          <w:sz w:val="19"/>
          <w:szCs w:val="19"/>
        </w:rPr>
      </w:pPr>
      <w:r>
        <w:rPr>
          <w:rFonts w:ascii="Consolas" w:hAnsi="Consolas" w:cs="Consolas"/>
          <w:color w:val="FF0000"/>
          <w:sz w:val="19"/>
          <w:szCs w:val="19"/>
          <w:highlight w:val="white"/>
        </w:rPr>
        <w:tab/>
        <w:t>having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HavingClause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p>
    <w:p w:rsidR="00341CE6" w:rsidRDefault="00341CE6" w:rsidP="00341CE6">
      <w:r>
        <w:t xml:space="preserve">Note: The @Sum variable is optional as all you need in this situation is to identify the Patients meeting the criteria. But by keeping the @Sum variable, you can also count how many days within the timeframe did the patient have concomitant drug therapy. </w:t>
      </w:r>
    </w:p>
    <w:p w:rsidR="00341CE6" w:rsidRDefault="00341CE6" w:rsidP="00341CE6">
      <w:r>
        <w:t>If you made it this far, thanks for reading and good luck with using PDC and/or Concomitant Drug Therapy in both your operations and research projects!</w:t>
      </w:r>
    </w:p>
    <w:p w:rsidR="00341CE6" w:rsidRDefault="00341CE6" w:rsidP="00341CE6"/>
    <w:p w:rsidR="00106CF3" w:rsidRDefault="00106CF3"/>
    <w:sectPr w:rsidR="0010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22D10"/>
    <w:multiLevelType w:val="hybridMultilevel"/>
    <w:tmpl w:val="3DB23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031BB"/>
    <w:multiLevelType w:val="hybridMultilevel"/>
    <w:tmpl w:val="A20050F2"/>
    <w:lvl w:ilvl="0" w:tplc="DB6A0672">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E6"/>
    <w:rsid w:val="00106CF3"/>
    <w:rsid w:val="0034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DD258-8511-4C14-BEEB-5DCB3FE5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CE6"/>
  </w:style>
  <w:style w:type="paragraph" w:styleId="Heading1">
    <w:name w:val="heading 1"/>
    <w:basedOn w:val="Normal"/>
    <w:next w:val="Normal"/>
    <w:link w:val="Heading1Char"/>
    <w:uiPriority w:val="9"/>
    <w:qFormat/>
    <w:rsid w:val="00341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1C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1CE6"/>
    <w:pPr>
      <w:ind w:left="720"/>
      <w:contextualSpacing/>
    </w:pPr>
  </w:style>
  <w:style w:type="table" w:styleId="TableGrid">
    <w:name w:val="Table Grid"/>
    <w:basedOn w:val="TableNormal"/>
    <w:uiPriority w:val="39"/>
    <w:rsid w:val="0034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1742</Words>
  <Characters>9930</Characters>
  <Application>Microsoft Office Word</Application>
  <DocSecurity>0</DocSecurity>
  <Lines>82</Lines>
  <Paragraphs>23</Paragraphs>
  <ScaleCrop>false</ScaleCrop>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2018-08-21T00:11:00Z</dcterms:created>
  <dcterms:modified xsi:type="dcterms:W3CDTF">2018-08-21T00:11:00Z</dcterms:modified>
</cp:coreProperties>
</file>