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2019 vs 2020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2019 vs 2021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2019 vs 2022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Friedman test p-value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 (95% CI)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 (95% CI)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 (95% CI)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Aminoglycosides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(-0.2, 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0.9890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-0.3 (-0.5, -0.1)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-0.7 (-0.9, -0.4)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Carbapenems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0.6 (0.4, 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0.4 (0.2, 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 (0, 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0.0960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Imipenem + Meropenem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0.5 (0.3, 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0.4 (0.2, 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0.2 (0, 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0.0460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Cephalosporins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3.7 (2.7, 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3.4 (2.2, 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2.6 (1.2, 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Fosfomycin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0.2 (0.1, 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0.3 (0.2, 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0.4 (0.3, 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Glycopeptides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 (-0.1, 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0.2880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-0.3 (-0.5, -0.1)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-1 (-1.3, -0.6)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Vancomycin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 (0, 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0.1160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-0.2 (-0.4,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-0.8 (-1.1, -0.5)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Lipopeptides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1.6 (1.2, 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2.4 (1.9, 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4.3 (3.5, 5.3)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Macrolides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1.7 (1, 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 (-1.2, 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-0.8 (-1.5, -0.1)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Azithromycin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1.3 (1, 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0.6 (0.4, 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0.5 (0.4, 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Monobactams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0.1 (0.1, 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0.2 (0.1, 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0.2 (0.1, 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Oxazolidinones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0.4 (0.2, 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0.4 (0.2, 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0.7 (0.5, 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Penicillins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-2.5 (-4.7, -0.3)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-6.4 (-8.8, -4)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-0.8 (-3.5, 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0.5510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Polymyxins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0.1 (0.1, 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0.2 (0.1, 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(0, 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0.2720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Quinolones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 (-0.7, 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0.6440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-1.3 (-2.4, -0.2)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-1.6 (-2.8, -0.4)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Tetracyclines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 (0, 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0.0710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0.4 (0.1, 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0.5 (0.1, 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Trimethoprim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0.4 (0.1, 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0.4 (0, 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0.0490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0.7 (0.3, 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7.5 (3.5, 11.6)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 (-4.9, 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0.8930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5.3 (0.4, 10.3)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0.0540</w:t>
            </w:r>
          </w:p>
        </w:tc>
      </w:tr>
      <w:tr>
        <w:trPr>
          <w:cantSplit/>
        </w:trPr>
        <w:tc>
          <w:tcPr>
            <w:gridSpan w:val="9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Estimates and their 95% CI in bold have a p-value≤0.05</w:t>
            </w:r>
          </w:p>
        </w:tc>
      </w:tr>
      <w:tr>
        <w:trPr>
          <w:cantSplit/>
        </w:trPr>
        <w:tc>
          <w:tcPr>
            <w:gridSpan w:val="9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P-value adjusted with the Benjamini-Hochberg procedure</w:t>
            </w:r>
          </w:p>
        </w:tc>
      </w:tr>
      <w:tr>
        <w:trPr>
          <w:cantSplit/>
        </w:trPr>
        <w:tc>
          <w:tcPr>
            <w:gridSpan w:val="9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  <w:r>
              <w:rPr>
                <w:rFonts w:ascii="Calibri" w:hAnsi="Calibri"/>
                <w:sz w:val="20"/>
              </w:rPr>
              <w:t xml:space="default">Corresponds to trimethoprim and combinations of sulfanomides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2025-06-19T14:04:12Z</dcterms:created>
  <dcterms:modified xsi:type="dcterms:W3CDTF">2025-06-19T14:04:12Z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