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41.png" ContentType="image/png"/>
  <Override PartName="/word/media/rId4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FirstParagraph"/>
      </w:pPr>
      <w:r>
        <w:t xml:space="preserve">In our detailed presentation of our methods and even our thought process</w:t>
      </w:r>
      <w:r>
        <w:t xml:space="preserve"> </w:t>
      </w:r>
      <w:r>
        <w:t xml:space="preserve">for why methods were chosen, we are seeking to follow the</w:t>
      </w:r>
      <w:r>
        <w:t xml:space="preserve"> </w:t>
      </w:r>
      <w:r>
        <w:t xml:space="preserve">recommendations of 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938 ha portion of the</w:t>
      </w:r>
      <w:r>
        <w:t xml:space="preserve"> </w:t>
      </w:r>
      <w:r>
        <w:t xml:space="preserve">Slikok Creek watershed on the Kenai National Wildlife Refuge (KNWR) with</w:t>
      </w:r>
      <w:r>
        <w:t xml:space="preserve"> </w:t>
      </w:r>
      <w:r>
        <w:t xml:space="preserve">a bounding box from 60.44° to 60.47° latitude and from -151.10° to</w:t>
      </w:r>
      <w:r>
        <w:t xml:space="preserve"> </w:t>
      </w:r>
      <w:r>
        <w:t xml:space="preserve">-151.03° longitude.</w:t>
      </w:r>
    </w:p>
    <w:p>
      <w:pPr>
        <w:pStyle w:val="BodyText"/>
      </w:pPr>
      <w:r>
        <w:t xml:space="preserve">Based on data from the U.S. National Land Cover Database (Homer et al.</w:t>
      </w:r>
      <w:r>
        <w:t xml:space="preserve"> 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 this study area was</w:t>
      </w:r>
      <w:r>
        <w:t xml:space="preserve"> </w:t>
      </w:r>
      <w:r>
        <w:t xml:space="preserve">coverd mostly by mixed forest (29%), evergreen forest (22%), emergent</w:t>
      </w:r>
      <w:r>
        <w:t xml:space="preserve"> </w:t>
      </w:r>
      <w:r>
        <w:t xml:space="preserve">herbaceous wetlands (13%), deciduous forest (12%), woody wetlands (11%),</w:t>
      </w:r>
      <w:r>
        <w:t xml:space="preserve"> </w:t>
      </w:r>
      <w:r>
        <w:t xml:space="preserve">and open water (10%). Common trees in well-drained areas were white</w:t>
      </w:r>
      <w:r>
        <w:t xml:space="preserve"> </w:t>
      </w:r>
      <w:r>
        <w:t xml:space="preserve">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 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 McAll.), quaking aspen</w:t>
      </w:r>
      <w:r>
        <w:t xml:space="preserve"> </w:t>
      </w:r>
      <w:r>
        <w:t xml:space="preserve">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 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 Sterns &amp; Poggenb.) was the</w:t>
      </w:r>
      <w:r>
        <w:t xml:space="preserve"> </w:t>
      </w:r>
      <w:r>
        <w:t xml:space="preserve">dominant tree in forested wetlands. Herbaceous wetlands were</w:t>
      </w:r>
      <w:r>
        <w:t xml:space="preserve"> </w:t>
      </w:r>
      <w:r>
        <w:t xml:space="preserve">characterized by mosses, sedges, and low shrubs. Shallow, eutrophic</w:t>
      </w:r>
      <w:r>
        <w:t xml:space="preserve"> </w:t>
      </w:r>
      <w:r>
        <w:t xml:space="preserve">lakes (Headquarters Lake, Nordic Lake, and smaller, unnamed lakes)</w:t>
      </w:r>
      <w:r>
        <w:t xml:space="preserve"> </w:t>
      </w:r>
      <w:r>
        <w:t xml:space="preserve">accounted for most of the open water in the study area.</w:t>
      </w:r>
    </w:p>
    <w:p>
      <w:pPr>
        <w:pStyle w:val="BodyText"/>
      </w:pPr>
      <w:r>
        <w:t xml:space="preserve">This study area was chosen because it could be conveniently sampled from</w:t>
      </w:r>
      <w:r>
        <w:t xml:space="preserve"> </w:t>
      </w:r>
      <w:r>
        <w:t xml:space="preserve">our office at the Kenai National Wildlife Refuge, which lies at</w:t>
      </w:r>
      <w:r>
        <w:t xml:space="preserve"> </w:t>
      </w:r>
      <w:r>
        <w:t xml:space="preserve">60.4647°N, 151.0735°W within the Slikok Creek watershed and because it</w:t>
      </w:r>
      <w:r>
        <w:t xml:space="preserve"> </w:t>
      </w:r>
      <w:r>
        <w:t xml:space="preserve">could serve well as an analog of a real conservation unit. Like most</w:t>
      </w:r>
      <w:r>
        <w:t xml:space="preserve"> </w:t>
      </w:r>
      <w:r>
        <w:t xml:space="preserve">conservation units and like the Kenai National Wildlife Refuge as a</w:t>
      </w:r>
      <w:r>
        <w:t xml:space="preserve"> </w:t>
      </w:r>
      <w:r>
        <w:t xml:space="preserve">whole, this study area includes varied habitat types; arbitrary,</w:t>
      </w:r>
      <w:r>
        <w:t xml:space="preserve"> </w:t>
      </w:r>
      <w:r>
        <w:t xml:space="preserve">artificial, and ecologically open boundaries that have no meaning to</w:t>
      </w:r>
      <w:r>
        <w:t xml:space="preserve"> </w:t>
      </w:r>
      <w:r>
        <w:t xml:space="preserve">wildlife; and a range of levels of human disturbance from fairly remote,</w:t>
      </w:r>
      <w:r>
        <w:t xml:space="preserve"> </w:t>
      </w:r>
      <w:r>
        <w:t xml:space="preserve">undisturbed areas to developed land.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We chose a systematic sampling design because of its simplicity and</w:t>
      </w:r>
      <w:r>
        <w:t xml:space="preserve"> </w:t>
      </w:r>
      <w:r>
        <w:t xml:space="preserve">because could be used to obtained unbiased estimates representing the</w:t>
      </w:r>
      <w:r>
        <w:t xml:space="preserve"> </w:t>
      </w:r>
      <w:r>
        <w:t xml:space="preserve">entire study area. A grid with 500 m spacing between points was chosen</w:t>
      </w:r>
      <w:r>
        <w:t xml:space="preserve"> </w:t>
      </w:r>
      <w:r>
        <w:t xml:space="preserve">by using the coordinates of the centroids of the 250 m pixels from the</w:t>
      </w:r>
      <w:r>
        <w:t xml:space="preserve"> </w:t>
      </w:r>
      <w:r>
        <w:t xml:space="preserve">Alaska eMODIS 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</w:t>
      </w:r>
      <w:r>
        <w:t xml:space="preserve"> </w:t>
      </w:r>
      <w:r>
        <w:t xml:space="preserve">choosing every other centroid to make a grid of sites having 500 m</w:t>
      </w:r>
      <w:r>
        <w:t xml:space="preserve"> </w:t>
      </w:r>
      <w:r>
        <w:t xml:space="preserve">spacing. The 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permanently marked by driving 122 cm long, 13 mm</w:t>
      </w:r>
      <w:r>
        <w:t xml:space="preserve"> </w:t>
      </w:r>
      <w:r>
        <w:t xml:space="preserve">diameter SunGUARD Smart Stake™ fibreglass rods into the ground, then</w:t>
      </w:r>
      <w:r>
        <w:t xml:space="preserve"> </w:t>
      </w:r>
      <w:r>
        <w:t xml:space="preserve">labelling them with aluminium tags.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in two</w:t>
      </w:r>
      <w:r>
        <w:t xml:space="preserve"> </w:t>
      </w:r>
      <w:r>
        <w:t xml:space="preserve">sampling periods: from 14 to 17 June 2016 and from from 18 July to 9</w:t>
      </w:r>
      <w:r>
        <w:t xml:space="preserve"> </w:t>
      </w:r>
      <w:r>
        <w:t xml:space="preserve">August 2016. During each sampling period, two samples were collected at</w:t>
      </w:r>
      <w:r>
        <w:t xml:space="preserve"> </w:t>
      </w:r>
      <w:r>
        <w:t xml:space="preserve">each plot for a total of 160 sweep net samples (40 plots × 2</w:t>
      </w:r>
      <w:r>
        <w:t xml:space="preserve"> </w:t>
      </w:r>
      <w:r>
        <w:t xml:space="preserve">samples/plot × 2 visits/plot).</w:t>
      </w:r>
    </w:p>
    <w:p>
      <w:pPr>
        <w:pStyle w:val="BodyText"/>
      </w:pPr>
      <w:r>
        <w:t xml:space="preserve">The timing of the first sampling window was determend by concurrent</w:t>
      </w:r>
      <w:r>
        <w:t xml:space="preserve"> </w:t>
      </w:r>
      <w:r>
        <w:t xml:space="preserve">sampling of birds using variable circular plot methods. This meant that</w:t>
      </w:r>
      <w:r>
        <w:t xml:space="preserve"> </w:t>
      </w:r>
      <w:r>
        <w:t xml:space="preserve">all sampling took place in the morning. Two field crews of two people</w:t>
      </w:r>
      <w:r>
        <w:t xml:space="preserve"> </w:t>
      </w:r>
      <w:r>
        <w:t xml:space="preserve">were available for full work days so that all 40 plots could be visited</w:t>
      </w:r>
      <w:r>
        <w:t xml:space="preserve"> </w:t>
      </w:r>
      <w:r>
        <w:t xml:space="preserve">in a short, 4 day time window.</w:t>
      </w:r>
    </w:p>
    <w:p>
      <w:pPr>
        <w:pStyle w:val="BodyText"/>
      </w:pPr>
      <w:r>
        <w:t xml:space="preserve">During the second sampling window, invertebrates were sampled</w:t>
      </w:r>
      <w:r>
        <w:t xml:space="preserve"> </w:t>
      </w:r>
      <w:r>
        <w:t xml:space="preserve">concurrently with vegetation sampling. Even though it would have been</w:t>
      </w:r>
      <w:r>
        <w:t xml:space="preserve"> </w:t>
      </w:r>
      <w:r>
        <w:t xml:space="preserve">ideal to complete the second sampling in a short time window, this was</w:t>
      </w:r>
      <w:r>
        <w:t xml:space="preserve"> </w:t>
      </w:r>
      <w:r>
        <w:t xml:space="preserve">not accomplished because only a single, two person crew was available;</w:t>
      </w:r>
      <w:r>
        <w:t xml:space="preserve"> </w:t>
      </w:r>
      <w:r>
        <w:t xml:space="preserve">vegetation sampling took longer than bird surveys; and because other</w:t>
      </w:r>
      <w:r>
        <w:t xml:space="preserve"> </w:t>
      </w:r>
      <w:r>
        <w:t xml:space="preserve">time demands on surveyors’ time meant that not every day could be</w:t>
      </w:r>
      <w:r>
        <w:t xml:space="preserve"> </w:t>
      </w:r>
      <w:r>
        <w:t xml:space="preserve">devoted to this project. This resulted in a much longer sampling window</w:t>
      </w:r>
      <w:r>
        <w:t xml:space="preserve"> </w:t>
      </w:r>
      <w:r>
        <w:t xml:space="preserve">of 23 days.</w:t>
      </w:r>
    </w:p>
    <w:p>
      <w:pPr>
        <w:pStyle w:val="BodyText"/>
      </w:pPr>
      <w:r>
        <w:drawing>
          <wp:inline>
            <wp:extent cx="5943600" cy="3675126"/>
            <wp:effectExtent b="0" l="0" r="0" t="0"/>
            <wp:docPr descr="Number of plots surveyed per day." title="" id="1" name="Picture"/>
            <a:graphic>
              <a:graphicData uri="http://schemas.openxmlformats.org/drawingml/2006/picture">
                <pic:pic>
                  <pic:nvPicPr>
                    <pic:cNvPr descr="../images/plots_vs_julian_d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Number of plots surveyed per day.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We split the plot</w:t>
      </w:r>
      <w:r>
        <w:t xml:space="preserve"> </w:t>
      </w:r>
      <w:r>
        <w:t xml:space="preserve">into two semicircular subplots divided along the north-south axis. Each</w:t>
      </w:r>
      <w:r>
        <w:t xml:space="preserve"> </w:t>
      </w:r>
      <w:r>
        <w:t xml:space="preserve">subplot was independently sweep-netted, such that the entire area was</w:t>
      </w:r>
      <w:r>
        <w:t xml:space="preserve"> </w:t>
      </w:r>
      <w:r>
        <w:t xml:space="preserve">swept from the ground surface up to a height of roughly 2 m. No defined</w:t>
      </w:r>
      <w:r>
        <w:t xml:space="preserve"> </w:t>
      </w:r>
      <w:r>
        <w:t xml:space="preserve">pattern of sweeping was enforced, but we ensured that all substrates and</w:t>
      </w:r>
      <w:r>
        <w:t xml:space="preserve"> </w:t>
      </w:r>
      <w:r>
        <w:t xml:space="preserve">macrohabitats within reach were swept once within a time limit of 5 min</w:t>
      </w:r>
      <w:r>
        <w:t xml:space="preserve"> </w:t>
      </w:r>
      <w:r>
        <w:t xml:space="preserve">per 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7" w:name="laboratory-methods"/>
      <w:r>
        <w:t xml:space="preserve">Laboratory methods</w:t>
      </w:r>
      <w:bookmarkEnd w:id="27"/>
    </w:p>
    <w:p>
      <w:pPr>
        <w:pStyle w:val="FirstParagraph"/>
      </w:pPr>
      <w:r>
        <w:t xml:space="preserve">Invertebrates and fragments of invertebrates in the sweep net samples</w:t>
      </w:r>
      <w:r>
        <w:t xml:space="preserve"> </w:t>
      </w:r>
      <w:r>
        <w:t xml:space="preserve">were separated from debris by hand under a stereomicroscope.</w:t>
      </w:r>
    </w:p>
    <w:p>
      <w:pPr>
        <w:pStyle w:val="BodyText"/>
      </w:pPr>
      <w:r>
        <w:t xml:space="preserve">Due to budget limitations, we could only process 125 of the 160 sweep</w:t>
      </w:r>
      <w:r>
        <w:t xml:space="preserve"> </w:t>
      </w:r>
      <w:r>
        <w:t xml:space="preserve">net samples. We considered that there was a trade-off between choosing</w:t>
      </w:r>
      <w:r>
        <w:t xml:space="preserve"> </w:t>
      </w:r>
      <w:r>
        <w:t xml:space="preserve">as many sites as possible, which would be optimal for the inventory</w:t>
      </w:r>
      <w:r>
        <w:t xml:space="preserve"> </w:t>
      </w:r>
      <w:r>
        <w:t xml:space="preserve">objectives of the study to document the occurrence of as many species as</w:t>
      </w:r>
      <w:r>
        <w:t xml:space="preserve"> </w:t>
      </w:r>
      <w:r>
        <w:t xml:space="preserve">possible, and choosing as many samples per site as possible, which would</w:t>
      </w:r>
      <w:r>
        <w:t xml:space="preserve"> </w:t>
      </w:r>
      <w:r>
        <w:t xml:space="preserve">have been better for obtaining estimates of imperfect detection and</w:t>
      </w:r>
      <w:r>
        <w:t xml:space="preserve"> </w:t>
      </w:r>
      <w:r>
        <w:t xml:space="preserve">occupancy. Because we knew so little about the diversity of terrestrial</w:t>
      </w:r>
      <w:r>
        <w:t xml:space="preserve"> </w:t>
      </w:r>
      <w:r>
        <w:t xml:space="preserve">invertebrates that could be encountered, we chose to make documenting as</w:t>
      </w:r>
      <w:r>
        <w:t xml:space="preserve"> </w:t>
      </w:r>
      <w:r>
        <w:t xml:space="preserve">many species as possible our priority over optimization for obtaining</w:t>
      </w:r>
      <w:r>
        <w:t xml:space="preserve"> </w:t>
      </w:r>
      <w:r>
        <w:t xml:space="preserve">occupancy metrics.</w:t>
      </w:r>
    </w:p>
    <w:p>
      <w:pPr>
        <w:pStyle w:val="BodyText"/>
      </w:pPr>
      <w:r>
        <w:t xml:space="preserve">We selected all 80 samples taken from the east side of each plot (40</w:t>
      </w:r>
      <w:r>
        <w:t xml:space="preserve"> </w:t>
      </w:r>
      <w:r>
        <w:t xml:space="preserve">plots × 1 sample/plot × 2 visits/plot). To choose 45 samples from the</w:t>
      </w:r>
      <w:r>
        <w:t xml:space="preserve"> </w:t>
      </w:r>
      <w:r>
        <w:t xml:space="preserve">remaining 80, we selected plots spatially. First, we chose 20 samples</w:t>
      </w:r>
      <w:r>
        <w:t xml:space="preserve"> </w:t>
      </w:r>
      <w:r>
        <w:t xml:space="preserve">from plots at 1 km spacing (10 plots × 2 visits/plot), then we chose 25</w:t>
      </w:r>
      <w:r>
        <w:t xml:space="preserve"> </w:t>
      </w:r>
      <w:r>
        <w:t xml:space="preserve">of 26 samples from another 13 plots that were maximally distant from</w:t>
      </w:r>
      <w:r>
        <w:t xml:space="preserve"> </w:t>
      </w:r>
      <w:r>
        <w:t xml:space="preserve">these 10 plots (13 plots × 2 visits/plot). These 45 samples from west</w:t>
      </w:r>
      <w:r>
        <w:t xml:space="preserve"> </w:t>
      </w:r>
      <w:r>
        <w:t xml:space="preserve">plot halves were intended to be used for estimating occupancy 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9" w:name="molecular-identifications"/>
      <w:r>
        <w:t xml:space="preserve">Molecular identifications</w:t>
      </w:r>
      <w:bookmarkEnd w:id="29"/>
    </w:p>
    <w:p>
      <w:pPr>
        <w:pStyle w:val="FirstParagraph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31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2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BodyText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Heading2"/>
      </w:pPr>
      <w:bookmarkStart w:id="35" w:name="data-analysis"/>
      <w:r>
        <w:t xml:space="preserve">Data analysis</w:t>
      </w:r>
      <w:bookmarkEnd w:id="35"/>
    </w:p>
    <w:p>
      <w:pPr>
        <w:pStyle w:val="FirstParagraph"/>
      </w:pPr>
      <w:r>
        <w:t xml:space="preserve">Data processing and analysis was carried out using R version 4.0.2 (R</w:t>
      </w:r>
      <w:r>
        <w:t xml:space="preserve"> </w:t>
      </w:r>
      <w:r>
        <w:t xml:space="preserve">Core Team</w:t>
      </w:r>
      <w:r>
        <w:t xml:space="preserve"> </w:t>
      </w:r>
      <w:hyperlink w:anchor="ref-R_Core_Team_2020">
        <w:r>
          <w:rPr>
            <w:rStyle w:val="Hyperlink"/>
          </w:rPr>
          <w:t xml:space="preserve">2020</w:t>
        </w:r>
      </w:hyperlink>
      <w:r>
        <w:t xml:space="preserve">); the packages knitr (Xie</w:t>
      </w:r>
      <w:r>
        <w:t xml:space="preserve"> </w:t>
      </w:r>
      <w:hyperlink w:anchor="ref-Xie2014">
        <w:r>
          <w:rPr>
            <w:rStyle w:val="Hyperlink"/>
          </w:rPr>
          <w:t xml:space="preserve">2014</w:t>
        </w:r>
      </w:hyperlink>
      <w:r>
        <w:t xml:space="preserve">,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,</w:t>
      </w:r>
      <w:r>
        <w:t xml:space="preserve"> </w:t>
      </w:r>
      <w:hyperlink w:anchor="ref-Xie2020">
        <w:r>
          <w:rPr>
            <w:rStyle w:val="Hyper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reshape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reshape2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and rjags (Plummer</w:t>
      </w:r>
      <w:r>
        <w:t xml:space="preserve"> </w:t>
      </w:r>
      <w:hyperlink w:anchor="ref-Plummer_2019">
        <w:r>
          <w:rPr>
            <w:rStyle w:val="Hyperlink"/>
          </w:rPr>
          <w:t xml:space="preserve">2019</w:t>
        </w:r>
      </w:hyperlink>
      <w:r>
        <w:t xml:space="preserve">); and JAGS version 4.3.0 (Plummer</w:t>
      </w:r>
      <w:r>
        <w:t xml:space="preserve"> </w:t>
      </w:r>
      <w:hyperlink w:anchor="ref-Plummer_2003">
        <w:r>
          <w:rPr>
            <w:rStyle w:val="Hyperlink"/>
          </w:rPr>
          <w:t xml:space="preserve">2003</w:t>
        </w:r>
      </w:hyperlink>
      <w:r>
        <w:t xml:space="preserve">).</w:t>
      </w:r>
    </w:p>
    <w:p>
      <w:pPr>
        <w:pStyle w:val="BodyText"/>
      </w:pPr>
      <w:r>
        <w:t xml:space="preserve">We began with data exploration.</w:t>
      </w:r>
    </w:p>
    <w:p>
      <w:pPr>
        <w:pStyle w:val="Heading3"/>
      </w:pPr>
      <w:bookmarkStart w:id="36" w:name="occupancy-model-assumptions"/>
      <w:r>
        <w:t xml:space="preserve">Occupancy model assumptions</w:t>
      </w:r>
      <w:bookmarkEnd w:id="36"/>
    </w:p>
    <w:p>
      <w:pPr>
        <w:pStyle w:val="FirstParagraph"/>
      </w:pPr>
      <w:r>
        <w:t xml:space="preserve">We considered multispecies occupancy model assumptions as presented by</w:t>
      </w:r>
      <w:r>
        <w:t xml:space="preserve"> </w:t>
      </w:r>
      <w:r>
        <w:t xml:space="preserve">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A challenge of applying occupancy models to ephemeral, highly vagile</w:t>
      </w:r>
      <w:r>
        <w:t xml:space="preserve"> </w:t>
      </w:r>
      <w:r>
        <w:t xml:space="preserve">animals like winged insects is that assumptions of geographic and</w:t>
      </w:r>
      <w:r>
        <w:t xml:space="preserve"> </w:t>
      </w:r>
      <w:r>
        <w:t xml:space="preserve">demographic closure can seldom be satisfied. The population sizes of</w:t>
      </w:r>
      <w:r>
        <w:t xml:space="preserve"> </w:t>
      </w:r>
      <w:r>
        <w:t xml:space="preserve">many insects can change rapidly over a short time, for example with</w:t>
      </w:r>
      <w:r>
        <w:t xml:space="preserve"> </w:t>
      </w:r>
      <w:r>
        <w:t xml:space="preserve">aphids. The life stages and abundances of some insects are highly</w:t>
      </w:r>
      <w:r>
        <w:t xml:space="preserve"> </w:t>
      </w:r>
      <w:r>
        <w:t xml:space="preserve">seasonal, in some species with adults appearing over a brief seasonal</w:t>
      </w:r>
      <w:r>
        <w:t xml:space="preserve"> </w:t>
      </w:r>
      <w:r>
        <w:t xml:space="preserve">time window. In addition, many species are winged, phoretic on winged</w:t>
      </w:r>
      <w:r>
        <w:t xml:space="preserve"> </w:t>
      </w:r>
      <w:r>
        <w:t xml:space="preserve">species, or can be wind disperesed by ballooning. These species can move</w:t>
      </w:r>
      <w:r>
        <w:t xml:space="preserve"> </w:t>
      </w:r>
      <w:r>
        <w:t xml:space="preserve">freely into and out of the study area on a time scale of hours and they</w:t>
      </w:r>
      <w:r>
        <w:t xml:space="preserve"> </w:t>
      </w:r>
      <w:r>
        <w:t xml:space="preserve">can move onto or out of plots in a matter of seconds.</w:t>
      </w:r>
    </w:p>
    <w:p>
      <w:pPr>
        <w:pStyle w:val="BodyText"/>
      </w:pPr>
      <w:r>
        <w:t xml:space="preserve">We were aware that many species in our study area would be unlikely to</w:t>
      </w:r>
      <w:r>
        <w:t xml:space="preserve"> </w:t>
      </w:r>
      <w:r>
        <w:t xml:space="preserve">be detected within our two temporal sampling windows. For example, the</w:t>
      </w:r>
      <w:r>
        <w:t xml:space="preserve"> </w:t>
      </w:r>
      <w:r>
        <w:t xml:space="preserve">stonefly</w:t>
      </w:r>
      <w:r>
        <w:t xml:space="preserve"> </w:t>
      </w:r>
      <w:r>
        <w:rPr>
          <w:i/>
        </w:rPr>
        <w:t xml:space="preserve">Utacapnia columbiana</w:t>
      </w:r>
      <w:r>
        <w:t xml:space="preserve"> </w:t>
      </w:r>
      <w:r>
        <w:t xml:space="preserve">(Claassen, 1924) is abundant in large,</w:t>
      </w:r>
      <w:r>
        <w:t xml:space="preserve"> </w:t>
      </w:r>
      <w:r>
        <w:t xml:space="preserve">glacial streams of the area. The adults emerge in large numbers in March</w:t>
      </w:r>
      <w:r>
        <w:t xml:space="preserve"> </w:t>
      </w:r>
      <w:r>
        <w:t xml:space="preserve">through May and disperse over our study area, where they can be found on</w:t>
      </w:r>
      <w:r>
        <w:t xml:space="preserve"> </w:t>
      </w:r>
      <w:r>
        <w:t xml:space="preserve">vegetation, but the adults were gone by the time we began sampling on 14</w:t>
      </w:r>
      <w:r>
        <w:t xml:space="preserve"> </w:t>
      </w:r>
      <w:r>
        <w:t xml:space="preserve">June.</w:t>
      </w:r>
    </w:p>
    <w:p>
      <w:pPr>
        <w:pStyle w:val="BodyText"/>
      </w:pPr>
      <w:r>
        <w:t xml:space="preserve">Because our</w:t>
      </w:r>
      <w:r>
        <w:t xml:space="preserve"> </w:t>
      </w:r>
      <w:r>
        <w:t xml:space="preserve">“</w:t>
      </w:r>
      <w:r>
        <w:t xml:space="preserve">revisits</w:t>
      </w:r>
      <w:r>
        <w:t xml:space="preserve">”</w:t>
      </w:r>
      <w:r>
        <w:t xml:space="preserve"> </w:t>
      </w:r>
      <w:r>
        <w:t xml:space="preserve">at each sampling event were spatial replicates</w:t>
      </w:r>
      <w:r>
        <w:t xml:space="preserve"> </w:t>
      </w:r>
      <w:r>
        <w:t xml:space="preserve">taken within 10 min. of each other, there was some degree of closure</w:t>
      </w:r>
      <w:r>
        <w:t xml:space="preserve"> </w:t>
      </w:r>
      <w:r>
        <w:t xml:space="preserve">between the two revisits. Also, ours were removal methods where</w:t>
      </w:r>
      <w:r>
        <w:t xml:space="preserve"> </w:t>
      </w:r>
      <w:r>
        <w:t xml:space="preserve">individuals collected in one sample would not be available for</w:t>
      </w:r>
      <w:r>
        <w:t xml:space="preserve"> </w:t>
      </w:r>
      <w:r>
        <w:t xml:space="preserve">subsequent sampling, but it seems reasonable that one 50 m</w:t>
      </w:r>
      <w:r>
        <w:t xml:space="preserve">2</w:t>
      </w:r>
      <w:r>
        <w:t xml:space="preserve"> </w:t>
      </w:r>
      <w:r>
        <w:t xml:space="preserve">sweep net sample would not remove enough of the invertebrate population</w:t>
      </w:r>
      <w:r>
        <w:t xml:space="preserve"> </w:t>
      </w:r>
      <w:r>
        <w:t xml:space="preserve">to affect the next sampling event one month or more later.</w:t>
      </w:r>
    </w:p>
    <w:p>
      <w:pPr>
        <w:pStyle w:val="BodyText"/>
      </w:pPr>
      <w:r>
        <w:t xml:space="preserve">Because we assume that geographic and geographic closure would not apply</w:t>
      </w:r>
      <w:r>
        <w:t xml:space="preserve"> </w:t>
      </w:r>
      <w:r>
        <w:t xml:space="preserve">to at least many terrestrial invertebrate species, it may be appropriate</w:t>
      </w:r>
      <w:r>
        <w:t xml:space="preserve"> </w:t>
      </w:r>
      <w:r>
        <w:t xml:space="preserve">to use staggered-entry occupancy models (Kendall et al.</w:t>
      </w:r>
      <w:r>
        <w:t xml:space="preserve"> </w:t>
      </w:r>
      <w:hyperlink w:anchor="ref-Kendall_et_al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3"/>
      </w:pPr>
      <w:bookmarkStart w:id="37" w:name="occupancy-models"/>
      <w:r>
        <w:t xml:space="preserve">Occupancy models</w:t>
      </w:r>
      <w:bookmarkEnd w:id="37"/>
    </w:p>
    <w:p>
      <w:pPr>
        <w:pStyle w:val="FirstParagraph"/>
      </w:pPr>
      <w:r>
        <w:t xml:space="preserve">We first tried running a simple multi-species, multi-season occupancy</w:t>
      </w:r>
      <w:r>
        <w:t xml:space="preserve"> </w:t>
      </w:r>
      <w:r>
        <w:t xml:space="preserve">model provided by Joseph (</w:t>
      </w:r>
      <w:hyperlink w:anchor="ref-Joseph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Heading2"/>
      </w:pPr>
      <w:bookmarkStart w:id="39" w:name="data-exploration"/>
      <w:r>
        <w:t xml:space="preserve">Data exploration</w:t>
      </w:r>
      <w:bookmarkEnd w:id="39"/>
    </w:p>
    <w:p>
      <w:pPr>
        <w:pStyle w:val="FirstParagraph"/>
      </w:pPr>
      <w:r>
        <w:t xml:space="preserve">Out of the 975 species observed, 615 species (63% of species) were</w:t>
      </w:r>
      <w:r>
        <w:t xml:space="preserve"> </w:t>
      </w:r>
      <w:r>
        <w:t xml:space="preserve">detected in only one of the 125 samples and 649 species (67% of species)</w:t>
      </w:r>
      <w:r>
        <w:t xml:space="preserve"> </w:t>
      </w:r>
      <w:r>
        <w:t xml:space="preserve">were detected at a single plot. The most commonly observed species was</w:t>
      </w:r>
      <w:r>
        <w:t xml:space="preserve"> </w:t>
      </w:r>
      <w:r>
        <w:t xml:space="preserve">the mosquito</w:t>
      </w:r>
      <w:r>
        <w:t xml:space="preserve"> </w:t>
      </w:r>
      <w:r>
        <w:rPr>
          <w:i/>
        </w:rPr>
        <w:t xml:space="preserve">Ochlerotatus communis</w:t>
      </w:r>
      <w:r>
        <w:t xml:space="preserve">, observed in 36 samples (29% of</w:t>
      </w:r>
      <w:r>
        <w:t xml:space="preserve"> </w:t>
      </w:r>
      <w:r>
        <w:t xml:space="preserve">samples) and at 27 plots (68% of plots).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Histogram of numbers of samples in which each species was observed." title="" id="1" name="Picture"/>
            <a:graphic>
              <a:graphicData uri="http://schemas.openxmlformats.org/drawingml/2006/picture">
                <pic:pic>
                  <pic:nvPicPr>
                    <pic:cNvPr descr="../images/histogram_frequencies_by_samp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Histogram of numbers of samples in which each species was observed.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Histogram of numbers of plots at which each species was observed." title="" id="1" name="Picture"/>
            <a:graphic>
              <a:graphicData uri="http://schemas.openxmlformats.org/drawingml/2006/picture">
                <pic:pic>
                  <pic:nvPicPr>
                    <pic:cNvPr descr="../images/histogram_frequencies_by_numbers_of_plo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Histogram of numbers of plots at which each species was observed.</w:t>
      </w:r>
    </w:p>
    <w:p>
      <w:pPr>
        <w:pStyle w:val="Heading1"/>
      </w:pPr>
      <w:bookmarkStart w:id="42" w:name="references"/>
      <w:r>
        <w:t xml:space="preserve">References</w:t>
      </w:r>
      <w:bookmarkEnd w:id="42"/>
    </w:p>
    <w:bookmarkStart w:id="103" w:name="refs"/>
    <w:bookmarkStart w:id="44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43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44"/>
    <w:bookmarkStart w:id="46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45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46"/>
    <w:bookmarkStart w:id="48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8"/>
    <w:bookmarkStart w:id="50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50"/>
    <w:bookmarkStart w:id="52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52"/>
    <w:bookmarkStart w:id="54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54"/>
    <w:bookmarkStart w:id="56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55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56"/>
    <w:bookmarkStart w:id="58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57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58"/>
    <w:bookmarkStart w:id="60" w:name="ref-Devarajan_et_al_2020"/>
    <w:p>
      <w:pPr>
        <w:pStyle w:val="Bibliography"/>
      </w:pPr>
      <w:r>
        <w:t xml:space="preserve">Devarajan, K., Morelli, T.L., and Tenan, S. 2020. Multi-species</w:t>
      </w:r>
      <w:r>
        <w:t xml:space="preserve"> </w:t>
      </w:r>
      <w:r>
        <w:t xml:space="preserve">occupancy models: Review, roadmap, and recommendations. Ecography</w:t>
      </w:r>
      <w:r>
        <w:t xml:space="preserve"> </w:t>
      </w:r>
      <w:r>
        <w:rPr>
          <w:b/>
        </w:rPr>
        <w:t xml:space="preserve">43</w:t>
      </w:r>
      <w:r>
        <w:t xml:space="preserve">: 1612–1624.</w:t>
      </w:r>
      <w:r>
        <w:t xml:space="preserve"> </w:t>
      </w:r>
      <w:r>
        <w:t xml:space="preserve">doi:</w:t>
      </w:r>
      <w:hyperlink r:id="rId59">
        <w:r>
          <w:rPr>
            <w:rStyle w:val="Hyperlink"/>
          </w:rPr>
          <w:t xml:space="preserve">10.1111/ecog.04957</w:t>
        </w:r>
      </w:hyperlink>
      <w:r>
        <w:t xml:space="preserve">.</w:t>
      </w:r>
    </w:p>
    <w:bookmarkEnd w:id="60"/>
    <w:bookmarkStart w:id="62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61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62"/>
    <w:bookmarkStart w:id="64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63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64"/>
    <w:bookmarkStart w:id="66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65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66"/>
    <w:bookmarkStart w:id="68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67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68"/>
    <w:bookmarkStart w:id="70" w:name="ref-Joseph_2013"/>
    <w:p>
      <w:pPr>
        <w:pStyle w:val="Bibliography"/>
      </w:pPr>
      <w:r>
        <w:t xml:space="preserve">Joseph, M.B. 2013. Dynamic community occupancy modeling with R and JAGS.</w:t>
      </w:r>
      <w:r>
        <w:t xml:space="preserve"> </w:t>
      </w:r>
      <w:r>
        <w:t xml:space="preserve">[Online] Available:</w:t>
      </w:r>
      <w:r>
        <w:t xml:space="preserve"> </w:t>
      </w:r>
      <w:hyperlink r:id="rId69">
        <w:r>
          <w:rPr>
            <w:rStyle w:val="Hyperlink"/>
          </w:rPr>
          <w:t xml:space="preserve">https://web.archive.org/web/20150929072630/http://www.r-bloggers.com/dynamic-community-occupancy-modeling-with-r-and-jags/</w:t>
        </w:r>
      </w:hyperlink>
      <w:r>
        <w:t xml:space="preserve">.</w:t>
      </w:r>
    </w:p>
    <w:bookmarkEnd w:id="70"/>
    <w:bookmarkStart w:id="72" w:name="ref-Kendall_et_al_2013"/>
    <w:p>
      <w:pPr>
        <w:pStyle w:val="Bibliography"/>
      </w:pPr>
      <w:r>
        <w:t xml:space="preserve">Kendall, W.L., Hines, J.E., Nichols, J.D., and Grant, E.H.C. 2013.</w:t>
      </w:r>
      <w:r>
        <w:t xml:space="preserve"> </w:t>
      </w:r>
      <w:r>
        <w:t xml:space="preserve">Relaxing the closure assumption in occupancy models: Staggered arrival</w:t>
      </w:r>
      <w:r>
        <w:t xml:space="preserve"> </w:t>
      </w:r>
      <w:r>
        <w:t xml:space="preserve">and departure times. Ecology</w:t>
      </w:r>
      <w:r>
        <w:t xml:space="preserve"> </w:t>
      </w:r>
      <w:r>
        <w:rPr>
          <w:b/>
        </w:rPr>
        <w:t xml:space="preserve">94</w:t>
      </w:r>
      <w:r>
        <w:t xml:space="preserve">: 610–617. [Online] Available:</w:t>
      </w:r>
      <w:r>
        <w:t xml:space="preserve"> </w:t>
      </w:r>
      <w:hyperlink r:id="rId71">
        <w:r>
          <w:rPr>
            <w:rStyle w:val="Hyperlink"/>
          </w:rPr>
          <w:t xml:space="preserve">http://www.jstor.org/stable/23436264</w:t>
        </w:r>
      </w:hyperlink>
      <w:r>
        <w:t xml:space="preserve"> </w:t>
      </w:r>
      <w:r>
        <w:t xml:space="preserve">[2020 Dec. 7].</w:t>
      </w:r>
    </w:p>
    <w:bookmarkEnd w:id="72"/>
    <w:bookmarkStart w:id="74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73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74"/>
    <w:bookmarkStart w:id="75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75"/>
    <w:bookmarkStart w:id="77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76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77"/>
    <w:bookmarkStart w:id="79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78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79"/>
    <w:bookmarkStart w:id="81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80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81"/>
    <w:bookmarkStart w:id="83" w:name="ref-Plummer_2003"/>
    <w:p>
      <w:pPr>
        <w:pStyle w:val="Bibliography"/>
      </w:pPr>
      <w:r>
        <w:t xml:space="preserve">Plummer, M. 2003. JAGS: A program for analysis of bayesian graphical</w:t>
      </w:r>
      <w:r>
        <w:t xml:space="preserve"> </w:t>
      </w:r>
      <w:r>
        <w:t xml:space="preserve">models using gibbs sampling. Pages 1–10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K. Hornik, F. Leisch, and</w:t>
      </w:r>
      <w:r>
        <w:t xml:space="preserve"> </w:t>
      </w:r>
      <w:r>
        <w:t xml:space="preserve">A. Zeileis, eds. Proceedings of the 3</w:t>
      </w:r>
      <w:r>
        <w:t xml:space="preserve">rd</w:t>
      </w:r>
      <w:r>
        <w:t xml:space="preserve"> </w:t>
      </w:r>
      <w:r>
        <w:t xml:space="preserve">international</w:t>
      </w:r>
      <w:r>
        <w:t xml:space="preserve"> </w:t>
      </w:r>
      <w:r>
        <w:t xml:space="preserve">workshop on distributed statistical computing.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82">
        <w:r>
          <w:rPr>
            <w:rStyle w:val="Hyperlink"/>
          </w:rPr>
          <w:t xml:space="preserve">https://www.r-project.org/conferences/DSC-2003/Proceedings/Plummer.pdf</w:t>
        </w:r>
      </w:hyperlink>
      <w:r>
        <w:t xml:space="preserve">.</w:t>
      </w:r>
    </w:p>
    <w:bookmarkEnd w:id="83"/>
    <w:bookmarkStart w:id="85" w:name="ref-Plummer_2019"/>
    <w:p>
      <w:pPr>
        <w:pStyle w:val="Bibliography"/>
      </w:pPr>
      <w:r>
        <w:t xml:space="preserve">Plummer, M. 2019. Rjags: Bayesian graphical models using mcmc.</w:t>
      </w:r>
      <w:r>
        <w:t xml:space="preserve"> </w:t>
      </w:r>
      <w:r>
        <w:t xml:space="preserve">[Online] Available:</w:t>
      </w:r>
      <w:r>
        <w:t xml:space="preserve"> </w:t>
      </w:r>
      <w:hyperlink r:id="rId84">
        <w:r>
          <w:rPr>
            <w:rStyle w:val="Hyperlink"/>
          </w:rPr>
          <w:t xml:space="preserve">https://CRAN.R-project.org/package=rjags</w:t>
        </w:r>
      </w:hyperlink>
      <w:r>
        <w:t xml:space="preserve">.</w:t>
      </w:r>
    </w:p>
    <w:bookmarkEnd w:id="85"/>
    <w:bookmarkStart w:id="87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86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87"/>
    <w:bookmarkStart w:id="89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88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89"/>
    <w:bookmarkStart w:id="91" w:name="ref-R_Core_Team_2020"/>
    <w:p>
      <w:pPr>
        <w:pStyle w:val="Bibliography"/>
      </w:pPr>
      <w:r>
        <w:t xml:space="preserve">R Core Team 2020.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9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1"/>
    <w:bookmarkStart w:id="93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92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93"/>
    <w:bookmarkStart w:id="95" w:name="ref-Wickham_2007"/>
    <w:p>
      <w:pPr>
        <w:pStyle w:val="Bibliography"/>
      </w:pPr>
      <w:r>
        <w:t xml:space="preserve">Wickham, H. 2007. Reshaping data with the reshape package. Journal of</w:t>
      </w:r>
      <w:r>
        <w:t xml:space="preserve"> </w:t>
      </w:r>
      <w:r>
        <w:t xml:space="preserve">Statistical Software</w:t>
      </w:r>
      <w:r>
        <w:t xml:space="preserve"> </w:t>
      </w:r>
      <w:r>
        <w:rPr>
          <w:b/>
        </w:rPr>
        <w:t xml:space="preserve">21</w:t>
      </w:r>
      <w:r>
        <w:t xml:space="preserve">: 1–20. [Online] Available:</w:t>
      </w:r>
      <w:r>
        <w:t xml:space="preserve"> </w:t>
      </w:r>
      <w:hyperlink r:id="rId94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95"/>
    <w:bookmarkStart w:id="97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96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97"/>
    <w:bookmarkStart w:id="99" w:name="ref-Xie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R.D. Peng, eds. Implementing</w:t>
      </w:r>
      <w:r>
        <w:t xml:space="preserve"> </w:t>
      </w:r>
      <w:r>
        <w:t xml:space="preserve">reproducible computational research. Chapman; Hall/CRC. [Online]</w:t>
      </w:r>
      <w:r>
        <w:t xml:space="preserve"> </w:t>
      </w:r>
      <w:r>
        <w:t xml:space="preserve">Available:</w:t>
      </w:r>
      <w:r>
        <w:t xml:space="preserve"> </w:t>
      </w:r>
      <w:hyperlink r:id="rId98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99"/>
    <w:bookmarkStart w:id="101" w:name="ref-Xie2015"/>
    <w:p>
      <w:pPr>
        <w:pStyle w:val="Bibliography"/>
      </w:pPr>
      <w:r>
        <w:t xml:space="preserve">Xie, Y. 2015. Dynamic documents with R and knitr. 2nd editions. Chapman;</w:t>
      </w:r>
      <w:r>
        <w:t xml:space="preserve"> </w:t>
      </w:r>
      <w:r>
        <w:t xml:space="preserve">Hall/CRC, Boca Raton, Florida. [Online] Available:</w:t>
      </w:r>
      <w:r>
        <w:t xml:space="preserve"> </w:t>
      </w:r>
      <w:hyperlink r:id="rId100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101"/>
    <w:bookmarkStart w:id="102" w:name="ref-Xie2020"/>
    <w:p>
      <w:pPr>
        <w:pStyle w:val="Bibliography"/>
      </w:pPr>
      <w:r>
        <w:t xml:space="preserve">Xie, Y. 2020. Knitr: A general-purpose package for dynamic report</w:t>
      </w:r>
      <w:r>
        <w:t xml:space="preserve"> </w:t>
      </w:r>
      <w:r>
        <w:t xml:space="preserve">generation in r. [Online] Available:</w:t>
      </w:r>
      <w:r>
        <w:t xml:space="preserve"> </w:t>
      </w:r>
      <w:hyperlink r:id="rId100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102"/>
    <w:bookmarkEnd w:id="103"/>
    <w:p>
      <w:pPr>
        <w:pStyle w:val="Heading1"/>
      </w:pPr>
      <w:bookmarkStart w:id="104" w:name="figures-and-figure-captions"/>
      <w:r>
        <w:t xml:space="preserve">Figures and Figure Captions</w:t>
      </w:r>
      <w:bookmarkEnd w:id="104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hyperlink" Id="rId31" Target="http://arctos.database.museum/project/10002227" TargetMode="External" /><Relationship Type="http://schemas.openxmlformats.org/officeDocument/2006/relationships/hyperlink" Id="rId92" Target="http://hdl.handle.net/102.100.100/286670?index=1" TargetMode="External" /><Relationship Type="http://schemas.openxmlformats.org/officeDocument/2006/relationships/hyperlink" Id="rId67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98" Target="http://www.crcpress.com/product/isbn/9781466561595" TargetMode="External" /><Relationship Type="http://schemas.openxmlformats.org/officeDocument/2006/relationships/hyperlink" Id="rId94" Target="http://www.jstatsoft.org/v21/i12/" TargetMode="External" /><Relationship Type="http://schemas.openxmlformats.org/officeDocument/2006/relationships/hyperlink" Id="rId71" Target="http://www.jstor.org/stable/23436264" TargetMode="External" /><Relationship Type="http://schemas.openxmlformats.org/officeDocument/2006/relationships/hyperlink" Id="rId78" Target="http://www.treesearch.fs.fed.us/pubs/33332" TargetMode="External" /><Relationship Type="http://schemas.openxmlformats.org/officeDocument/2006/relationships/hyperlink" Id="rId84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30" Target="https://arctosdb.org/" TargetMode="External" /><Relationship Type="http://schemas.openxmlformats.org/officeDocument/2006/relationships/hyperlink" Id="rId76" Target="https://doi.org/10.1007/978-3-540-78534-7_9" TargetMode="External" /><Relationship Type="http://schemas.openxmlformats.org/officeDocument/2006/relationships/hyperlink" Id="rId47" Target="https://doi.org/10.1016/S0022-2836(05)80360-2" TargetMode="External" /><Relationship Type="http://schemas.openxmlformats.org/officeDocument/2006/relationships/hyperlink" Id="rId57" Target="https://doi.org/10.1093/nar/gkv1276" TargetMode="External" /><Relationship Type="http://schemas.openxmlformats.org/officeDocument/2006/relationships/hyperlink" Id="rId49" Target="https://doi.org/10.1098/rstb.2005.1725" TargetMode="External" /><Relationship Type="http://schemas.openxmlformats.org/officeDocument/2006/relationships/hyperlink" Id="rId63" Target="https://doi.org/10.1098/rstb.2015.0330" TargetMode="External" /><Relationship Type="http://schemas.openxmlformats.org/officeDocument/2006/relationships/hyperlink" Id="rId59" Target="https://doi.org/10.1111/ecog.04957" TargetMode="External" /><Relationship Type="http://schemas.openxmlformats.org/officeDocument/2006/relationships/hyperlink" Id="rId86" Target="https://doi.org/10.1111/j.1471-8286.2007.01678.x" TargetMode="External" /><Relationship Type="http://schemas.openxmlformats.org/officeDocument/2006/relationships/hyperlink" Id="rId88" Target="https://doi.org/10.1371/journal.pone.0066213" TargetMode="External" /><Relationship Type="http://schemas.openxmlformats.org/officeDocument/2006/relationships/hyperlink" Id="rId61" Target="https://doi.org/10.1371/journal.pone.0138432" TargetMode="External" /><Relationship Type="http://schemas.openxmlformats.org/officeDocument/2006/relationships/hyperlink" Id="rId73" Target="https://doi.org/10.1890/0012-9658(2002)083%5B2248:ESORWD%5D2.0.CO;2" TargetMode="External" /><Relationship Type="http://schemas.openxmlformats.org/officeDocument/2006/relationships/hyperlink" Id="rId96" Target="https://doi.org/10.3133/ofr20101300" TargetMode="External" /><Relationship Type="http://schemas.openxmlformats.org/officeDocument/2006/relationships/hyperlink" Id="rId55" Target="https://doi.org/10.3389/fevo.2019.00434" TargetMode="External" /><Relationship Type="http://schemas.openxmlformats.org/officeDocument/2006/relationships/hyperlink" Id="rId53" Target="https://doi.org/10.3897/BDJ.5.e10792" TargetMode="External" /><Relationship Type="http://schemas.openxmlformats.org/officeDocument/2006/relationships/hyperlink" Id="rId51" Target="https://doi.org/10.3897/BDJ.8.e50124" TargetMode="External" /><Relationship Type="http://schemas.openxmlformats.org/officeDocument/2006/relationships/hyperlink" Id="rId80" Target="https://doi.org/10.3897/rio.3.e12431" TargetMode="External" /><Relationship Type="http://schemas.openxmlformats.org/officeDocument/2006/relationships/hyperlink" Id="rId69" Target="https://web.archive.org/web/20150929072630/http://www.r-bloggers.com/dynamic-community-occupancy-modeling-with-r-and-jags/" TargetMode="External" /><Relationship Type="http://schemas.openxmlformats.org/officeDocument/2006/relationships/hyperlink" Id="rId90" Target="https://www.R-project.org/" TargetMode="External" /><Relationship Type="http://schemas.openxmlformats.org/officeDocument/2006/relationships/hyperlink" Id="rId65" Target="https://www.asprs.org/a/publications/pers/2015journals/PERS_May_2015/HTML/index.html#345" TargetMode="External" /><Relationship Type="http://schemas.openxmlformats.org/officeDocument/2006/relationships/hyperlink" Id="rId32" Target="https://www.gbif.org/" TargetMode="External" /><Relationship Type="http://schemas.openxmlformats.org/officeDocument/2006/relationships/hyperlink" Id="rId43" Target="https://www.govinfo.gov/app/details/STATUTE-111/STATUTE-111-Pg1252" TargetMode="External" /><Relationship Type="http://schemas.openxmlformats.org/officeDocument/2006/relationships/hyperlink" Id="rId45" Target="https://www.govinfo.gov/app/details/STATUTE-94/STATUTE-94-Pg2371" TargetMode="External" /><Relationship Type="http://schemas.openxmlformats.org/officeDocument/2006/relationships/hyperlink" Id="rId82" Target="https://www.r-project.org/conferences/DSC-2003/Proceedings/Plummer.pdf" TargetMode="External" /><Relationship Type="http://schemas.openxmlformats.org/officeDocument/2006/relationships/hyperlink" Id="rId100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arctos.database.museum/project/10002227" TargetMode="External" /><Relationship Type="http://schemas.openxmlformats.org/officeDocument/2006/relationships/hyperlink" Id="rId92" Target="http://hdl.handle.net/102.100.100/286670?index=1" TargetMode="External" /><Relationship Type="http://schemas.openxmlformats.org/officeDocument/2006/relationships/hyperlink" Id="rId67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98" Target="http://www.crcpress.com/product/isbn/9781466561595" TargetMode="External" /><Relationship Type="http://schemas.openxmlformats.org/officeDocument/2006/relationships/hyperlink" Id="rId94" Target="http://www.jstatsoft.org/v21/i12/" TargetMode="External" /><Relationship Type="http://schemas.openxmlformats.org/officeDocument/2006/relationships/hyperlink" Id="rId71" Target="http://www.jstor.org/stable/23436264" TargetMode="External" /><Relationship Type="http://schemas.openxmlformats.org/officeDocument/2006/relationships/hyperlink" Id="rId78" Target="http://www.treesearch.fs.fed.us/pubs/33332" TargetMode="External" /><Relationship Type="http://schemas.openxmlformats.org/officeDocument/2006/relationships/hyperlink" Id="rId84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30" Target="https://arctosdb.org/" TargetMode="External" /><Relationship Type="http://schemas.openxmlformats.org/officeDocument/2006/relationships/hyperlink" Id="rId76" Target="https://doi.org/10.1007/978-3-540-78534-7_9" TargetMode="External" /><Relationship Type="http://schemas.openxmlformats.org/officeDocument/2006/relationships/hyperlink" Id="rId47" Target="https://doi.org/10.1016/S0022-2836(05)80360-2" TargetMode="External" /><Relationship Type="http://schemas.openxmlformats.org/officeDocument/2006/relationships/hyperlink" Id="rId57" Target="https://doi.org/10.1093/nar/gkv1276" TargetMode="External" /><Relationship Type="http://schemas.openxmlformats.org/officeDocument/2006/relationships/hyperlink" Id="rId49" Target="https://doi.org/10.1098/rstb.2005.1725" TargetMode="External" /><Relationship Type="http://schemas.openxmlformats.org/officeDocument/2006/relationships/hyperlink" Id="rId63" Target="https://doi.org/10.1098/rstb.2015.0330" TargetMode="External" /><Relationship Type="http://schemas.openxmlformats.org/officeDocument/2006/relationships/hyperlink" Id="rId59" Target="https://doi.org/10.1111/ecog.04957" TargetMode="External" /><Relationship Type="http://schemas.openxmlformats.org/officeDocument/2006/relationships/hyperlink" Id="rId86" Target="https://doi.org/10.1111/j.1471-8286.2007.01678.x" TargetMode="External" /><Relationship Type="http://schemas.openxmlformats.org/officeDocument/2006/relationships/hyperlink" Id="rId88" Target="https://doi.org/10.1371/journal.pone.0066213" TargetMode="External" /><Relationship Type="http://schemas.openxmlformats.org/officeDocument/2006/relationships/hyperlink" Id="rId61" Target="https://doi.org/10.1371/journal.pone.0138432" TargetMode="External" /><Relationship Type="http://schemas.openxmlformats.org/officeDocument/2006/relationships/hyperlink" Id="rId73" Target="https://doi.org/10.1890/0012-9658(2002)083%5B2248:ESORWD%5D2.0.CO;2" TargetMode="External" /><Relationship Type="http://schemas.openxmlformats.org/officeDocument/2006/relationships/hyperlink" Id="rId96" Target="https://doi.org/10.3133/ofr20101300" TargetMode="External" /><Relationship Type="http://schemas.openxmlformats.org/officeDocument/2006/relationships/hyperlink" Id="rId55" Target="https://doi.org/10.3389/fevo.2019.00434" TargetMode="External" /><Relationship Type="http://schemas.openxmlformats.org/officeDocument/2006/relationships/hyperlink" Id="rId53" Target="https://doi.org/10.3897/BDJ.5.e10792" TargetMode="External" /><Relationship Type="http://schemas.openxmlformats.org/officeDocument/2006/relationships/hyperlink" Id="rId51" Target="https://doi.org/10.3897/BDJ.8.e50124" TargetMode="External" /><Relationship Type="http://schemas.openxmlformats.org/officeDocument/2006/relationships/hyperlink" Id="rId80" Target="https://doi.org/10.3897/rio.3.e12431" TargetMode="External" /><Relationship Type="http://schemas.openxmlformats.org/officeDocument/2006/relationships/hyperlink" Id="rId69" Target="https://web.archive.org/web/20150929072630/http://www.r-bloggers.com/dynamic-community-occupancy-modeling-with-r-and-jags/" TargetMode="External" /><Relationship Type="http://schemas.openxmlformats.org/officeDocument/2006/relationships/hyperlink" Id="rId90" Target="https://www.R-project.org/" TargetMode="External" /><Relationship Type="http://schemas.openxmlformats.org/officeDocument/2006/relationships/hyperlink" Id="rId65" Target="https://www.asprs.org/a/publications/pers/2015journals/PERS_May_2015/HTML/index.html#345" TargetMode="External" /><Relationship Type="http://schemas.openxmlformats.org/officeDocument/2006/relationships/hyperlink" Id="rId32" Target="https://www.gbif.org/" TargetMode="External" /><Relationship Type="http://schemas.openxmlformats.org/officeDocument/2006/relationships/hyperlink" Id="rId43" Target="https://www.govinfo.gov/app/details/STATUTE-111/STATUTE-111-Pg1252" TargetMode="External" /><Relationship Type="http://schemas.openxmlformats.org/officeDocument/2006/relationships/hyperlink" Id="rId45" Target="https://www.govinfo.gov/app/details/STATUTE-94/STATUTE-94-Pg2371" TargetMode="External" /><Relationship Type="http://schemas.openxmlformats.org/officeDocument/2006/relationships/hyperlink" Id="rId82" Target="https://www.r-project.org/conferences/DSC-2003/Proceedings/Plummer.pdf" TargetMode="External" /><Relationship Type="http://schemas.openxmlformats.org/officeDocument/2006/relationships/hyperlink" Id="rId10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2020-12-07T20:15:50Z</dcterms:created>
  <dcterms:modified xsi:type="dcterms:W3CDTF">2020-12-07T20:15:50Z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