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Documenting</w:t>
      </w:r>
      <w:r>
        <w:t xml:space="preserve"> </w:t>
      </w:r>
      <w:r>
        <w:t xml:space="preserve">distributions</w:t>
      </w:r>
      <w:r>
        <w:t xml:space="preserve"> </w:t>
      </w:r>
      <w:r>
        <w:t xml:space="preserve">of</w:t>
      </w:r>
      <w:r>
        <w:t xml:space="preserve"> </w:t>
      </w:r>
      <w:r>
        <w:t xml:space="preserve">hyperdiverse</w:t>
      </w:r>
      <w:r>
        <w:t xml:space="preserve"> </w:t>
      </w:r>
      <w:r>
        <w:t xml:space="preserve">groups</w:t>
      </w:r>
      <w:r>
        <w:t xml:space="preserve"> </w:t>
      </w:r>
      <w:r>
        <w:t xml:space="preserve">(terrestrial</w:t>
      </w:r>
      <w:r>
        <w:t xml:space="preserve"> </w:t>
      </w:r>
      <w:r>
        <w:t xml:space="preserve">invertebrates)</w:t>
      </w:r>
      <w:r>
        <w:t xml:space="preserve"> </w:t>
      </w:r>
      <w:r>
        <w:t xml:space="preserve">through</w:t>
      </w:r>
      <w:r>
        <w:t xml:space="preserve"> </w:t>
      </w:r>
      <w:r>
        <w:t xml:space="preserve">grid-based</w:t>
      </w:r>
      <w:r>
        <w:t xml:space="preserve"> </w:t>
      </w:r>
      <w:r>
        <w:t xml:space="preserve">spatial</w:t>
      </w:r>
      <w:r>
        <w:t xml:space="preserve"> </w:t>
      </w:r>
      <w:r>
        <w:t xml:space="preserve">sampling,</w:t>
      </w:r>
      <w:r>
        <w:t xml:space="preserve"> </w:t>
      </w:r>
      <w:r>
        <w:t xml:space="preserve">high-throughput</w:t>
      </w:r>
      <w:r>
        <w:t xml:space="preserve"> </w:t>
      </w:r>
      <w:r>
        <w:t xml:space="preserve">sequencing,</w:t>
      </w:r>
      <w:r>
        <w:t xml:space="preserve"> </w:t>
      </w:r>
      <w:r>
        <w:t xml:space="preserve">and</w:t>
      </w:r>
      <w:r>
        <w:t xml:space="preserve"> </w:t>
      </w:r>
      <w:r>
        <w:t xml:space="preserve">occupancy</w:t>
      </w:r>
      <w:r>
        <w:t xml:space="preserve"> </w:t>
      </w:r>
      <w:r>
        <w:t xml:space="preserve">modeling</w:t>
      </w:r>
    </w:p>
    <w:p>
      <w:pPr>
        <w:pStyle w:val="Heading1"/>
      </w:pPr>
      <w:bookmarkStart w:id="20" w:name="author-information"/>
      <w:r>
        <w:t xml:space="preserve">Author Information</w:t>
      </w:r>
      <w:bookmarkEnd w:id="20"/>
    </w:p>
    <w:p>
      <w:pPr>
        <w:pStyle w:val="FirstParagraph"/>
      </w:pPr>
      <w:r>
        <w:rPr>
          <w:b/>
        </w:rPr>
        <w:t xml:space="preserve">Matthew L. Bowser,</w:t>
      </w:r>
      <w:r>
        <w:rPr>
          <w:b/>
        </w:rPr>
        <w:t xml:space="preserve">*</w:t>
      </w:r>
      <w:r>
        <w:rPr>
          <w:b/>
        </w:rPr>
        <w:t xml:space="preserve"> </w:t>
      </w:r>
      <w:r>
        <w:rPr>
          <w:b/>
        </w:rPr>
        <w:t xml:space="preserve">John M. Morton</w:t>
      </w:r>
    </w:p>
    <w:p>
      <w:pPr>
        <w:pStyle w:val="BodyText"/>
      </w:pPr>
      <w:r>
        <w:rPr>
          <w:b/>
        </w:rPr>
        <w:t xml:space="preserve">M.L. Bowser</w:t>
      </w:r>
      <w:r>
        <w:t xml:space="preserve"> </w:t>
      </w:r>
      <w:r>
        <w:t xml:space="preserve">USFWS Kenai National Wildlife Refuge, Soldotna, Alaska</w:t>
      </w:r>
      <w:r>
        <w:t xml:space="preserve"> </w:t>
      </w:r>
      <w:r>
        <w:t xml:space="preserve">99669</w:t>
      </w:r>
    </w:p>
    <w:p>
      <w:pPr>
        <w:pStyle w:val="BodyText"/>
      </w:pPr>
      <w:r>
        <w:rPr>
          <w:b/>
        </w:rPr>
        <w:t xml:space="preserve">J.M. Morton</w:t>
      </w:r>
      <w:r>
        <w:t xml:space="preserve"> </w:t>
      </w:r>
      <w:r>
        <w:t xml:space="preserve">USFWS Kenai National Wildlife Refuge, Soldotna, Alaska</w:t>
      </w:r>
      <w:r>
        <w:t xml:space="preserve"> </w:t>
      </w:r>
      <w:r>
        <w:t xml:space="preserve">99669 (retired)</w:t>
      </w:r>
    </w:p>
    <w:p>
      <w:pPr>
        <w:pStyle w:val="BodyText"/>
      </w:pPr>
      <w:r>
        <w:t xml:space="preserve">*</w:t>
      </w:r>
      <w:r>
        <w:t xml:space="preserve">Corresponding author: matt_bowser@fws.gov</w:t>
      </w:r>
    </w:p>
    <w:p>
      <w:pPr>
        <w:pStyle w:val="Heading1"/>
      </w:pPr>
      <w:bookmarkStart w:id="21" w:name="introduction"/>
      <w:r>
        <w:t xml:space="preserve">Introduction</w:t>
      </w:r>
      <w:bookmarkEnd w:id="21"/>
    </w:p>
    <w:p>
      <w:pPr>
        <w:pStyle w:val="FirstParagraph"/>
      </w:pPr>
      <w:r>
        <w:t xml:space="preserve">Alaska National Wildlife Refuges have been given mandates to conserve</w:t>
      </w:r>
      <w:r>
        <w:t xml:space="preserve"> </w:t>
      </w:r>
      <w:r>
        <w:t xml:space="preserve">natural biodiversity, habitats, biological integrity, and environmental</w:t>
      </w:r>
      <w:r>
        <w:t xml:space="preserve"> </w:t>
      </w:r>
      <w:r>
        <w:t xml:space="preserve">health (96</w:t>
      </w:r>
      <w:r>
        <w:t xml:space="preserve">th</w:t>
      </w:r>
      <w:r>
        <w:t xml:space="preserve"> </w:t>
      </w:r>
      <w:r>
        <w:t xml:space="preserve">Congress</w:t>
      </w:r>
      <w:r>
        <w:t xml:space="preserve"> </w:t>
      </w:r>
      <w:hyperlink w:anchor="ref-96th_Congress_1980">
        <w:r>
          <w:rPr>
            <w:rStyle w:val="Hyperlink"/>
          </w:rPr>
          <w:t xml:space="preserve">1980</w:t>
        </w:r>
      </w:hyperlink>
      <w:r>
        <w:t xml:space="preserve">;</w:t>
      </w:r>
      <w:r>
        <w:t xml:space="preserve"> </w:t>
      </w:r>
      <w:r>
        <w:t xml:space="preserve">105</w:t>
      </w:r>
      <w:r>
        <w:t xml:space="preserve">th</w:t>
      </w:r>
      <w:r>
        <w:t xml:space="preserve"> </w:t>
      </w:r>
      <w:r>
        <w:t xml:space="preserve">Congress</w:t>
      </w:r>
      <w:r>
        <w:t xml:space="preserve"> </w:t>
      </w:r>
      <w:hyperlink w:anchor="ref-105th_Congress_1997">
        <w:r>
          <w:rPr>
            <w:rStyle w:val="Hyperlink"/>
          </w:rPr>
          <w:t xml:space="preserve">1997</w:t>
        </w:r>
      </w:hyperlink>
      <w:r>
        <w:t xml:space="preserve">). Woodward</w:t>
      </w:r>
      <w:r>
        <w:t xml:space="preserve"> </w:t>
      </w:r>
      <w:r>
        <w:t xml:space="preserve">and Beever (</w:t>
      </w:r>
      <w:hyperlink w:anchor="ref-Woodward_Beever_2010">
        <w:r>
          <w:rPr>
            <w:rStyle w:val="Hyperlink"/>
          </w:rPr>
          <w:t xml:space="preserve">2010</w:t>
        </w:r>
      </w:hyperlink>
      <w:r>
        <w:t xml:space="preserve">) noted that, under these</w:t>
      </w:r>
      <w:r>
        <w:t xml:space="preserve"> </w:t>
      </w:r>
      <w:r>
        <w:t xml:space="preserve">broad purposes of National Wildlife Refuges in Alaska to protect natural</w:t>
      </w:r>
      <w:r>
        <w:t xml:space="preserve"> </w:t>
      </w:r>
      <w:r>
        <w:t xml:space="preserve">landscapes and entire ecosystems, they must develop methods that can</w:t>
      </w:r>
      <w:r>
        <w:t xml:space="preserve"> </w:t>
      </w:r>
      <w:r>
        <w:t xml:space="preserve">successfully monitor biodiversity.</w:t>
      </w:r>
    </w:p>
    <w:p>
      <w:pPr>
        <w:pStyle w:val="BodyText"/>
      </w:pPr>
      <w:r>
        <w:t xml:space="preserve">Morton et al. (</w:t>
      </w:r>
      <w:hyperlink w:anchor="ref-Morton_et_al_2009">
        <w:r>
          <w:rPr>
            <w:rStyle w:val="Hyperlink"/>
          </w:rPr>
          <w:t xml:space="preserve">2009</w:t>
        </w:r>
      </w:hyperlink>
      <w:r>
        <w:t xml:space="preserve">) determined that the best</w:t>
      </w:r>
      <w:r>
        <w:t xml:space="preserve"> </w:t>
      </w:r>
      <w:r>
        <w:t xml:space="preserve">way to measure biodiversity at the scale of Alaska Refuges was to</w:t>
      </w:r>
      <w:r>
        <w:t xml:space="preserve"> </w:t>
      </w:r>
      <w:r>
        <w:t xml:space="preserve">document occurrences and co-occurrences of many species on a set of</w:t>
      </w:r>
      <w:r>
        <w:t xml:space="preserve"> </w:t>
      </w:r>
      <w:r>
        <w:t xml:space="preserve">points distributed widely across the landscape. This kind of sampling</w:t>
      </w:r>
      <w:r>
        <w:t xml:space="preserve"> </w:t>
      </w:r>
      <w:r>
        <w:t xml:space="preserve">scheme would yield species distributions and assemblages and, if</w:t>
      </w:r>
      <w:r>
        <w:t xml:space="preserve"> </w:t>
      </w:r>
      <w:r>
        <w:t xml:space="preserve">repeated over time, could be used to assess whether Alaska Refuges were</w:t>
      </w:r>
      <w:r>
        <w:t xml:space="preserve"> </w:t>
      </w:r>
      <w:r>
        <w:t xml:space="preserve">fulfilling their conservation purposes. Magness et al.</w:t>
      </w:r>
      <w:r>
        <w:t xml:space="preserve"> </w:t>
      </w:r>
      <w:r>
        <w:t xml:space="preserve">(</w:t>
      </w:r>
      <w:hyperlink w:anchor="ref-Magness_et_al_2008">
        <w:r>
          <w:rPr>
            <w:rStyle w:val="Hyperlink"/>
          </w:rPr>
          <w:t xml:space="preserve">2008</w:t>
        </w:r>
      </w:hyperlink>
      <w:r>
        <w:t xml:space="preserve">) demonstrated the utility of this</w:t>
      </w:r>
      <w:r>
        <w:t xml:space="preserve"> </w:t>
      </w:r>
      <w:r>
        <w:t xml:space="preserve">sampling design for generating species distribution data that could</w:t>
      </w:r>
      <w:r>
        <w:t xml:space="preserve"> </w:t>
      </w:r>
      <w:r>
        <w:t xml:space="preserve">serve this purpose.</w:t>
      </w:r>
    </w:p>
    <w:p>
      <w:pPr>
        <w:pStyle w:val="BodyText"/>
      </w:pPr>
      <w:r>
        <w:t xml:space="preserve">A key deficiency identified by Morton et al.</w:t>
      </w:r>
      <w:r>
        <w:t xml:space="preserve"> </w:t>
      </w:r>
      <w:r>
        <w:t xml:space="preserve">(</w:t>
      </w:r>
      <w:hyperlink w:anchor="ref-Morton_et_al_2009">
        <w:r>
          <w:rPr>
            <w:rStyle w:val="Hyperlink"/>
          </w:rPr>
          <w:t xml:space="preserve">2009</w:t>
        </w:r>
      </w:hyperlink>
      <w:r>
        <w:t xml:space="preserve">) was an inability to feasibly monitor</w:t>
      </w:r>
      <w:r>
        <w:t xml:space="preserve"> </w:t>
      </w:r>
      <w:r>
        <w:t xml:space="preserve">most of biodiversity due to the high cost and lengthy time required to</w:t>
      </w:r>
      <w:r>
        <w:t xml:space="preserve"> </w:t>
      </w:r>
      <w:r>
        <w:t xml:space="preserve">obtain identifications for species in hyperdiverse groups, a well-known</w:t>
      </w:r>
      <w:r>
        <w:t xml:space="preserve"> </w:t>
      </w:r>
      <w:r>
        <w:t xml:space="preserve">problem that has been referred to as the taxonomic impediment (Taylor</w:t>
      </w:r>
      <w:r>
        <w:t xml:space="preserve"> </w:t>
      </w:r>
      <w:hyperlink w:anchor="ref-Taylor_1983">
        <w:r>
          <w:rPr>
            <w:rStyle w:val="Hyperlink"/>
          </w:rPr>
          <w:t xml:space="preserve">1983</w:t>
        </w:r>
      </w:hyperlink>
      <w:r>
        <w:t xml:space="preserve">). Since that time, high-throughput sequencing</w:t>
      </w:r>
      <w:r>
        <w:t xml:space="preserve"> </w:t>
      </w:r>
      <w:r>
        <w:t xml:space="preserve">(HTS) methods have emerged as a means to obtain many identfications from</w:t>
      </w:r>
      <w:r>
        <w:t xml:space="preserve"> </w:t>
      </w:r>
      <w:r>
        <w:t xml:space="preserve">environmental samples. Multiple studies (Gibson et al.</w:t>
      </w:r>
      <w:r>
        <w:t xml:space="preserve"> </w:t>
      </w:r>
      <w:hyperlink w:anchor="ref-Gibson_et_al_2015">
        <w:r>
          <w:rPr>
            <w:rStyle w:val="Hyperlink"/>
          </w:rPr>
          <w:t xml:space="preserve">2015</w:t>
        </w:r>
      </w:hyperlink>
      <w:r>
        <w:t xml:space="preserve">; Hajibabaei et al.</w:t>
      </w:r>
      <w:r>
        <w:t xml:space="preserve"> </w:t>
      </w:r>
      <w:hyperlink w:anchor="ref-Hajibabaei_et_al_2016">
        <w:r>
          <w:rPr>
            <w:rStyle w:val="Hyperlink"/>
          </w:rPr>
          <w:t xml:space="preserve">2016</w:t>
        </w:r>
      </w:hyperlink>
      <w:r>
        <w:t xml:space="preserve">; Bowser et al.</w:t>
      </w:r>
      <w:r>
        <w:t xml:space="preserve"> </w:t>
      </w:r>
      <w:hyperlink w:anchor="ref-Bowser_et_al_2017">
        <w:r>
          <w:rPr>
            <w:rStyle w:val="Hyperlink"/>
          </w:rPr>
          <w:t xml:space="preserve">2017</w:t>
        </w:r>
      </w:hyperlink>
      <w:r>
        <w:t xml:space="preserve">,</w:t>
      </w:r>
      <w:r>
        <w:t xml:space="preserve"> </w:t>
      </w:r>
      <w:hyperlink w:anchor="ref-Bowser_et_al_2020">
        <w:r>
          <w:rPr>
            <w:rStyle w:val="Hyperlink"/>
          </w:rPr>
          <w:t xml:space="preserve">2020</w:t>
        </w:r>
      </w:hyperlink>
      <w:r>
        <w:t xml:space="preserve">; Bush et</w:t>
      </w:r>
      <w:r>
        <w:t xml:space="preserve"> </w:t>
      </w:r>
      <w:r>
        <w:t xml:space="preserve">al. </w:t>
      </w:r>
      <w:hyperlink w:anchor="ref-Bush_2019">
        <w:r>
          <w:rPr>
            <w:rStyle w:val="Hyperlink"/>
          </w:rPr>
          <w:t xml:space="preserve">2019</w:t>
        </w:r>
      </w:hyperlink>
      <w:r>
        <w:t xml:space="preserve">) have demonstrated that assemblages of</w:t>
      </w:r>
      <w:r>
        <w:t xml:space="preserve"> </w:t>
      </w:r>
      <w:r>
        <w:t xml:space="preserve">diverse taxa can be efficiently identified using these methods.</w:t>
      </w:r>
    </w:p>
    <w:p>
      <w:pPr>
        <w:pStyle w:val="BodyText"/>
      </w:pPr>
      <w:r>
        <w:t xml:space="preserve">The second deficiency recognized by Morton et al.</w:t>
      </w:r>
      <w:r>
        <w:t xml:space="preserve"> </w:t>
      </w:r>
      <w:r>
        <w:t xml:space="preserve">(</w:t>
      </w:r>
      <w:hyperlink w:anchor="ref-Morton_et_al_2009">
        <w:r>
          <w:rPr>
            <w:rStyle w:val="Hyperlink"/>
          </w:rPr>
          <w:t xml:space="preserve">2009</w:t>
        </w:r>
      </w:hyperlink>
      <w:r>
        <w:t xml:space="preserve">) and Magness et al.</w:t>
      </w:r>
      <w:r>
        <w:t xml:space="preserve"> </w:t>
      </w:r>
      <w:r>
        <w:t xml:space="preserve">(</w:t>
      </w:r>
      <w:hyperlink w:anchor="ref-Magness_et_al_2008">
        <w:r>
          <w:rPr>
            <w:rStyle w:val="Hyperlink"/>
          </w:rPr>
          <w:t xml:space="preserve">2008</w:t>
        </w:r>
      </w:hyperlink>
      <w:r>
        <w:t xml:space="preserve">) was the inability to account for</w:t>
      </w:r>
      <w:r>
        <w:t xml:space="preserve"> </w:t>
      </w:r>
      <w:r>
        <w:t xml:space="preserve">imperfect detection. When a species is present but there is a chance</w:t>
      </w:r>
      <w:r>
        <w:t xml:space="preserve"> </w:t>
      </w:r>
      <w:r>
        <w:t xml:space="preserve">that it will not be detected, this may lead to false negatives (i.e.,</w:t>
      </w:r>
      <w:r>
        <w:t xml:space="preserve"> </w:t>
      </w:r>
      <w:r>
        <w:t xml:space="preserve">recording an absence where a species is present), leading to bias in the</w:t>
      </w:r>
      <w:r>
        <w:t xml:space="preserve"> </w:t>
      </w:r>
      <w:r>
        <w:t xml:space="preserve">resulting estimates of species distributions. MacKenzie et</w:t>
      </w:r>
      <w:r>
        <w:t xml:space="preserve"> </w:t>
      </w:r>
      <w:r>
        <w:t xml:space="preserve">al. (</w:t>
      </w:r>
      <w:hyperlink w:anchor="ref-MacKenzie_et_al_2002">
        <w:r>
          <w:rPr>
            <w:rStyle w:val="Hyperlink"/>
          </w:rPr>
          <w:t xml:space="preserve">2002</w:t>
        </w:r>
      </w:hyperlink>
      <w:r>
        <w:t xml:space="preserve">,</w:t>
      </w:r>
      <w:r>
        <w:t xml:space="preserve"> </w:t>
      </w:r>
      <w:hyperlink w:anchor="ref-MacKenzie_et_al_2006">
        <w:r>
          <w:rPr>
            <w:rStyle w:val="Hyperlink"/>
          </w:rPr>
          <w:t xml:space="preserve">2006</w:t>
        </w:r>
      </w:hyperlink>
      <w:r>
        <w:t xml:space="preserve">) presented occupancy modeling methods</w:t>
      </w:r>
      <w:r>
        <w:t xml:space="preserve"> </w:t>
      </w:r>
      <w:r>
        <w:t xml:space="preserve">that can yield unbiased estimates of species occurrence and</w:t>
      </w:r>
      <w:r>
        <w:t xml:space="preserve"> </w:t>
      </w:r>
      <w:r>
        <w:t xml:space="preserve">distributions. These models explicitly account for imperfect detection</w:t>
      </w:r>
      <w:r>
        <w:t xml:space="preserve"> </w:t>
      </w:r>
      <w:r>
        <w:t xml:space="preserve">through spatially or temporally repeated sampling.</w:t>
      </w:r>
    </w:p>
    <w:p>
      <w:pPr>
        <w:pStyle w:val="BodyText"/>
      </w:pPr>
      <w:r>
        <w:t xml:space="preserve">The biological inventory work of Bowser et al.</w:t>
      </w:r>
      <w:r>
        <w:t xml:space="preserve"> </w:t>
      </w:r>
      <w:r>
        <w:t xml:space="preserve">(</w:t>
      </w:r>
      <w:hyperlink w:anchor="ref-Bowser_et_al_2020">
        <w:r>
          <w:rPr>
            <w:rStyle w:val="Hyperlink"/>
          </w:rPr>
          <w:t xml:space="preserve">2020</w:t>
        </w:r>
      </w:hyperlink>
      <w:r>
        <w:t xml:space="preserve">) was designed in part to provide the</w:t>
      </w:r>
      <w:r>
        <w:t xml:space="preserve"> </w:t>
      </w:r>
      <w:r>
        <w:t xml:space="preserve">kind of occurrence data required for monitoring distributions of</w:t>
      </w:r>
      <w:r>
        <w:t xml:space="preserve"> </w:t>
      </w:r>
      <w:r>
        <w:t xml:space="preserve">multiple species (i.e., monitoring assemblages of species) and</w:t>
      </w:r>
      <w:r>
        <w:t xml:space="preserve"> </w:t>
      </w:r>
      <w:r>
        <w:t xml:space="preserve">accounting for imperfect detection by spatial subsampling. Our intent in</w:t>
      </w:r>
      <w:r>
        <w:t xml:space="preserve"> </w:t>
      </w:r>
      <w:r>
        <w:t xml:space="preserve">this paper is to test the usefulness of the methods of Bowser et al.</w:t>
      </w:r>
      <w:r>
        <w:t xml:space="preserve"> </w:t>
      </w:r>
      <w:r>
        <w:t xml:space="preserve">(</w:t>
      </w:r>
      <w:hyperlink w:anchor="ref-Bowser_et_al_2020">
        <w:r>
          <w:rPr>
            <w:rStyle w:val="Hyperlink"/>
          </w:rPr>
          <w:t xml:space="preserve">2020</w:t>
        </w:r>
      </w:hyperlink>
      <w:r>
        <w:t xml:space="preserve">) for delivering unbiased estimates of</w:t>
      </w:r>
      <w:r>
        <w:t xml:space="preserve"> </w:t>
      </w:r>
      <w:r>
        <w:t xml:space="preserve">species occurrence and distributions of hyperdiverse taxa.</w:t>
      </w:r>
    </w:p>
    <w:p>
      <w:pPr>
        <w:pStyle w:val="Heading1"/>
      </w:pPr>
      <w:bookmarkStart w:id="22" w:name="materials-and-methods"/>
      <w:r>
        <w:t xml:space="preserve">Materials and Methods</w:t>
      </w:r>
      <w:bookmarkEnd w:id="22"/>
    </w:p>
    <w:p>
      <w:pPr>
        <w:pStyle w:val="FirstParagraph"/>
      </w:pPr>
      <w:r>
        <w:t xml:space="preserve">In our detailed presentation of our methods and even our thought process</w:t>
      </w:r>
      <w:r>
        <w:t xml:space="preserve"> </w:t>
      </w:r>
      <w:r>
        <w:t xml:space="preserve">for why methods were chosen, we are seeking to follow the</w:t>
      </w:r>
      <w:r>
        <w:t xml:space="preserve"> </w:t>
      </w:r>
      <w:r>
        <w:t xml:space="preserve">recommendations of Devarajan et al. (</w:t>
      </w:r>
      <w:hyperlink w:anchor="ref-Devarajan_et_al_2020">
        <w:r>
          <w:rPr>
            <w:rStyle w:val="Hyperlink"/>
          </w:rPr>
          <w:t xml:space="preserve">2020</w:t>
        </w:r>
      </w:hyperlink>
      <w:r>
        <w:t xml:space="preserve">).</w:t>
      </w:r>
    </w:p>
    <w:p>
      <w:pPr>
        <w:pStyle w:val="Heading2"/>
      </w:pPr>
      <w:bookmarkStart w:id="23" w:name="study-area"/>
      <w:r>
        <w:t xml:space="preserve">Study area</w:t>
      </w:r>
      <w:bookmarkEnd w:id="23"/>
    </w:p>
    <w:p>
      <w:pPr>
        <w:pStyle w:val="FirstParagraph"/>
      </w:pPr>
      <w:r>
        <w:t xml:space="preserve">The study area, described by Bowser et</w:t>
      </w:r>
      <w:r>
        <w:t xml:space="preserve"> </w:t>
      </w:r>
      <w:r>
        <w:t xml:space="preserve">al. (</w:t>
      </w:r>
      <w:hyperlink w:anchor="ref-Bowser_et_al_2020">
        <w:r>
          <w:rPr>
            <w:rStyle w:val="Hyperlink"/>
          </w:rPr>
          <w:t xml:space="preserve">2020</w:t>
        </w:r>
      </w:hyperlink>
      <w:r>
        <w:t xml:space="preserve">), was a 938 ha portion of the</w:t>
      </w:r>
      <w:r>
        <w:t xml:space="preserve"> </w:t>
      </w:r>
      <w:r>
        <w:t xml:space="preserve">Slikok Creek watershed on the Kenai National Wildlife Refuge (KNWR) with</w:t>
      </w:r>
      <w:r>
        <w:t xml:space="preserve"> </w:t>
      </w:r>
      <w:r>
        <w:t xml:space="preserve">a bounding box from 60.44° to 60.47° latitude and from -151.10° to</w:t>
      </w:r>
      <w:r>
        <w:t xml:space="preserve"> </w:t>
      </w:r>
      <w:r>
        <w:t xml:space="preserve">-151.03° longitude.</w:t>
      </w:r>
    </w:p>
    <w:p>
      <w:pPr>
        <w:pStyle w:val="BodyText"/>
      </w:pPr>
      <w:r>
        <w:t xml:space="preserve">Based on data from the U.S. National Land Cover Database (Homer et al.</w:t>
      </w:r>
      <w:r>
        <w:t xml:space="preserve"> </w:t>
      </w:r>
      <w:hyperlink w:anchor="ref-Homer_et_al_2015">
        <w:r>
          <w:rPr>
            <w:rStyle w:val="Hyperlink"/>
          </w:rPr>
          <w:t xml:space="preserve">2015</w:t>
        </w:r>
      </w:hyperlink>
      <w:r>
        <w:t xml:space="preserve">), the land area of this study area was</w:t>
      </w:r>
      <w:r>
        <w:t xml:space="preserve"> </w:t>
      </w:r>
      <w:r>
        <w:t xml:space="preserve">coverd mostly by mixed forest (29%), evergreen forest (22%), emergent</w:t>
      </w:r>
      <w:r>
        <w:t xml:space="preserve"> </w:t>
      </w:r>
      <w:r>
        <w:t xml:space="preserve">herbaceous wetlands (13%), deciduous forest (12%), woody wetlands (11%),</w:t>
      </w:r>
      <w:r>
        <w:t xml:space="preserve"> </w:t>
      </w:r>
      <w:r>
        <w:t xml:space="preserve">and open water (10%). Common trees in well-drained areas were white</w:t>
      </w:r>
      <w:r>
        <w:t xml:space="preserve"> </w:t>
      </w:r>
      <w:r>
        <w:t xml:space="preserve">spruce (</w:t>
      </w:r>
      <w:r>
        <w:rPr>
          <w:i/>
        </w:rPr>
        <w:t xml:space="preserve">Picea glauca</w:t>
      </w:r>
      <w:r>
        <w:t xml:space="preserve"> </w:t>
      </w:r>
      <w:r>
        <w:t xml:space="preserve">(Moench) Voss), Alaska birch (</w:t>
      </w:r>
      <w:r>
        <w:rPr>
          <w:i/>
        </w:rPr>
        <w:t xml:space="preserve">Betula pendula</w:t>
      </w:r>
      <w:r>
        <w:t xml:space="preserve"> </w:t>
      </w:r>
      <w:r>
        <w:t xml:space="preserve">subsp.</w:t>
      </w:r>
      <w:r>
        <w:t xml:space="preserve"> </w:t>
      </w:r>
      <w:r>
        <w:rPr>
          <w:i/>
        </w:rPr>
        <w:t xml:space="preserve">mandshurica</w:t>
      </w:r>
      <w:r>
        <w:t xml:space="preserve"> </w:t>
      </w:r>
      <w:r>
        <w:t xml:space="preserve">(Regel) Ashburner &amp; McAll.), quaking aspen</w:t>
      </w:r>
      <w:r>
        <w:t xml:space="preserve"> </w:t>
      </w:r>
      <w:r>
        <w:t xml:space="preserve">(</w:t>
      </w:r>
      <w:r>
        <w:rPr>
          <w:i/>
        </w:rPr>
        <w:t xml:space="preserve">Populus tremuloides</w:t>
      </w:r>
      <w:r>
        <w:t xml:space="preserve"> </w:t>
      </w:r>
      <w:r>
        <w:t xml:space="preserve">Michx.), and cottonwood (</w:t>
      </w:r>
      <w:r>
        <w:rPr>
          <w:i/>
        </w:rPr>
        <w:t xml:space="preserve">Populus</w:t>
      </w:r>
      <w:r>
        <w:t xml:space="preserve"> </w:t>
      </w:r>
      <w:r>
        <w:t xml:space="preserve">×</w:t>
      </w:r>
      <w:r>
        <w:t xml:space="preserve"> </w:t>
      </w:r>
      <w:r>
        <w:rPr>
          <w:i/>
        </w:rPr>
        <w:t xml:space="preserve">hastata</w:t>
      </w:r>
      <w:r>
        <w:t xml:space="preserve"> </w:t>
      </w:r>
      <w:r>
        <w:t xml:space="preserve">Dode). Black spruce (</w:t>
      </w:r>
      <w:r>
        <w:rPr>
          <w:i/>
        </w:rPr>
        <w:t xml:space="preserve">Picea mariana</w:t>
      </w:r>
      <w:r>
        <w:t xml:space="preserve"> </w:t>
      </w:r>
      <w:r>
        <w:t xml:space="preserve">Britton, Sterns &amp; Poggenb.) was the</w:t>
      </w:r>
      <w:r>
        <w:t xml:space="preserve"> </w:t>
      </w:r>
      <w:r>
        <w:t xml:space="preserve">dominant tree in forested wetlands. Herbaceous wetlands were</w:t>
      </w:r>
      <w:r>
        <w:t xml:space="preserve"> </w:t>
      </w:r>
      <w:r>
        <w:t xml:space="preserve">characterized by mosses, sedges, and low shrubs. Shallow, eutrophic</w:t>
      </w:r>
      <w:r>
        <w:t xml:space="preserve"> </w:t>
      </w:r>
      <w:r>
        <w:t xml:space="preserve">lakes (Headquarters Lake, Nordic Lake, and smaller, unnamed lakes)</w:t>
      </w:r>
      <w:r>
        <w:t xml:space="preserve"> </w:t>
      </w:r>
      <w:r>
        <w:t xml:space="preserve">accounted for most of the open water in the study area.</w:t>
      </w:r>
    </w:p>
    <w:p>
      <w:pPr>
        <w:pStyle w:val="BodyText"/>
      </w:pPr>
      <w:r>
        <w:t xml:space="preserve">This study area was chosen as an analog of a real conservation unit that</w:t>
      </w:r>
      <w:r>
        <w:t xml:space="preserve"> </w:t>
      </w:r>
      <w:r>
        <w:t xml:space="preserve">could be conveniently sampled from our office at the Kenai National</w:t>
      </w:r>
      <w:r>
        <w:t xml:space="preserve"> </w:t>
      </w:r>
      <w:r>
        <w:t xml:space="preserve">Wildlife Refuge, which lies at 60.4647°N, 151.0735°W within the Slikok</w:t>
      </w:r>
      <w:r>
        <w:t xml:space="preserve"> </w:t>
      </w:r>
      <w:r>
        <w:t xml:space="preserve">Creek watershed. Like most conservation units and like the Kenai</w:t>
      </w:r>
      <w:r>
        <w:t xml:space="preserve"> </w:t>
      </w:r>
      <w:r>
        <w:t xml:space="preserve">National Wildlife Refuge as a whole, this study area includes varied</w:t>
      </w:r>
      <w:r>
        <w:t xml:space="preserve"> </w:t>
      </w:r>
      <w:r>
        <w:t xml:space="preserve">habitat types; arbitrary, artificial, and ecologically open boundaries</w:t>
      </w:r>
      <w:r>
        <w:t xml:space="preserve"> </w:t>
      </w:r>
      <w:r>
        <w:t xml:space="preserve">that have no meaning to wildlife; and a range levels of human</w:t>
      </w:r>
      <w:r>
        <w:t xml:space="preserve"> </w:t>
      </w:r>
      <w:r>
        <w:t xml:space="preserve">disturbance from fairly remote, undisturbed areas to developed land.</w:t>
      </w:r>
    </w:p>
    <w:p>
      <w:pPr>
        <w:pStyle w:val="BodyText"/>
      </w:pPr>
      <w:r>
        <w:t xml:space="preserve">Sampling design, field methods, and identification methods were detailed</w:t>
      </w:r>
      <w:r>
        <w:t xml:space="preserve"> </w:t>
      </w:r>
      <w:r>
        <w:t xml:space="preserve">by Bowser et al. (</w:t>
      </w:r>
      <w:hyperlink w:anchor="ref-Bowser_et_al_2020">
        <w:r>
          <w:rPr>
            <w:rStyle w:val="Hyperlink"/>
          </w:rPr>
          <w:t xml:space="preserve">2020</w:t>
        </w:r>
      </w:hyperlink>
      <w:r>
        <w:t xml:space="preserve">), but they are</w:t>
      </w:r>
      <w:r>
        <w:t xml:space="preserve"> </w:t>
      </w:r>
      <w:r>
        <w:t xml:space="preserve">summarized here.</w:t>
      </w:r>
    </w:p>
    <w:p>
      <w:pPr>
        <w:pStyle w:val="Heading2"/>
      </w:pPr>
      <w:bookmarkStart w:id="24" w:name="sampling-design"/>
      <w:r>
        <w:t xml:space="preserve">Sampling design</w:t>
      </w:r>
      <w:bookmarkEnd w:id="24"/>
    </w:p>
    <w:p>
      <w:pPr>
        <w:pStyle w:val="FirstParagraph"/>
      </w:pPr>
      <w:r>
        <w:t xml:space="preserve">We chose a systematic sampling design because of its simplicity and</w:t>
      </w:r>
      <w:r>
        <w:t xml:space="preserve"> </w:t>
      </w:r>
      <w:r>
        <w:t xml:space="preserve">because could be used to obtained unbiased estimates representing the</w:t>
      </w:r>
      <w:r>
        <w:t xml:space="preserve"> </w:t>
      </w:r>
      <w:r>
        <w:t xml:space="preserve">entire study area. A grid with 500 m spacing between points was chosen</w:t>
      </w:r>
      <w:r>
        <w:t xml:space="preserve"> </w:t>
      </w:r>
      <w:r>
        <w:t xml:space="preserve">by using the coordinates of the centroids of the 250 m pixels from the</w:t>
      </w:r>
      <w:r>
        <w:t xml:space="preserve"> </w:t>
      </w:r>
      <w:r>
        <w:t xml:space="preserve">Alaska eMODIS product (Jenkerson et al. </w:t>
      </w:r>
      <w:hyperlink w:anchor="ref-Jenkerson_2010">
        <w:r>
          <w:rPr>
            <w:rStyle w:val="Hyperlink"/>
          </w:rPr>
          <w:t xml:space="preserve">2010</w:t>
        </w:r>
      </w:hyperlink>
      <w:r>
        <w:t xml:space="preserve">),</w:t>
      </w:r>
      <w:r>
        <w:t xml:space="preserve"> </w:t>
      </w:r>
      <w:r>
        <w:t xml:space="preserve">choosing every other centroid to make a grid of sites having 500 m</w:t>
      </w:r>
      <w:r>
        <w:t xml:space="preserve"> </w:t>
      </w:r>
      <w:r>
        <w:t xml:space="preserve">spacing. The resulting sample frame consisted of 40 terrestrial sites.</w:t>
      </w:r>
    </w:p>
    <w:p>
      <w:pPr>
        <w:pStyle w:val="Heading2"/>
      </w:pPr>
      <w:bookmarkStart w:id="25" w:name="field-methods"/>
      <w:r>
        <w:t xml:space="preserve">Field methods</w:t>
      </w:r>
      <w:bookmarkEnd w:id="25"/>
    </w:p>
    <w:p>
      <w:pPr>
        <w:pStyle w:val="FirstParagraph"/>
      </w:pPr>
      <w:r>
        <w:t xml:space="preserve">Sampling sites were permanently marked by driving 122 cm long, 13 mm</w:t>
      </w:r>
      <w:r>
        <w:t xml:space="preserve"> </w:t>
      </w:r>
      <w:r>
        <w:t xml:space="preserve">diameter SunGUARD Smart Stake™ fibreglass rods into the ground, then</w:t>
      </w:r>
      <w:r>
        <w:t xml:space="preserve"> </w:t>
      </w:r>
      <w:r>
        <w:t xml:space="preserve">labelling them with aluminium tags. During the survey period, sites were</w:t>
      </w:r>
      <w:r>
        <w:t xml:space="preserve"> </w:t>
      </w:r>
      <w:r>
        <w:t xml:space="preserve">also temporarily marked with high-visibility forestry flagging tape.</w:t>
      </w:r>
    </w:p>
    <w:p>
      <w:pPr>
        <w:pStyle w:val="BodyText"/>
      </w:pPr>
      <w:r>
        <w:t xml:space="preserve">Sweep net samples of terrestrial arthropods were collected in two</w:t>
      </w:r>
      <w:r>
        <w:t xml:space="preserve"> </w:t>
      </w:r>
      <w:r>
        <w:t xml:space="preserve">sampling periods: from 14 to 17 June 2016 and from from 18 July to 9</w:t>
      </w:r>
      <w:r>
        <w:t xml:space="preserve"> </w:t>
      </w:r>
      <w:r>
        <w:t xml:space="preserve">August 2016. During each sampling period, two samples were collected at</w:t>
      </w:r>
      <w:r>
        <w:t xml:space="preserve"> </w:t>
      </w:r>
      <w:r>
        <w:t xml:space="preserve">each plot for a total of 160 sweep net samples (40 plots × 2</w:t>
      </w:r>
      <w:r>
        <w:t xml:space="preserve"> </w:t>
      </w:r>
      <w:r>
        <w:t xml:space="preserve">samples/plot × 2 visits/plot).</w:t>
      </w:r>
    </w:p>
    <w:p>
      <w:pPr>
        <w:pStyle w:val="BodyText"/>
      </w:pPr>
      <w:r>
        <w:t xml:space="preserve">The timing of the first sampling window was determend by concurrent</w:t>
      </w:r>
      <w:r>
        <w:t xml:space="preserve"> </w:t>
      </w:r>
      <w:r>
        <w:t xml:space="preserve">sampling of birds using variable circular plot methods. This meant that</w:t>
      </w:r>
      <w:r>
        <w:t xml:space="preserve"> </w:t>
      </w:r>
      <w:r>
        <w:t xml:space="preserve">all sampling took place in the morning. Two field crews of two people</w:t>
      </w:r>
      <w:r>
        <w:t xml:space="preserve"> </w:t>
      </w:r>
      <w:r>
        <w:t xml:space="preserve">were available for full work days so that all 40 plots could be visited</w:t>
      </w:r>
      <w:r>
        <w:t xml:space="preserve"> </w:t>
      </w:r>
      <w:r>
        <w:t xml:space="preserve">in a short, 4 day time window.</w:t>
      </w:r>
    </w:p>
    <w:p>
      <w:pPr>
        <w:pStyle w:val="BodyText"/>
      </w:pPr>
      <w:r>
        <w:t xml:space="preserve">During the second sampling window, invertebrates were sampled</w:t>
      </w:r>
      <w:r>
        <w:t xml:space="preserve"> </w:t>
      </w:r>
      <w:r>
        <w:t xml:space="preserve">concurrently with vegetation sampling. Even though it would have been</w:t>
      </w:r>
      <w:r>
        <w:t xml:space="preserve"> </w:t>
      </w:r>
      <w:r>
        <w:t xml:space="preserve">ideal to complete the second sampling in a short time window, this was</w:t>
      </w:r>
      <w:r>
        <w:t xml:space="preserve"> </w:t>
      </w:r>
      <w:r>
        <w:t xml:space="preserve">not accomplished because only a single, two person crew was available;</w:t>
      </w:r>
      <w:r>
        <w:t xml:space="preserve"> </w:t>
      </w:r>
      <w:r>
        <w:t xml:space="preserve">vegetation sampling took longer than bird surveys; and because other</w:t>
      </w:r>
      <w:r>
        <w:t xml:space="preserve"> </w:t>
      </w:r>
      <w:r>
        <w:t xml:space="preserve">time demands on surveyors’ time meant that not every day could be</w:t>
      </w:r>
      <w:r>
        <w:t xml:space="preserve"> </w:t>
      </w:r>
      <w:r>
        <w:t xml:space="preserve">devoted to this project. This resulted in a much longer sampling window</w:t>
      </w:r>
      <w:r>
        <w:t xml:space="preserve"> </w:t>
      </w:r>
      <w:r>
        <w:t xml:space="preserve">of 23 days.</w:t>
      </w:r>
    </w:p>
    <w:p>
      <w:pPr>
        <w:pStyle w:val="BodyText"/>
      </w:pPr>
      <w:r>
        <w:drawing>
          <wp:inline>
            <wp:extent cx="5943600" cy="3675126"/>
            <wp:effectExtent b="0" l="0" r="0" t="0"/>
            <wp:docPr descr="Number of plots surveyed per day." title="" id="1" name="Picture"/>
            <a:graphic>
              <a:graphicData uri="http://schemas.openxmlformats.org/drawingml/2006/picture">
                <pic:pic>
                  <pic:nvPicPr>
                    <pic:cNvPr descr="../images/plots_vs_julian_da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5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Number of plots surveyed per day.</w:t>
      </w:r>
    </w:p>
    <w:p>
      <w:pPr>
        <w:pStyle w:val="BodyText"/>
      </w:pPr>
      <w:r>
        <w:t xml:space="preserve">Arthropods were sampled within a 100 m</w:t>
      </w:r>
      <w:r>
        <w:t xml:space="preserve">2</w:t>
      </w:r>
      <w:r>
        <w:t xml:space="preserve">, 5.64 m radius,</w:t>
      </w:r>
      <w:r>
        <w:t xml:space="preserve"> </w:t>
      </w:r>
      <w:r>
        <w:t xml:space="preserve">circular plot using the center stake as plot center. We split the plot</w:t>
      </w:r>
      <w:r>
        <w:t xml:space="preserve"> </w:t>
      </w:r>
      <w:r>
        <w:t xml:space="preserve">into two semicircular subplots divided along the north-south axis. Each</w:t>
      </w:r>
      <w:r>
        <w:t xml:space="preserve"> </w:t>
      </w:r>
      <w:r>
        <w:t xml:space="preserve">subplot was independently sweep-netted, such that the entire area was</w:t>
      </w:r>
      <w:r>
        <w:t xml:space="preserve"> </w:t>
      </w:r>
      <w:r>
        <w:t xml:space="preserve">swept from the ground surface up to a height of roughly 2 m. No defined</w:t>
      </w:r>
      <w:r>
        <w:t xml:space="preserve"> </w:t>
      </w:r>
      <w:r>
        <w:t xml:space="preserve">pattern of sweeping was enforced, but we ensured that all substrates and</w:t>
      </w:r>
      <w:r>
        <w:t xml:space="preserve"> </w:t>
      </w:r>
      <w:r>
        <w:t xml:space="preserve">macrohabitats within reach were swept once within a time limit of 5 min</w:t>
      </w:r>
      <w:r>
        <w:t xml:space="preserve"> </w:t>
      </w:r>
      <w:r>
        <w:t xml:space="preserve">per sample. We used a BioQuip™ model 7112CP 30.5 cm diameter net with a</w:t>
      </w:r>
      <w:r>
        <w:t xml:space="preserve"> </w:t>
      </w:r>
      <w:r>
        <w:t xml:space="preserve">BioQuip™ model 7312AA 30.5 cm extension handle and a BioQuip™ model</w:t>
      </w:r>
      <w:r>
        <w:t xml:space="preserve"> </w:t>
      </w:r>
      <w:r>
        <w:t xml:space="preserve">7112CPA net bag with a mesh size of approximately 8 × 9 meshes/mm.</w:t>
      </w:r>
    </w:p>
    <w:p>
      <w:pPr>
        <w:pStyle w:val="BodyText"/>
      </w:pPr>
      <w:r>
        <w:t xml:space="preserve">All specimens were collected into a single Nalgene® model 2104-0008</w:t>
      </w:r>
      <w:r>
        <w:t xml:space="preserve"> </w:t>
      </w:r>
      <w:r>
        <w:t xml:space="preserve">wide-mouth 250 ml bottle containing UniGard -100 propylene glycol</w:t>
      </w:r>
      <w:r>
        <w:t xml:space="preserve"> </w:t>
      </w:r>
      <w:r>
        <w:t xml:space="preserve">antifreeze.</w:t>
      </w:r>
    </w:p>
    <w:p>
      <w:pPr>
        <w:pStyle w:val="Heading2"/>
      </w:pPr>
      <w:bookmarkStart w:id="27" w:name="laboratory-methods"/>
      <w:r>
        <w:t xml:space="preserve">Laboratory methods</w:t>
      </w:r>
      <w:bookmarkEnd w:id="27"/>
    </w:p>
    <w:p>
      <w:pPr>
        <w:pStyle w:val="FirstParagraph"/>
      </w:pPr>
      <w:r>
        <w:t xml:space="preserve">Invertebrates and fragments of invertebrates in the sweep net samples</w:t>
      </w:r>
      <w:r>
        <w:t xml:space="preserve"> </w:t>
      </w:r>
      <w:r>
        <w:t xml:space="preserve">were separated from debris by hand under a stereomicroscope.</w:t>
      </w:r>
    </w:p>
    <w:p>
      <w:pPr>
        <w:pStyle w:val="BodyText"/>
      </w:pPr>
      <w:r>
        <w:t xml:space="preserve">Due to budget limitations, we could only process 125 of the 160 sweep</w:t>
      </w:r>
      <w:r>
        <w:t xml:space="preserve"> </w:t>
      </w:r>
      <w:r>
        <w:t xml:space="preserve">net samples. We considered that there was a trade-off between choosing</w:t>
      </w:r>
      <w:r>
        <w:t xml:space="preserve"> </w:t>
      </w:r>
      <w:r>
        <w:t xml:space="preserve">as many sites as possible, which would be optimal for the inventory</w:t>
      </w:r>
      <w:r>
        <w:t xml:space="preserve"> </w:t>
      </w:r>
      <w:r>
        <w:t xml:space="preserve">objectives of the study to document the occurrence of as many species as</w:t>
      </w:r>
      <w:r>
        <w:t xml:space="preserve"> </w:t>
      </w:r>
      <w:r>
        <w:t xml:space="preserve">possible, and choosing as many samples per site as possible, which would</w:t>
      </w:r>
      <w:r>
        <w:t xml:space="preserve"> </w:t>
      </w:r>
      <w:r>
        <w:t xml:space="preserve">have been better for obtaining estimates of imperfect detection and</w:t>
      </w:r>
      <w:r>
        <w:t xml:space="preserve"> </w:t>
      </w:r>
      <w:r>
        <w:t xml:space="preserve">occupancy. Because we knew so little about the diversity of terrestrial</w:t>
      </w:r>
      <w:r>
        <w:t xml:space="preserve"> </w:t>
      </w:r>
      <w:r>
        <w:t xml:space="preserve">invertebrates that could be encountered, we chose to make documenting as</w:t>
      </w:r>
      <w:r>
        <w:t xml:space="preserve"> </w:t>
      </w:r>
      <w:r>
        <w:t xml:space="preserve">many species as possible our priority over optimization for obtaining</w:t>
      </w:r>
      <w:r>
        <w:t xml:space="preserve"> </w:t>
      </w:r>
      <w:r>
        <w:t xml:space="preserve">occupancy metrics.</w:t>
      </w:r>
    </w:p>
    <w:p>
      <w:pPr>
        <w:pStyle w:val="BodyText"/>
      </w:pPr>
      <w:r>
        <w:t xml:space="preserve">We selected all 80 samples taken from the east side of each plot (40</w:t>
      </w:r>
      <w:r>
        <w:t xml:space="preserve"> </w:t>
      </w:r>
      <w:r>
        <w:t xml:space="preserve">plots × 1 sample/plot × 2 visits/plot). To choose 45 samples from the</w:t>
      </w:r>
      <w:r>
        <w:t xml:space="preserve"> </w:t>
      </w:r>
      <w:r>
        <w:t xml:space="preserve">remaining 80, we selected plots spatially. First, we chose 20 samples</w:t>
      </w:r>
      <w:r>
        <w:t xml:space="preserve"> </w:t>
      </w:r>
      <w:r>
        <w:t xml:space="preserve">from plots at 1 km spacing (10 plots × 2 visits/plot), then we chose 25</w:t>
      </w:r>
      <w:r>
        <w:t xml:space="preserve"> </w:t>
      </w:r>
      <w:r>
        <w:t xml:space="preserve">of 26 samples from another 13 plots that were maximally distant from</w:t>
      </w:r>
      <w:r>
        <w:t xml:space="preserve"> </w:t>
      </w:r>
      <w:r>
        <w:t xml:space="preserve">these 10 plots (13 plots × 2 visits/plot). These 45 samples from west</w:t>
      </w:r>
      <w:r>
        <w:t xml:space="preserve"> </w:t>
      </w:r>
      <w:r>
        <w:t xml:space="preserve">plot halves were intended to be used for estimating occupancy metrics.</w:t>
      </w:r>
    </w:p>
    <w:p>
      <w:pPr>
        <w:pStyle w:val="BodyText"/>
      </w:pPr>
      <w:r>
        <w:t xml:space="preserve">Sweep net samples were shipped to RTL Genomics, Lubbock, Texas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http://rtlgenomics.com</w:t>
        </w:r>
      </w:hyperlink>
      <w:r>
        <w:t xml:space="preserve">) for extraction and DNA sequencing steps. For</w:t>
      </w:r>
      <w:r>
        <w:t xml:space="preserve"> </w:t>
      </w:r>
      <w:r>
        <w:t xml:space="preserve">details of sequencing and identifications obtained through a</w:t>
      </w:r>
      <w:r>
        <w:t xml:space="preserve"> </w:t>
      </w:r>
      <w:r>
        <w:t xml:space="preserve">high-throughput sequencing analysis pipeline, see Bowser et al.</w:t>
      </w:r>
      <w:r>
        <w:t xml:space="preserve"> </w:t>
      </w:r>
      <w:r>
        <w:t xml:space="preserve">(</w:t>
      </w:r>
      <w:hyperlink w:anchor="ref-Bowser_et_al_2020">
        <w:r>
          <w:rPr>
            <w:rStyle w:val="Hyperlink"/>
          </w:rPr>
          <w:t xml:space="preserve">2020</w:t>
        </w:r>
      </w:hyperlink>
      <w:r>
        <w:t xml:space="preserve">).</w:t>
      </w:r>
    </w:p>
    <w:p>
      <w:pPr>
        <w:pStyle w:val="Heading2"/>
      </w:pPr>
      <w:bookmarkStart w:id="29" w:name="molecular-identifications"/>
      <w:r>
        <w:t xml:space="preserve">Molecular identifications</w:t>
      </w:r>
      <w:bookmarkEnd w:id="29"/>
    </w:p>
    <w:p>
      <w:pPr>
        <w:pStyle w:val="FirstParagraph"/>
      </w:pPr>
      <w:r>
        <w:t xml:space="preserve">Invertebrate sequences that could not be confidently assigned to</w:t>
      </w:r>
      <w:r>
        <w:t xml:space="preserve"> </w:t>
      </w:r>
      <w:r>
        <w:t xml:space="preserve">described species were assigned to BOLD Barcode Index Numbers (BINs,</w:t>
      </w:r>
      <w:r>
        <w:t xml:space="preserve"> </w:t>
      </w:r>
      <w:r>
        <w:t xml:space="preserve">Ratnasingham and Hebert</w:t>
      </w:r>
      <w:r>
        <w:t xml:space="preserve"> </w:t>
      </w:r>
      <w:hyperlink w:anchor="ref-Ratnasingham_Hebert_2013">
        <w:r>
          <w:rPr>
            <w:rStyle w:val="Hyperlink"/>
          </w:rPr>
          <w:t xml:space="preserve">2013</w:t>
        </w:r>
      </w:hyperlink>
      <w:r>
        <w:t xml:space="preserve">) if</w:t>
      </w:r>
      <w:r>
        <w:t xml:space="preserve"> </w:t>
      </w:r>
      <w:r>
        <w:t xml:space="preserve">possible. Sequences that could be assigned to neither species nor BINs</w:t>
      </w:r>
      <w:r>
        <w:t xml:space="preserve"> </w:t>
      </w:r>
      <w:r>
        <w:t xml:space="preserve">were given provisional names including labels of the molecular</w:t>
      </w:r>
      <w:r>
        <w:t xml:space="preserve"> </w:t>
      </w:r>
      <w:r>
        <w:t xml:space="preserve">operational taxonomic units (MOTUs, Blaxter et al.</w:t>
      </w:r>
      <w:r>
        <w:t xml:space="preserve"> </w:t>
      </w:r>
      <w:hyperlink w:anchor="ref-Blaxter_et_al_2005">
        <w:r>
          <w:rPr>
            <w:rStyle w:val="Hyperlink"/>
          </w:rPr>
          <w:t xml:space="preserve">2005</w:t>
        </w:r>
      </w:hyperlink>
      <w:r>
        <w:t xml:space="preserve">), e.g. </w:t>
      </w:r>
      <w:r>
        <w:t xml:space="preserve">“</w:t>
      </w:r>
      <w:r>
        <w:rPr>
          <w:i/>
        </w:rPr>
        <w:t xml:space="preserve">Liriomyza</w:t>
      </w:r>
      <w:r>
        <w:t xml:space="preserve"> </w:t>
      </w:r>
      <w:r>
        <w:t xml:space="preserve">sp. SlikokOtu253</w:t>
      </w:r>
      <w:r>
        <w:t xml:space="preserve">”</w:t>
      </w:r>
      <w:r>
        <w:t xml:space="preserve">.</w:t>
      </w:r>
      <w:r>
        <w:t xml:space="preserve"> </w:t>
      </w:r>
      <w:r>
        <w:t xml:space="preserve">For our purposes we considered all of these entities to be species.</w:t>
      </w:r>
    </w:p>
    <w:p>
      <w:pPr>
        <w:pStyle w:val="BodyText"/>
      </w:pPr>
      <w:r>
        <w:t xml:space="preserve">We sought to follow the guidelines of Penev et al.</w:t>
      </w:r>
      <w:r>
        <w:t xml:space="preserve"> </w:t>
      </w:r>
      <w:r>
        <w:t xml:space="preserve">(</w:t>
      </w:r>
      <w:hyperlink w:anchor="ref-Penev_et_al_2017">
        <w:r>
          <w:rPr>
            <w:rStyle w:val="Hyperlink"/>
          </w:rPr>
          <w:t xml:space="preserve">2017</w:t>
        </w:r>
      </w:hyperlink>
      <w:r>
        <w:t xml:space="preserve">) for publication of biodiversity data.</w:t>
      </w:r>
      <w:r>
        <w:t xml:space="preserve"> </w:t>
      </w:r>
      <w:r>
        <w:t xml:space="preserve">Species occurrence data have been made available via Arctos</w:t>
      </w:r>
      <w:r>
        <w:t xml:space="preserve"> </w:t>
      </w:r>
      <w:r>
        <w:t xml:space="preserve">(</w:t>
      </w:r>
      <w:hyperlink r:id="rId30">
        <w:r>
          <w:rPr>
            <w:rStyle w:val="Hyperlink"/>
          </w:rPr>
          <w:t xml:space="preserve">https://arctosdb.org/</w:t>
        </w:r>
      </w:hyperlink>
      <w:r>
        <w:t xml:space="preserve">), where they are associated together via an</w:t>
      </w:r>
      <w:r>
        <w:t xml:space="preserve"> </w:t>
      </w:r>
      <w:r>
        <w:t xml:space="preserve">Arctos project (</w:t>
      </w:r>
      <w:hyperlink r:id="rId31">
        <w:r>
          <w:rPr>
            <w:rStyle w:val="Hyperlink"/>
          </w:rPr>
          <w:t xml:space="preserve">http://arctos.database.museum/project/10002227</w:t>
        </w:r>
      </w:hyperlink>
      <w:r>
        <w:t xml:space="preserve">). These</w:t>
      </w:r>
      <w:r>
        <w:t xml:space="preserve"> </w:t>
      </w:r>
      <w:r>
        <w:t xml:space="preserve">occurrence data on Arctos are also provided to the Global Biodiversity</w:t>
      </w:r>
      <w:r>
        <w:t xml:space="preserve"> </w:t>
      </w:r>
      <w:r>
        <w:t xml:space="preserve">Information Facility (</w:t>
      </w:r>
      <w:hyperlink r:id="rId32">
        <w:r>
          <w:rPr>
            <w:rStyle w:val="Hyperlink"/>
          </w:rPr>
          <w:t xml:space="preserve">https://www.gbif.org/</w:t>
        </w:r>
      </w:hyperlink>
      <w:r>
        <w:t xml:space="preserve">).</w:t>
      </w:r>
    </w:p>
    <w:p>
      <w:pPr>
        <w:pStyle w:val="BodyText"/>
      </w:pPr>
      <w:r>
        <w:t xml:space="preserve">In the time since Bowser et al. (</w:t>
      </w:r>
      <w:hyperlink w:anchor="ref-Bowser_et_al_2020">
        <w:r>
          <w:rPr>
            <w:rStyle w:val="Hyperlink"/>
          </w:rPr>
          <w:t xml:space="preserve">2020</w:t>
        </w:r>
      </w:hyperlink>
      <w:r>
        <w:t xml:space="preserve">) was</w:t>
      </w:r>
      <w:r>
        <w:t xml:space="preserve"> </w:t>
      </w:r>
      <w:r>
        <w:t xml:space="preserve">published, a handfull of identifications of the records on Arctos have</w:t>
      </w:r>
      <w:r>
        <w:t xml:space="preserve"> </w:t>
      </w:r>
      <w:r>
        <w:t xml:space="preserve">been improved based on new data that became available in the reference</w:t>
      </w:r>
      <w:r>
        <w:t xml:space="preserve"> </w:t>
      </w:r>
      <w:r>
        <w:t xml:space="preserve">databases (Ratnasingham and Hebert</w:t>
      </w:r>
      <w:r>
        <w:t xml:space="preserve"> </w:t>
      </w:r>
      <w:hyperlink w:anchor="ref-Ratnasingham_Hebert_2007">
        <w:r>
          <w:rPr>
            <w:rStyle w:val="Hyperlink"/>
          </w:rPr>
          <w:t xml:space="preserve">2007</w:t>
        </w:r>
      </w:hyperlink>
      <w:r>
        <w:t xml:space="preserve">; Clark et al.</w:t>
      </w:r>
      <w:r>
        <w:t xml:space="preserve"> </w:t>
      </w:r>
      <w:hyperlink w:anchor="ref-Clark_et_al_2016">
        <w:r>
          <w:rPr>
            <w:rStyle w:val="Hyperlink"/>
          </w:rPr>
          <w:t xml:space="preserve">2016</w:t>
        </w:r>
      </w:hyperlink>
      <w:r>
        <w:t xml:space="preserve">).</w:t>
      </w:r>
    </w:p>
    <w:p>
      <w:pPr>
        <w:pStyle w:val="BodyText"/>
      </w:pPr>
      <w:r>
        <w:t xml:space="preserve">A summary of identfications from all HTS occurrences from sweep net</w:t>
      </w:r>
      <w:r>
        <w:t xml:space="preserve"> </w:t>
      </w:r>
      <w:r>
        <w:t xml:space="preserve">samples obtained by Bowser et al. (</w:t>
      </w:r>
      <w:hyperlink w:anchor="ref-Bowser_et_al_2020">
        <w:r>
          <w:rPr>
            <w:rStyle w:val="Hyperlink"/>
          </w:rPr>
          <w:t xml:space="preserve">2020</w:t>
        </w:r>
      </w:hyperlink>
      <w:r>
        <w:t xml:space="preserve">) were</w:t>
      </w:r>
      <w:r>
        <w:t xml:space="preserve"> </w:t>
      </w:r>
      <w:r>
        <w:t xml:space="preserve">downloaded from Arctos on 12 November 2020 (saved search URI:</w:t>
      </w:r>
      <w:r>
        <w:t xml:space="preserve"> </w:t>
      </w:r>
      <w:hyperlink r:id="rId33">
        <w:r>
          <w:rPr>
            <w:rStyle w:val="Hyperlink"/>
          </w:rPr>
          <w:t xml:space="preserve">https://arctos.database.museum/saved/2020-11-12-1157_Slikok_metabarcoding_taxa_list</w:t>
        </w:r>
      </w:hyperlink>
      <w:r>
        <w:t xml:space="preserve">),</w:t>
      </w:r>
      <w:r>
        <w:t xml:space="preserve"> </w:t>
      </w:r>
      <w:r>
        <w:t xml:space="preserve">yielding a list of 975 unique identifications. For unidentified MOTUs</w:t>
      </w:r>
      <w:r>
        <w:t xml:space="preserve"> </w:t>
      </w:r>
      <w:r>
        <w:t xml:space="preserve">where 10 or more occurrences were observed, we attempted to improve</w:t>
      </w:r>
      <w:r>
        <w:t xml:space="preserve"> </w:t>
      </w:r>
      <w:r>
        <w:t xml:space="preserve">identifications by submitting the sequences to BOLD’s ID Engine</w:t>
      </w:r>
      <w:r>
        <w:t xml:space="preserve"> </w:t>
      </w:r>
      <w:r>
        <w:t xml:space="preserve">(Ratnasingham and Hebert</w:t>
      </w:r>
      <w:r>
        <w:t xml:space="preserve"> </w:t>
      </w:r>
      <w:hyperlink w:anchor="ref-Ratnasingham_Hebert_2007">
        <w:r>
          <w:rPr>
            <w:rStyle w:val="Hyperlink"/>
          </w:rPr>
          <w:t xml:space="preserve">2007</w:t>
        </w:r>
      </w:hyperlink>
      <w:r>
        <w:t xml:space="preserve">) and</w:t>
      </w:r>
      <w:r>
        <w:t xml:space="preserve"> </w:t>
      </w:r>
      <w:r>
        <w:t xml:space="preserve">BLAST (Altschul et al. </w:t>
      </w:r>
      <w:hyperlink w:anchor="ref-Altschul_et_al_1990">
        <w:r>
          <w:rPr>
            <w:rStyle w:val="Hyperlink"/>
          </w:rPr>
          <w:t xml:space="preserve">1990</w:t>
        </w:r>
      </w:hyperlink>
      <w:r>
        <w:t xml:space="preserve">) searches. We</w:t>
      </w:r>
      <w:r>
        <w:t xml:space="preserve"> </w:t>
      </w:r>
      <w:r>
        <w:t xml:space="preserve">obtained no new identifications.</w:t>
      </w:r>
    </w:p>
    <w:p>
      <w:pPr>
        <w:pStyle w:val="BodyText"/>
      </w:pPr>
      <w:r>
        <w:t xml:space="preserve">The 2,375 occurrences were downloaded on 12 November 2020 (saved search</w:t>
      </w:r>
      <w:r>
        <w:t xml:space="preserve"> </w:t>
      </w:r>
      <w:r>
        <w:t xml:space="preserve">URI:</w:t>
      </w:r>
      <w:r>
        <w:t xml:space="preserve"> </w:t>
      </w:r>
      <w:hyperlink r:id="rId34">
        <w:r>
          <w:rPr>
            <w:rStyle w:val="Hyperlink"/>
          </w:rPr>
          <w:t xml:space="preserve">https://arctos.database.museum/saved/2020-11-12-1400_Slikok_project_metabarcoding_occurrences</w:t>
        </w:r>
      </w:hyperlink>
      <w:r>
        <w:t xml:space="preserve">).</w:t>
      </w:r>
    </w:p>
    <w:p>
      <w:pPr>
        <w:pStyle w:val="Heading2"/>
      </w:pPr>
      <w:bookmarkStart w:id="35" w:name="data-analysis"/>
      <w:r>
        <w:t xml:space="preserve">Data analysis</w:t>
      </w:r>
      <w:bookmarkEnd w:id="35"/>
    </w:p>
    <w:p>
      <w:pPr>
        <w:pStyle w:val="FirstParagraph"/>
      </w:pPr>
      <w:r>
        <w:t xml:space="preserve">Data processing and analysis was carried out using R version 4.0.2 (R</w:t>
      </w:r>
      <w:r>
        <w:t xml:space="preserve"> </w:t>
      </w:r>
      <w:r>
        <w:t xml:space="preserve">Core Team</w:t>
      </w:r>
      <w:r>
        <w:t xml:space="preserve"> </w:t>
      </w:r>
      <w:hyperlink w:anchor="ref-R_Core_Team_2020">
        <w:r>
          <w:rPr>
            <w:rStyle w:val="Hyperlink"/>
          </w:rPr>
          <w:t xml:space="preserve">2020</w:t>
        </w:r>
      </w:hyperlink>
      <w:r>
        <w:t xml:space="preserve">); the packages knitr (Xie</w:t>
      </w:r>
      <w:r>
        <w:t xml:space="preserve"> </w:t>
      </w:r>
      <w:hyperlink w:anchor="ref-Xie2014">
        <w:r>
          <w:rPr>
            <w:rStyle w:val="Hyperlink"/>
          </w:rPr>
          <w:t xml:space="preserve">2014</w:t>
        </w:r>
      </w:hyperlink>
      <w:r>
        <w:t xml:space="preserve">,</w:t>
      </w:r>
      <w:r>
        <w:t xml:space="preserve"> </w:t>
      </w:r>
      <w:hyperlink w:anchor="ref-Xie2015">
        <w:r>
          <w:rPr>
            <w:rStyle w:val="Hyperlink"/>
          </w:rPr>
          <w:t xml:space="preserve">2015</w:t>
        </w:r>
      </w:hyperlink>
      <w:r>
        <w:t xml:space="preserve">,</w:t>
      </w:r>
      <w:r>
        <w:t xml:space="preserve"> </w:t>
      </w:r>
      <w:hyperlink w:anchor="ref-Xie2020">
        <w:r>
          <w:rPr>
            <w:rStyle w:val="Hyperlink"/>
          </w:rPr>
          <w:t xml:space="preserve">2020</w:t>
        </w:r>
      </w:hyperlink>
      <w:r>
        <w:t xml:space="preserve">) and</w:t>
      </w:r>
      <w:r>
        <w:t xml:space="preserve"> </w:t>
      </w:r>
      <w:r>
        <w:t xml:space="preserve">reshape (Wickham</w:t>
      </w:r>
      <w:r>
        <w:t xml:space="preserve"> </w:t>
      </w:r>
      <w:hyperlink w:anchor="ref-Wickham_2007">
        <w:r>
          <w:rPr>
            <w:rStyle w:val="Hyperlink"/>
          </w:rPr>
          <w:t xml:space="preserve">2007</w:t>
        </w:r>
      </w:hyperlink>
      <w:r>
        <w:t xml:space="preserve">), reshape2 (Wickham</w:t>
      </w:r>
      <w:r>
        <w:t xml:space="preserve"> </w:t>
      </w:r>
      <w:hyperlink w:anchor="ref-Wickham_2007">
        <w:r>
          <w:rPr>
            <w:rStyle w:val="Hyperlink"/>
          </w:rPr>
          <w:t xml:space="preserve">2007</w:t>
        </w:r>
      </w:hyperlink>
      <w:r>
        <w:t xml:space="preserve">), and rjags (Plummer</w:t>
      </w:r>
      <w:r>
        <w:t xml:space="preserve"> </w:t>
      </w:r>
      <w:hyperlink w:anchor="ref-Plummer_2019">
        <w:r>
          <w:rPr>
            <w:rStyle w:val="Hyperlink"/>
          </w:rPr>
          <w:t xml:space="preserve">2019</w:t>
        </w:r>
      </w:hyperlink>
      <w:r>
        <w:t xml:space="preserve">); and JAGS version 4.3.0 (Plummer</w:t>
      </w:r>
      <w:r>
        <w:t xml:space="preserve"> </w:t>
      </w:r>
      <w:hyperlink w:anchor="ref-Plummer_2003">
        <w:r>
          <w:rPr>
            <w:rStyle w:val="Hyperlink"/>
          </w:rPr>
          <w:t xml:space="preserve">2003</w:t>
        </w:r>
      </w:hyperlink>
      <w:r>
        <w:t xml:space="preserve">).</w:t>
      </w:r>
    </w:p>
    <w:p>
      <w:pPr>
        <w:pStyle w:val="BodyText"/>
      </w:pPr>
      <w:r>
        <w:t xml:space="preserve">We began with data exploration. Most species were observed in only one</w:t>
      </w:r>
      <w:r>
        <w:t xml:space="preserve"> </w:t>
      </w:r>
      <w:r>
        <w:t xml:space="preserve">sample and most were observed at only a single plot.</w:t>
      </w:r>
    </w:p>
    <w:p>
      <w:pPr>
        <w:pStyle w:val="Heading3"/>
      </w:pPr>
      <w:bookmarkStart w:id="36" w:name="occupancy-model-assumptions"/>
      <w:r>
        <w:t xml:space="preserve">Occupancy model assumptions</w:t>
      </w:r>
      <w:bookmarkEnd w:id="36"/>
    </w:p>
    <w:p>
      <w:pPr>
        <w:pStyle w:val="FirstParagraph"/>
      </w:pPr>
      <w:r>
        <w:t xml:space="preserve">We considered multispecies occupancy model assumptions as presented by</w:t>
      </w:r>
      <w:r>
        <w:t xml:space="preserve"> </w:t>
      </w:r>
      <w:r>
        <w:t xml:space="preserve">Devarajan et al. (</w:t>
      </w:r>
      <w:hyperlink w:anchor="ref-Devarajan_et_al_2020">
        <w:r>
          <w:rPr>
            <w:rStyle w:val="Hyperlink"/>
          </w:rPr>
          <w:t xml:space="preserve">2020</w:t>
        </w:r>
      </w:hyperlink>
      <w:r>
        <w:t xml:space="preserve">).</w:t>
      </w:r>
    </w:p>
    <w:p>
      <w:pPr>
        <w:pStyle w:val="BodyText"/>
      </w:pPr>
      <w:r>
        <w:t xml:space="preserve">A challenge of applying occupancy models to ephemeral, highly vagile</w:t>
      </w:r>
      <w:r>
        <w:t xml:space="preserve"> </w:t>
      </w:r>
      <w:r>
        <w:t xml:space="preserve">animals like winged insects is that assumptions of geographic and</w:t>
      </w:r>
      <w:r>
        <w:t xml:space="preserve"> </w:t>
      </w:r>
      <w:r>
        <w:t xml:space="preserve">demographic closure can seldom be satisfied. The population sizes of</w:t>
      </w:r>
      <w:r>
        <w:t xml:space="preserve"> </w:t>
      </w:r>
      <w:r>
        <w:t xml:space="preserve">many insects can change rapidly over a short time, for example with</w:t>
      </w:r>
      <w:r>
        <w:t xml:space="preserve"> </w:t>
      </w:r>
      <w:r>
        <w:t xml:space="preserve">aphids. The life stages and abundances of some insects are highly</w:t>
      </w:r>
      <w:r>
        <w:t xml:space="preserve"> </w:t>
      </w:r>
      <w:r>
        <w:t xml:space="preserve">seasonal, in some species with adults appearing over a brief seasonal</w:t>
      </w:r>
      <w:r>
        <w:t xml:space="preserve"> </w:t>
      </w:r>
      <w:r>
        <w:t xml:space="preserve">time window. In addition, many species are winged, phoretic on winged</w:t>
      </w:r>
      <w:r>
        <w:t xml:space="preserve"> </w:t>
      </w:r>
      <w:r>
        <w:t xml:space="preserve">species, or can be wind disperesed by ballooning. These species can move</w:t>
      </w:r>
      <w:r>
        <w:t xml:space="preserve"> </w:t>
      </w:r>
      <w:r>
        <w:t xml:space="preserve">freely into and out of the study area on a time scale of hours and they</w:t>
      </w:r>
      <w:r>
        <w:t xml:space="preserve"> </w:t>
      </w:r>
      <w:r>
        <w:t xml:space="preserve">can move onto or out of plots in a matter of seconds.</w:t>
      </w:r>
    </w:p>
    <w:p>
      <w:pPr>
        <w:pStyle w:val="BodyText"/>
      </w:pPr>
      <w:r>
        <w:t xml:space="preserve">We were aware that many species in our study area would be unlikely to</w:t>
      </w:r>
      <w:r>
        <w:t xml:space="preserve"> </w:t>
      </w:r>
      <w:r>
        <w:t xml:space="preserve">be detected within our two temporal sampling windows. For example, the</w:t>
      </w:r>
      <w:r>
        <w:t xml:space="preserve"> </w:t>
      </w:r>
      <w:r>
        <w:t xml:space="preserve">stonefly</w:t>
      </w:r>
      <w:r>
        <w:t xml:space="preserve"> </w:t>
      </w:r>
      <w:r>
        <w:rPr>
          <w:i/>
        </w:rPr>
        <w:t xml:space="preserve">Utacapnia columbiana</w:t>
      </w:r>
      <w:r>
        <w:t xml:space="preserve"> </w:t>
      </w:r>
      <w:r>
        <w:t xml:space="preserve">(Claassen, 1924) is abundant in large,</w:t>
      </w:r>
      <w:r>
        <w:t xml:space="preserve"> </w:t>
      </w:r>
      <w:r>
        <w:t xml:space="preserve">glacial streams of the area. The adults emerge in large numbers in March</w:t>
      </w:r>
      <w:r>
        <w:t xml:space="preserve"> </w:t>
      </w:r>
      <w:r>
        <w:t xml:space="preserve">through May and disperse over our study area, where they can be found on</w:t>
      </w:r>
      <w:r>
        <w:t xml:space="preserve"> </w:t>
      </w:r>
      <w:r>
        <w:t xml:space="preserve">vegetation, but the adults were gone by the time we began sampling on 14</w:t>
      </w:r>
      <w:r>
        <w:t xml:space="preserve"> </w:t>
      </w:r>
      <w:r>
        <w:t xml:space="preserve">June.</w:t>
      </w:r>
    </w:p>
    <w:p>
      <w:pPr>
        <w:pStyle w:val="BodyText"/>
      </w:pPr>
      <w:r>
        <w:t xml:space="preserve">Because our</w:t>
      </w:r>
      <w:r>
        <w:t xml:space="preserve"> </w:t>
      </w:r>
      <w:r>
        <w:t xml:space="preserve">“</w:t>
      </w:r>
      <w:r>
        <w:t xml:space="preserve">revisits</w:t>
      </w:r>
      <w:r>
        <w:t xml:space="preserve">”</w:t>
      </w:r>
      <w:r>
        <w:t xml:space="preserve"> </w:t>
      </w:r>
      <w:r>
        <w:t xml:space="preserve">at each sampling event were spatial replicates</w:t>
      </w:r>
      <w:r>
        <w:t xml:space="preserve"> </w:t>
      </w:r>
      <w:r>
        <w:t xml:space="preserve">taken within 10 min. of each other, there was some degree of closure</w:t>
      </w:r>
      <w:r>
        <w:t xml:space="preserve"> </w:t>
      </w:r>
      <w:r>
        <w:t xml:space="preserve">between the two revisits. Also, ours were removal methods where</w:t>
      </w:r>
      <w:r>
        <w:t xml:space="preserve"> </w:t>
      </w:r>
      <w:r>
        <w:t xml:space="preserve">individuals collected in one sample would not be available for</w:t>
      </w:r>
      <w:r>
        <w:t xml:space="preserve"> </w:t>
      </w:r>
      <w:r>
        <w:t xml:space="preserve">subsequent sampling, but it seems reasonable that one 50 m</w:t>
      </w:r>
      <w:r>
        <w:t xml:space="preserve">2</w:t>
      </w:r>
      <w:r>
        <w:t xml:space="preserve"> </w:t>
      </w:r>
      <w:r>
        <w:t xml:space="preserve">sweep net sample would not remove enough of the invertebrate population</w:t>
      </w:r>
      <w:r>
        <w:t xml:space="preserve"> </w:t>
      </w:r>
      <w:r>
        <w:t xml:space="preserve">to affect the next sampling event one month or more later.</w:t>
      </w:r>
    </w:p>
    <w:p>
      <w:pPr>
        <w:pStyle w:val="BodyText"/>
      </w:pPr>
      <w:r>
        <w:t xml:space="preserve">Because we assume that geographic and geographic closure would not apply</w:t>
      </w:r>
      <w:r>
        <w:t xml:space="preserve"> </w:t>
      </w:r>
      <w:r>
        <w:t xml:space="preserve">to at least many terrestrial invertebrate species, it may be appropriate</w:t>
      </w:r>
      <w:r>
        <w:t xml:space="preserve"> </w:t>
      </w:r>
      <w:r>
        <w:t xml:space="preserve">to use staggered-entry occupancy models (Kendall et al.</w:t>
      </w:r>
      <w:r>
        <w:t xml:space="preserve"> </w:t>
      </w:r>
      <w:hyperlink w:anchor="ref-Kendall_et_al_2013">
        <w:r>
          <w:rPr>
            <w:rStyle w:val="Hyperlink"/>
          </w:rPr>
          <w:t xml:space="preserve">2013</w:t>
        </w:r>
      </w:hyperlink>
      <w:r>
        <w:t xml:space="preserve">).</w:t>
      </w:r>
    </w:p>
    <w:p>
      <w:pPr>
        <w:pStyle w:val="Heading3"/>
      </w:pPr>
      <w:bookmarkStart w:id="37" w:name="occupancy-models"/>
      <w:r>
        <w:t xml:space="preserve">Occupancy models</w:t>
      </w:r>
      <w:bookmarkEnd w:id="37"/>
    </w:p>
    <w:p>
      <w:pPr>
        <w:pStyle w:val="FirstParagraph"/>
      </w:pPr>
      <w:r>
        <w:t xml:space="preserve">We first tried running a simple multi-species, multi-season occupancy</w:t>
      </w:r>
      <w:r>
        <w:t xml:space="preserve"> </w:t>
      </w:r>
      <w:r>
        <w:t xml:space="preserve">model provided by Joseph (</w:t>
      </w:r>
      <w:hyperlink w:anchor="ref-Joseph_2013">
        <w:r>
          <w:rPr>
            <w:rStyle w:val="Hyperlink"/>
          </w:rPr>
          <w:t xml:space="preserve">2013</w:t>
        </w:r>
      </w:hyperlink>
      <w:r>
        <w:t xml:space="preserve">).</w:t>
      </w:r>
    </w:p>
    <w:p>
      <w:pPr>
        <w:pStyle w:val="Heading1"/>
      </w:pPr>
      <w:bookmarkStart w:id="38" w:name="references"/>
      <w:r>
        <w:t xml:space="preserve">References</w:t>
      </w:r>
      <w:bookmarkEnd w:id="38"/>
    </w:p>
    <w:bookmarkStart w:id="99" w:name="refs"/>
    <w:bookmarkStart w:id="40" w:name="ref-105th_Congress_1997"/>
    <w:p>
      <w:pPr>
        <w:pStyle w:val="Bibliography"/>
      </w:pPr>
      <w:r>
        <w:t xml:space="preserve">105</w:t>
      </w:r>
      <w:r>
        <w:t xml:space="preserve">th</w:t>
      </w:r>
      <w:r>
        <w:t xml:space="preserve"> </w:t>
      </w:r>
      <w:r>
        <w:t xml:space="preserve">Congress 1997. 111 Stat. 1252 - National Wildlife</w:t>
      </w:r>
      <w:r>
        <w:t xml:space="preserve"> </w:t>
      </w:r>
      <w:r>
        <w:t xml:space="preserve">Refuge System Improvement Act of 1997. Pages 1252–1260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United</w:t>
      </w:r>
      <w:r>
        <w:t xml:space="preserve"> </w:t>
      </w:r>
      <w:r>
        <w:t xml:space="preserve">States Statutes at Large, Volume 111, 105</w:t>
      </w:r>
      <w:r>
        <w:t xml:space="preserve">th</w:t>
      </w:r>
      <w:r>
        <w:t xml:space="preserve"> </w:t>
      </w:r>
      <w:r>
        <w:t xml:space="preserve">Congress,</w:t>
      </w:r>
      <w:r>
        <w:t xml:space="preserve"> </w:t>
      </w:r>
      <w:r>
        <w:t xml:space="preserve">1</w:t>
      </w:r>
      <w:r>
        <w:t xml:space="preserve">st</w:t>
      </w:r>
      <w:r>
        <w:t xml:space="preserve"> </w:t>
      </w:r>
      <w:r>
        <w:t xml:space="preserve">Session. [Online] Available:</w:t>
      </w:r>
      <w:r>
        <w:t xml:space="preserve"> </w:t>
      </w:r>
      <w:hyperlink r:id="rId39">
        <w:r>
          <w:rPr>
            <w:rStyle w:val="Hyperlink"/>
          </w:rPr>
          <w:t xml:space="preserve">https://www.govinfo.gov/app/details/STATUTE-111/STATUTE-111-Pg1252</w:t>
        </w:r>
      </w:hyperlink>
      <w:r>
        <w:t xml:space="preserve">.</w:t>
      </w:r>
    </w:p>
    <w:bookmarkEnd w:id="40"/>
    <w:bookmarkStart w:id="42" w:name="ref-96th_Congress_1980"/>
    <w:p>
      <w:pPr>
        <w:pStyle w:val="Bibliography"/>
      </w:pPr>
      <w:r>
        <w:t xml:space="preserve">96</w:t>
      </w:r>
      <w:r>
        <w:t xml:space="preserve">th</w:t>
      </w:r>
      <w:r>
        <w:t xml:space="preserve"> </w:t>
      </w:r>
      <w:r>
        <w:t xml:space="preserve">Congress 1980. Alaska National Interest Lands</w:t>
      </w:r>
      <w:r>
        <w:t xml:space="preserve"> </w:t>
      </w:r>
      <w:r>
        <w:t xml:space="preserve">Conservation Act.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United States Statutes at Large, Volume 94,</w:t>
      </w:r>
      <w:r>
        <w:t xml:space="preserve"> </w:t>
      </w:r>
      <w:r>
        <w:t xml:space="preserve">96</w:t>
      </w:r>
      <w:r>
        <w:t xml:space="preserve">th</w:t>
      </w:r>
      <w:r>
        <w:t xml:space="preserve"> </w:t>
      </w:r>
      <w:r>
        <w:t xml:space="preserve">Congress, 2</w:t>
      </w:r>
      <w:r>
        <w:t xml:space="preserve">nd</w:t>
      </w:r>
      <w:r>
        <w:t xml:space="preserve"> </w:t>
      </w:r>
      <w:r>
        <w:t xml:space="preserve">Session. U.S. Government</w:t>
      </w:r>
      <w:r>
        <w:t xml:space="preserve"> </w:t>
      </w:r>
      <w:r>
        <w:t xml:space="preserve">Printing Office. [Online] Available:</w:t>
      </w:r>
      <w:r>
        <w:t xml:space="preserve"> </w:t>
      </w:r>
      <w:hyperlink r:id="rId41">
        <w:r>
          <w:rPr>
            <w:rStyle w:val="Hyperlink"/>
          </w:rPr>
          <w:t xml:space="preserve">https://www.govinfo.gov/app/details/STATUTE-94/STATUTE-94-Pg2371</w:t>
        </w:r>
      </w:hyperlink>
      <w:r>
        <w:t xml:space="preserve">.</w:t>
      </w:r>
    </w:p>
    <w:bookmarkEnd w:id="42"/>
    <w:bookmarkStart w:id="44" w:name="ref-Altschul_et_al_1990"/>
    <w:p>
      <w:pPr>
        <w:pStyle w:val="Bibliography"/>
      </w:pPr>
      <w:r>
        <w:t xml:space="preserve">Altschul, S.F., Gish, W., Miller, W., Myers, E.W., and Lipman, D.J.</w:t>
      </w:r>
      <w:r>
        <w:t xml:space="preserve"> </w:t>
      </w:r>
      <w:r>
        <w:t xml:space="preserve">1990. Basic local alignment search tool. Journal of Molecular Biology</w:t>
      </w:r>
      <w:r>
        <w:t xml:space="preserve"> </w:t>
      </w:r>
      <w:r>
        <w:rPr>
          <w:b/>
        </w:rPr>
        <w:t xml:space="preserve">215</w:t>
      </w:r>
      <w:r>
        <w:t xml:space="preserve">: 403–410.</w:t>
      </w:r>
      <w:r>
        <w:t xml:space="preserve"> </w:t>
      </w:r>
      <w:r>
        <w:t xml:space="preserve">doi:</w:t>
      </w:r>
      <w:hyperlink r:id="rId43">
        <w:r>
          <w:rPr>
            <w:rStyle w:val="Hyperlink"/>
          </w:rPr>
          <w:t xml:space="preserve">10.1016/S0022-2836(05)80360-2</w:t>
        </w:r>
      </w:hyperlink>
      <w:r>
        <w:t xml:space="preserve">.</w:t>
      </w:r>
    </w:p>
    <w:bookmarkEnd w:id="44"/>
    <w:bookmarkStart w:id="46" w:name="ref-Blaxter_et_al_2005"/>
    <w:p>
      <w:pPr>
        <w:pStyle w:val="Bibliography"/>
      </w:pPr>
      <w:r>
        <w:t xml:space="preserve">Blaxter, M., Mann, J., Chapman, T., Thomas, F., Whitton, C., Floyd, R.,</w:t>
      </w:r>
      <w:r>
        <w:t xml:space="preserve"> </w:t>
      </w:r>
      <w:r>
        <w:t xml:space="preserve">and Abebe, E. 2005. Defining operational taxonomic units using DNA</w:t>
      </w:r>
      <w:r>
        <w:t xml:space="preserve"> </w:t>
      </w:r>
      <w:r>
        <w:t xml:space="preserve">barcode data. Philosophical Transactions of the Royal Society B</w:t>
      </w:r>
      <w:r>
        <w:t xml:space="preserve"> </w:t>
      </w:r>
      <w:r>
        <w:rPr>
          <w:b/>
        </w:rPr>
        <w:t xml:space="preserve">360</w:t>
      </w:r>
      <w:r>
        <w:t xml:space="preserve">:</w:t>
      </w:r>
      <w:r>
        <w:t xml:space="preserve"> </w:t>
      </w:r>
      <w:r>
        <w:t xml:space="preserve">1935–1943.</w:t>
      </w:r>
      <w:r>
        <w:t xml:space="preserve"> </w:t>
      </w:r>
      <w:r>
        <w:t xml:space="preserve">doi:</w:t>
      </w:r>
      <w:hyperlink r:id="rId45">
        <w:r>
          <w:rPr>
            <w:rStyle w:val="Hyperlink"/>
          </w:rPr>
          <w:t xml:space="preserve">10.1098/rstb.2005.1725</w:t>
        </w:r>
      </w:hyperlink>
      <w:r>
        <w:t xml:space="preserve">.</w:t>
      </w:r>
    </w:p>
    <w:bookmarkEnd w:id="46"/>
    <w:bookmarkStart w:id="48" w:name="ref-Bowser_et_al_2020"/>
    <w:p>
      <w:pPr>
        <w:pStyle w:val="Bibliography"/>
      </w:pPr>
      <w:r>
        <w:t xml:space="preserve">Bowser, M.L., Brassfield, R., Dziergowski, A., Eskelin, T., Hester, J.,</w:t>
      </w:r>
      <w:r>
        <w:t xml:space="preserve"> </w:t>
      </w:r>
      <w:r>
        <w:t xml:space="preserve">Magness, D.R., McInnis, M., Melvin, T., Morton, J.M., and Stone, J.</w:t>
      </w:r>
      <w:r>
        <w:t xml:space="preserve"> </w:t>
      </w:r>
      <w:r>
        <w:t xml:space="preserve">2020. Towards conserving natural diversity: A biotic inventory by</w:t>
      </w:r>
      <w:r>
        <w:t xml:space="preserve"> </w:t>
      </w:r>
      <w:r>
        <w:t xml:space="preserve">observations, specimens, DNA barcoding and high-throughput sequencing</w:t>
      </w:r>
      <w:r>
        <w:t xml:space="preserve"> </w:t>
      </w:r>
      <w:r>
        <w:t xml:space="preserve">methods. Biodiversity Data Journal</w:t>
      </w:r>
      <w:r>
        <w:t xml:space="preserve"> </w:t>
      </w:r>
      <w:r>
        <w:rPr>
          <w:b/>
        </w:rPr>
        <w:t xml:space="preserve">8</w:t>
      </w:r>
      <w:r>
        <w:t xml:space="preserve">: e50124.</w:t>
      </w:r>
      <w:r>
        <w:t xml:space="preserve"> </w:t>
      </w:r>
      <w:r>
        <w:t xml:space="preserve">doi:</w:t>
      </w:r>
      <w:hyperlink r:id="rId47">
        <w:r>
          <w:rPr>
            <w:rStyle w:val="Hyperlink"/>
          </w:rPr>
          <w:t xml:space="preserve">10.3897/BDJ.8.e50124</w:t>
        </w:r>
      </w:hyperlink>
      <w:r>
        <w:t xml:space="preserve">.</w:t>
      </w:r>
    </w:p>
    <w:bookmarkEnd w:id="48"/>
    <w:bookmarkStart w:id="50" w:name="ref-Bowser_et_al_2017"/>
    <w:p>
      <w:pPr>
        <w:pStyle w:val="Bibliography"/>
      </w:pPr>
      <w:r>
        <w:t xml:space="preserve">Bowser, M.L., Morton, J., Hanson, J., Magness, D., and Okuly, M. 2017.</w:t>
      </w:r>
      <w:r>
        <w:t xml:space="preserve"> </w:t>
      </w:r>
      <w:r>
        <w:t xml:space="preserve">Arthropod and oligochaete assemblages from grasslands of the southern</w:t>
      </w:r>
      <w:r>
        <w:t xml:space="preserve"> </w:t>
      </w:r>
      <w:r>
        <w:t xml:space="preserve">Kenai Peninsula, Alaska. Biodiversity Data Journal</w:t>
      </w:r>
      <w:r>
        <w:t xml:space="preserve"> </w:t>
      </w:r>
      <w:r>
        <w:rPr>
          <w:b/>
        </w:rPr>
        <w:t xml:space="preserve">5</w:t>
      </w:r>
      <w:r>
        <w:t xml:space="preserve">: e10792.</w:t>
      </w:r>
      <w:r>
        <w:t xml:space="preserve"> </w:t>
      </w:r>
      <w:r>
        <w:t xml:space="preserve">doi:</w:t>
      </w:r>
      <w:hyperlink r:id="rId49">
        <w:r>
          <w:rPr>
            <w:rStyle w:val="Hyperlink"/>
          </w:rPr>
          <w:t xml:space="preserve">10.3897/BDJ.5.e10792</w:t>
        </w:r>
      </w:hyperlink>
      <w:r>
        <w:t xml:space="preserve">.</w:t>
      </w:r>
    </w:p>
    <w:bookmarkEnd w:id="50"/>
    <w:bookmarkStart w:id="52" w:name="ref-Bush_2019"/>
    <w:p>
      <w:pPr>
        <w:pStyle w:val="Bibliography"/>
      </w:pPr>
      <w:r>
        <w:t xml:space="preserve">Bush, A., Compson, Z.G., Monk, W.A., Porter, T.M., Steeves, R., Emilson,</w:t>
      </w:r>
      <w:r>
        <w:t xml:space="preserve"> </w:t>
      </w:r>
      <w:r>
        <w:t xml:space="preserve">E., Gagne, N., Hajibabaei, M., Roy, M., and Baird, D.J. 2019. Studying</w:t>
      </w:r>
      <w:r>
        <w:t xml:space="preserve"> </w:t>
      </w:r>
      <w:r>
        <w:t xml:space="preserve">ecosystems with DNA metabarcoding: Lessons from biomonitoring of aquatic</w:t>
      </w:r>
      <w:r>
        <w:t xml:space="preserve"> </w:t>
      </w:r>
      <w:r>
        <w:t xml:space="preserve">macroinvertebrates. Frontiers in Ecology and Evolution</w:t>
      </w:r>
      <w:r>
        <w:t xml:space="preserve"> </w:t>
      </w:r>
      <w:r>
        <w:rPr>
          <w:b/>
        </w:rPr>
        <w:t xml:space="preserve">7</w:t>
      </w:r>
      <w:r>
        <w:t xml:space="preserve">: 434.</w:t>
      </w:r>
      <w:r>
        <w:t xml:space="preserve"> </w:t>
      </w:r>
      <w:r>
        <w:t xml:space="preserve">doi:</w:t>
      </w:r>
      <w:hyperlink r:id="rId51">
        <w:r>
          <w:rPr>
            <w:rStyle w:val="Hyperlink"/>
          </w:rPr>
          <w:t xml:space="preserve">10.3389/fevo.2019.00434</w:t>
        </w:r>
      </w:hyperlink>
      <w:r>
        <w:t xml:space="preserve">.</w:t>
      </w:r>
    </w:p>
    <w:bookmarkEnd w:id="52"/>
    <w:bookmarkStart w:id="54" w:name="ref-Clark_et_al_2016"/>
    <w:p>
      <w:pPr>
        <w:pStyle w:val="Bibliography"/>
      </w:pPr>
      <w:r>
        <w:t xml:space="preserve">Clark, K., Karsch-Mizrachi, I., Lipman, D.J., Ostell, J., and Sayers,</w:t>
      </w:r>
      <w:r>
        <w:t xml:space="preserve"> </w:t>
      </w:r>
      <w:r>
        <w:t xml:space="preserve">E.W. 2016. GenBank. Nucleic Acids Research</w:t>
      </w:r>
      <w:r>
        <w:t xml:space="preserve"> </w:t>
      </w:r>
      <w:r>
        <w:rPr>
          <w:b/>
        </w:rPr>
        <w:t xml:space="preserve">44</w:t>
      </w:r>
      <w:r>
        <w:t xml:space="preserve">: D67–D72.</w:t>
      </w:r>
      <w:r>
        <w:t xml:space="preserve"> </w:t>
      </w:r>
      <w:r>
        <w:t xml:space="preserve">doi:</w:t>
      </w:r>
      <w:hyperlink r:id="rId53">
        <w:r>
          <w:rPr>
            <w:rStyle w:val="Hyperlink"/>
          </w:rPr>
          <w:t xml:space="preserve">10.1093/nar/gkv1276</w:t>
        </w:r>
      </w:hyperlink>
      <w:r>
        <w:t xml:space="preserve">.</w:t>
      </w:r>
    </w:p>
    <w:bookmarkEnd w:id="54"/>
    <w:bookmarkStart w:id="56" w:name="ref-Devarajan_et_al_2020"/>
    <w:p>
      <w:pPr>
        <w:pStyle w:val="Bibliography"/>
      </w:pPr>
      <w:r>
        <w:t xml:space="preserve">Devarajan, K., Morelli, T.L., and Tenan, S. 2020. Multi-species</w:t>
      </w:r>
      <w:r>
        <w:t xml:space="preserve"> </w:t>
      </w:r>
      <w:r>
        <w:t xml:space="preserve">occupancy models: Review, roadmap, and recommendations. Ecography</w:t>
      </w:r>
      <w:r>
        <w:t xml:space="preserve"> </w:t>
      </w:r>
      <w:r>
        <w:rPr>
          <w:b/>
        </w:rPr>
        <w:t xml:space="preserve">43</w:t>
      </w:r>
      <w:r>
        <w:t xml:space="preserve">: 1612–1624.</w:t>
      </w:r>
      <w:r>
        <w:t xml:space="preserve"> </w:t>
      </w:r>
      <w:r>
        <w:t xml:space="preserve">doi:</w:t>
      </w:r>
      <w:hyperlink r:id="rId55">
        <w:r>
          <w:rPr>
            <w:rStyle w:val="Hyperlink"/>
          </w:rPr>
          <w:t xml:space="preserve">10.1111/ecog.04957</w:t>
        </w:r>
      </w:hyperlink>
      <w:r>
        <w:t xml:space="preserve">.</w:t>
      </w:r>
    </w:p>
    <w:bookmarkEnd w:id="56"/>
    <w:bookmarkStart w:id="58" w:name="ref-Gibson_et_al_2015"/>
    <w:p>
      <w:pPr>
        <w:pStyle w:val="Bibliography"/>
      </w:pPr>
      <w:r>
        <w:t xml:space="preserve">Gibson, J.F., Shokralla, S., Curry, C., Baird, D.J., Monk, W.A., King,</w:t>
      </w:r>
      <w:r>
        <w:t xml:space="preserve"> </w:t>
      </w:r>
      <w:r>
        <w:t xml:space="preserve">I., and Hajibabaei, M. 2015. Large-scale biomonitoring of remote and</w:t>
      </w:r>
      <w:r>
        <w:t xml:space="preserve"> </w:t>
      </w:r>
      <w:r>
        <w:t xml:space="preserve">threatened ecosystems via High-Throughput Sequencing. PLOS One</w:t>
      </w:r>
      <w:r>
        <w:t xml:space="preserve"> </w:t>
      </w:r>
      <w:r>
        <w:rPr>
          <w:b/>
        </w:rPr>
        <w:t xml:space="preserve">10</w:t>
      </w:r>
      <w:r>
        <w:t xml:space="preserve">:</w:t>
      </w:r>
      <w:r>
        <w:t xml:space="preserve"> </w:t>
      </w:r>
      <w:r>
        <w:t xml:space="preserve">e0138432.</w:t>
      </w:r>
      <w:r>
        <w:t xml:space="preserve"> </w:t>
      </w:r>
      <w:r>
        <w:t xml:space="preserve">doi:</w:t>
      </w:r>
      <w:hyperlink r:id="rId57">
        <w:r>
          <w:rPr>
            <w:rStyle w:val="Hyperlink"/>
          </w:rPr>
          <w:t xml:space="preserve">10.1371/journal.pone.0138432</w:t>
        </w:r>
      </w:hyperlink>
      <w:r>
        <w:t xml:space="preserve">.</w:t>
      </w:r>
    </w:p>
    <w:bookmarkEnd w:id="58"/>
    <w:bookmarkStart w:id="60" w:name="ref-Hajibabaei_et_al_2016"/>
    <w:p>
      <w:pPr>
        <w:pStyle w:val="Bibliography"/>
      </w:pPr>
      <w:r>
        <w:t xml:space="preserve">Hajibabaei, M., Baird, D.J., Fahner, N.A., Beiko, R., and Golding, G.B.</w:t>
      </w:r>
      <w:r>
        <w:t xml:space="preserve"> </w:t>
      </w:r>
      <w:r>
        <w:t xml:space="preserve">2016. A new way to contemplate Darwin’s tangled bank: How DNA barcodes</w:t>
      </w:r>
      <w:r>
        <w:t xml:space="preserve"> </w:t>
      </w:r>
      <w:r>
        <w:t xml:space="preserve">are reconnecting biodiversity science and biomonitoring. Philosophical</w:t>
      </w:r>
      <w:r>
        <w:t xml:space="preserve"> </w:t>
      </w:r>
      <w:r>
        <w:t xml:space="preserve">Transactions of the Royal Society of London B: Biological Sciences</w:t>
      </w:r>
      <w:r>
        <w:t xml:space="preserve"> </w:t>
      </w:r>
      <w:r>
        <w:rPr>
          <w:b/>
        </w:rPr>
        <w:t xml:space="preserve">371</w:t>
      </w:r>
      <w:r>
        <w:t xml:space="preserve">: 20150330.</w:t>
      </w:r>
      <w:r>
        <w:t xml:space="preserve"> </w:t>
      </w:r>
      <w:r>
        <w:t xml:space="preserve">doi:</w:t>
      </w:r>
      <w:hyperlink r:id="rId59">
        <w:r>
          <w:rPr>
            <w:rStyle w:val="Hyperlink"/>
          </w:rPr>
          <w:t xml:space="preserve">10.1098/rstb.2015.0330</w:t>
        </w:r>
      </w:hyperlink>
      <w:r>
        <w:t xml:space="preserve">.</w:t>
      </w:r>
    </w:p>
    <w:bookmarkEnd w:id="60"/>
    <w:bookmarkStart w:id="62" w:name="ref-Homer_et_al_2015"/>
    <w:p>
      <w:pPr>
        <w:pStyle w:val="Bibliography"/>
      </w:pPr>
      <w:r>
        <w:t xml:space="preserve">Homer, C.G., Dewitz, J.A., Yang, L., Jin, S., Danielson, P., Xian, G.,</w:t>
      </w:r>
      <w:r>
        <w:t xml:space="preserve"> </w:t>
      </w:r>
      <w:r>
        <w:t xml:space="preserve">Coulston, J., Herold, N.D., Wickham, J.D., and Megown, K. 2015.</w:t>
      </w:r>
      <w:r>
        <w:t xml:space="preserve"> </w:t>
      </w:r>
      <w:r>
        <w:t xml:space="preserve">Completion of the 2011 National Land Cover Database for the conterminous</w:t>
      </w:r>
      <w:r>
        <w:t xml:space="preserve"> </w:t>
      </w:r>
      <w:r>
        <w:t xml:space="preserve">United States – representing a decade of land cover change information.</w:t>
      </w:r>
      <w:r>
        <w:t xml:space="preserve"> </w:t>
      </w:r>
      <w:r>
        <w:t xml:space="preserve">Photogrammetric Engineering and Remote Sensing</w:t>
      </w:r>
      <w:r>
        <w:t xml:space="preserve"> </w:t>
      </w:r>
      <w:r>
        <w:rPr>
          <w:b/>
        </w:rPr>
        <w:t xml:space="preserve">81</w:t>
      </w:r>
      <w:r>
        <w:t xml:space="preserve">: 345–354.</w:t>
      </w:r>
      <w:r>
        <w:t xml:space="preserve"> </w:t>
      </w:r>
      <w:r>
        <w:t xml:space="preserve">[Online] Available:</w:t>
      </w:r>
      <w:r>
        <w:t xml:space="preserve"> </w:t>
      </w:r>
      <w:hyperlink r:id="rId61">
        <w:r>
          <w:rPr>
            <w:rStyle w:val="Hyperlink"/>
          </w:rPr>
          <w:t xml:space="preserve">https://www.asprs.org/a/publications/pers/2015journals/PERS_May_2015/HTML/index.html#345</w:t>
        </w:r>
      </w:hyperlink>
      <w:r>
        <w:t xml:space="preserve">.</w:t>
      </w:r>
    </w:p>
    <w:bookmarkEnd w:id="62"/>
    <w:bookmarkStart w:id="64" w:name="ref-Jenkerson_2010"/>
    <w:p>
      <w:pPr>
        <w:pStyle w:val="Bibliography"/>
      </w:pPr>
      <w:r>
        <w:t xml:space="preserve">Jenkerson, C.B., Maiersperger, T., and Schmidt, G. 2010. eMODIS: A</w:t>
      </w:r>
      <w:r>
        <w:t xml:space="preserve"> </w:t>
      </w:r>
      <w:r>
        <w:t xml:space="preserve">user-friendly data source. Open-File Report, U.S. Geological Survey,</w:t>
      </w:r>
      <w:r>
        <w:t xml:space="preserve"> </w:t>
      </w:r>
      <w:r>
        <w:t xml:space="preserve">Reston, Virginia. [Online] Available:</w:t>
      </w:r>
      <w:r>
        <w:t xml:space="preserve"> </w:t>
      </w:r>
      <w:hyperlink r:id="rId63">
        <w:r>
          <w:rPr>
            <w:rStyle w:val="Hyperlink"/>
          </w:rPr>
          <w:t xml:space="preserve">http://pubs.usgs.gov/of/2010/1055/pdf/OF2010-1055.pdf</w:t>
        </w:r>
      </w:hyperlink>
      <w:r>
        <w:t xml:space="preserve">.</w:t>
      </w:r>
    </w:p>
    <w:bookmarkEnd w:id="64"/>
    <w:bookmarkStart w:id="66" w:name="ref-Joseph_2013"/>
    <w:p>
      <w:pPr>
        <w:pStyle w:val="Bibliography"/>
      </w:pPr>
      <w:r>
        <w:t xml:space="preserve">Joseph, M.B. 2013. Dynamic community occupancy modeling with R and JAGS.</w:t>
      </w:r>
      <w:r>
        <w:t xml:space="preserve"> </w:t>
      </w:r>
      <w:r>
        <w:t xml:space="preserve">[Online] Available:</w:t>
      </w:r>
      <w:r>
        <w:t xml:space="preserve"> </w:t>
      </w:r>
      <w:hyperlink r:id="rId65">
        <w:r>
          <w:rPr>
            <w:rStyle w:val="Hyperlink"/>
          </w:rPr>
          <w:t xml:space="preserve">https://web.archive.org/web/20150929072630/http://www.r-bloggers.com/dynamic-community-occupancy-modeling-with-r-and-jags/</w:t>
        </w:r>
      </w:hyperlink>
      <w:r>
        <w:t xml:space="preserve">.</w:t>
      </w:r>
    </w:p>
    <w:bookmarkEnd w:id="66"/>
    <w:bookmarkStart w:id="68" w:name="ref-Kendall_et_al_2013"/>
    <w:p>
      <w:pPr>
        <w:pStyle w:val="Bibliography"/>
      </w:pPr>
      <w:r>
        <w:t xml:space="preserve">Kendall, W.L., Hines, J.E., Nichols, J.D., and Grant, E.H.C. 2013.</w:t>
      </w:r>
      <w:r>
        <w:t xml:space="preserve"> </w:t>
      </w:r>
      <w:r>
        <w:t xml:space="preserve">Relaxing the closure assumption in occupancy models: Staggered arrival</w:t>
      </w:r>
      <w:r>
        <w:t xml:space="preserve"> </w:t>
      </w:r>
      <w:r>
        <w:t xml:space="preserve">and departure times. Ecology</w:t>
      </w:r>
      <w:r>
        <w:t xml:space="preserve"> </w:t>
      </w:r>
      <w:r>
        <w:rPr>
          <w:b/>
        </w:rPr>
        <w:t xml:space="preserve">94</w:t>
      </w:r>
      <w:r>
        <w:t xml:space="preserve">: 610–617. [Online] Available:</w:t>
      </w:r>
      <w:r>
        <w:t xml:space="preserve"> </w:t>
      </w:r>
      <w:hyperlink r:id="rId67">
        <w:r>
          <w:rPr>
            <w:rStyle w:val="Hyperlink"/>
          </w:rPr>
          <w:t xml:space="preserve">http://www.jstor.org/stable/23436264</w:t>
        </w:r>
      </w:hyperlink>
      <w:r>
        <w:t xml:space="preserve"> </w:t>
      </w:r>
      <w:r>
        <w:t xml:space="preserve">[2020 Dec. 7].</w:t>
      </w:r>
    </w:p>
    <w:bookmarkEnd w:id="68"/>
    <w:bookmarkStart w:id="70" w:name="ref-MacKenzie_et_al_2002"/>
    <w:p>
      <w:pPr>
        <w:pStyle w:val="Bibliography"/>
      </w:pPr>
      <w:r>
        <w:t xml:space="preserve">MacKenzie, D.I., Nichols, J.D., Lachman, G.B., Droege, S., Royle, J.A.,</w:t>
      </w:r>
      <w:r>
        <w:t xml:space="preserve"> </w:t>
      </w:r>
      <w:r>
        <w:t xml:space="preserve">and Langtimm, C.A. 2002. Estimating site occupancy rates when detection</w:t>
      </w:r>
      <w:r>
        <w:t xml:space="preserve"> </w:t>
      </w:r>
      <w:r>
        <w:t xml:space="preserve">probabilities are less than one. Ecology</w:t>
      </w:r>
      <w:r>
        <w:t xml:space="preserve"> </w:t>
      </w:r>
      <w:r>
        <w:rPr>
          <w:b/>
        </w:rPr>
        <w:t xml:space="preserve">83</w:t>
      </w:r>
      <w:r>
        <w:t xml:space="preserve">: 2248–2255.</w:t>
      </w:r>
      <w:r>
        <w:t xml:space="preserve"> </w:t>
      </w:r>
      <w:r>
        <w:t xml:space="preserve">doi:</w:t>
      </w:r>
      <w:hyperlink r:id="rId69">
        <w:r>
          <w:rPr>
            <w:rStyle w:val="Hyperlink"/>
          </w:rPr>
          <w:t xml:space="preserve">10.1890/0012-9658(2002)083[2248:ESORWD]2.0.CO;2</w:t>
        </w:r>
      </w:hyperlink>
      <w:r>
        <w:t xml:space="preserve">.</w:t>
      </w:r>
    </w:p>
    <w:bookmarkEnd w:id="70"/>
    <w:bookmarkStart w:id="71" w:name="ref-MacKenzie_et_al_2006"/>
    <w:p>
      <w:pPr>
        <w:pStyle w:val="Bibliography"/>
      </w:pPr>
      <w:r>
        <w:t xml:space="preserve">MacKenzie, D.I., Nichols, J.D., Royle, J.A., Pollock, K.H., Bailey,</w:t>
      </w:r>
      <w:r>
        <w:t xml:space="preserve"> </w:t>
      </w:r>
      <w:r>
        <w:t xml:space="preserve">L.L., and Hines, J.E. 2006. Occupancy Estimation and Modeling. Elsevier,</w:t>
      </w:r>
      <w:r>
        <w:t xml:space="preserve"> </w:t>
      </w:r>
      <w:r>
        <w:t xml:space="preserve">New York.</w:t>
      </w:r>
    </w:p>
    <w:bookmarkEnd w:id="71"/>
    <w:bookmarkStart w:id="73" w:name="ref-Magness_et_al_2008"/>
    <w:p>
      <w:pPr>
        <w:pStyle w:val="Bibliography"/>
      </w:pPr>
      <w:r>
        <w:t xml:space="preserve">Magness, D.R., Huettmann, F., and Morton, J.M. 2008. Using Random</w:t>
      </w:r>
      <w:r>
        <w:t xml:space="preserve"> </w:t>
      </w:r>
      <w:r>
        <w:t xml:space="preserve">Forests to provide predicted species distribution maps as a metric for</w:t>
      </w:r>
      <w:r>
        <w:t xml:space="preserve"> </w:t>
      </w:r>
      <w:r>
        <w:t xml:space="preserve">ecological inventory &amp; monitoring programs. Pages 209–229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T.G.</w:t>
      </w:r>
      <w:r>
        <w:t xml:space="preserve"> </w:t>
      </w:r>
      <w:r>
        <w:t xml:space="preserve">Smolinski, M.G. Milanova, and A.-E. Hassanien, eds. Applications of</w:t>
      </w:r>
      <w:r>
        <w:t xml:space="preserve"> </w:t>
      </w:r>
      <w:r>
        <w:t xml:space="preserve">Computational Intelligence in Biology: Current Trends and Open Problems.</w:t>
      </w:r>
      <w:r>
        <w:t xml:space="preserve"> </w:t>
      </w:r>
      <w:r>
        <w:t xml:space="preserve">Springer-Verlag, Berlin.</w:t>
      </w:r>
      <w:r>
        <w:t xml:space="preserve"> </w:t>
      </w:r>
      <w:r>
        <w:t xml:space="preserve">doi:</w:t>
      </w:r>
      <w:hyperlink r:id="rId72">
        <w:r>
          <w:rPr>
            <w:rStyle w:val="Hyperlink"/>
          </w:rPr>
          <w:t xml:space="preserve">10.1007/978-3-540-78534-7_9</w:t>
        </w:r>
      </w:hyperlink>
      <w:r>
        <w:t xml:space="preserve">.</w:t>
      </w:r>
    </w:p>
    <w:bookmarkEnd w:id="73"/>
    <w:bookmarkStart w:id="75" w:name="ref-Morton_et_al_2009"/>
    <w:p>
      <w:pPr>
        <w:pStyle w:val="Bibliography"/>
      </w:pPr>
      <w:r>
        <w:t xml:space="preserve">Morton, J.M., Bowser, M.L., Berg, E., Magness, D., and Eskelin, T. 2009.</w:t>
      </w:r>
      <w:r>
        <w:t xml:space="preserve"> </w:t>
      </w:r>
      <w:r>
        <w:t xml:space="preserve">Long Term Ecological Monitoring Program on the Kenai National Wildlife</w:t>
      </w:r>
      <w:r>
        <w:t xml:space="preserve"> </w:t>
      </w:r>
      <w:r>
        <w:t xml:space="preserve">Refuge, Alaska: An FIA adjunct inventory. Pages 1–17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W. McWilliams,</w:t>
      </w:r>
      <w:r>
        <w:t xml:space="preserve"> </w:t>
      </w:r>
      <w:r>
        <w:t xml:space="preserve">G. Moisen, and R. Czaplewski, eds. 2008 Forest Inventory and Analysis</w:t>
      </w:r>
      <w:r>
        <w:t xml:space="preserve"> </w:t>
      </w:r>
      <w:r>
        <w:t xml:space="preserve">(FIA) Symposium; October 21-23, 2008; Park City, UT. U.S. Department of</w:t>
      </w:r>
      <w:r>
        <w:t xml:space="preserve"> </w:t>
      </w:r>
      <w:r>
        <w:t xml:space="preserve">Agriculture, Forest Service, Rocky Mountain Research Station, Fort</w:t>
      </w:r>
      <w:r>
        <w:t xml:space="preserve"> </w:t>
      </w:r>
      <w:r>
        <w:t xml:space="preserve">Collins, Colorado. [Online] Available:</w:t>
      </w:r>
      <w:r>
        <w:t xml:space="preserve"> </w:t>
      </w:r>
      <w:hyperlink r:id="rId74">
        <w:r>
          <w:rPr>
            <w:rStyle w:val="Hyperlink"/>
          </w:rPr>
          <w:t xml:space="preserve">http://www.treesearch.fs.fed.us/pubs/33332</w:t>
        </w:r>
      </w:hyperlink>
      <w:r>
        <w:t xml:space="preserve">.</w:t>
      </w:r>
    </w:p>
    <w:bookmarkEnd w:id="75"/>
    <w:bookmarkStart w:id="77" w:name="ref-Penev_et_al_2017"/>
    <w:p>
      <w:pPr>
        <w:pStyle w:val="Bibliography"/>
      </w:pPr>
      <w:r>
        <w:t xml:space="preserve">Penev, L., Mietchen, D., Chavan, V.S., Hagedorn, G., Smith, V.S.,</w:t>
      </w:r>
      <w:r>
        <w:t xml:space="preserve"> </w:t>
      </w:r>
      <w:r>
        <w:t xml:space="preserve">Shotton, D., Tuama, É.Ó., Senderov, V., Georgiev, T., Stoev, P., Groom,</w:t>
      </w:r>
      <w:r>
        <w:t xml:space="preserve"> </w:t>
      </w:r>
      <w:r>
        <w:t xml:space="preserve">Q.J., Remsen, D., and Edmunds, S.C. 2017. Strategies and guidelines for</w:t>
      </w:r>
      <w:r>
        <w:t xml:space="preserve"> </w:t>
      </w:r>
      <w:r>
        <w:t xml:space="preserve">scholarly publishing of biodiversity data. Research Ideas and Outcomes</w:t>
      </w:r>
      <w:r>
        <w:t xml:space="preserve"> </w:t>
      </w:r>
      <w:r>
        <w:rPr>
          <w:b/>
        </w:rPr>
        <w:t xml:space="preserve">3</w:t>
      </w:r>
      <w:r>
        <w:t xml:space="preserve">: e12431.</w:t>
      </w:r>
      <w:r>
        <w:t xml:space="preserve"> </w:t>
      </w:r>
      <w:r>
        <w:t xml:space="preserve">doi:</w:t>
      </w:r>
      <w:hyperlink r:id="rId76">
        <w:r>
          <w:rPr>
            <w:rStyle w:val="Hyperlink"/>
          </w:rPr>
          <w:t xml:space="preserve">10.3897/rio.3.e12431</w:t>
        </w:r>
      </w:hyperlink>
      <w:r>
        <w:t xml:space="preserve">.</w:t>
      </w:r>
    </w:p>
    <w:bookmarkEnd w:id="77"/>
    <w:bookmarkStart w:id="79" w:name="ref-Plummer_2003"/>
    <w:p>
      <w:pPr>
        <w:pStyle w:val="Bibliography"/>
      </w:pPr>
      <w:r>
        <w:t xml:space="preserve">Plummer, M. 2003. JAGS: A program for analysis of bayesian graphical</w:t>
      </w:r>
      <w:r>
        <w:t xml:space="preserve"> </w:t>
      </w:r>
      <w:r>
        <w:t xml:space="preserve">models using gibbs sampling. Pages 1–10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K. Hornik, F. Leisch, and</w:t>
      </w:r>
      <w:r>
        <w:t xml:space="preserve"> </w:t>
      </w:r>
      <w:r>
        <w:t xml:space="preserve">A. Zeileis, eds. Proceedings of the 3</w:t>
      </w:r>
      <w:r>
        <w:t xml:space="preserve">rd</w:t>
      </w:r>
      <w:r>
        <w:t xml:space="preserve"> </w:t>
      </w:r>
      <w:r>
        <w:t xml:space="preserve">international</w:t>
      </w:r>
      <w:r>
        <w:t xml:space="preserve"> </w:t>
      </w:r>
      <w:r>
        <w:t xml:space="preserve">workshop on distributed statistical computing. Vienna, Austria.</w:t>
      </w:r>
      <w:r>
        <w:t xml:space="preserve"> </w:t>
      </w:r>
      <w:r>
        <w:t xml:space="preserve">[Online] Available:</w:t>
      </w:r>
      <w:r>
        <w:t xml:space="preserve"> </w:t>
      </w:r>
      <w:hyperlink r:id="rId78">
        <w:r>
          <w:rPr>
            <w:rStyle w:val="Hyperlink"/>
          </w:rPr>
          <w:t xml:space="preserve">https://www.r-project.org/conferences/DSC-2003/Proceedings/Plummer.pdf</w:t>
        </w:r>
      </w:hyperlink>
      <w:r>
        <w:t xml:space="preserve">.</w:t>
      </w:r>
    </w:p>
    <w:bookmarkEnd w:id="79"/>
    <w:bookmarkStart w:id="81" w:name="ref-Plummer_2019"/>
    <w:p>
      <w:pPr>
        <w:pStyle w:val="Bibliography"/>
      </w:pPr>
      <w:r>
        <w:t xml:space="preserve">Plummer, M. 2019. Rjags: Bayesian graphical models using mcmc.</w:t>
      </w:r>
      <w:r>
        <w:t xml:space="preserve"> </w:t>
      </w:r>
      <w:r>
        <w:t xml:space="preserve">[Online] Available:</w:t>
      </w:r>
      <w:r>
        <w:t xml:space="preserve"> </w:t>
      </w:r>
      <w:hyperlink r:id="rId80">
        <w:r>
          <w:rPr>
            <w:rStyle w:val="Hyperlink"/>
          </w:rPr>
          <w:t xml:space="preserve">https://CRAN.R-project.org/package=rjags</w:t>
        </w:r>
      </w:hyperlink>
      <w:r>
        <w:t xml:space="preserve">.</w:t>
      </w:r>
    </w:p>
    <w:bookmarkEnd w:id="81"/>
    <w:bookmarkStart w:id="83" w:name="ref-Ratnasingham_Hebert_2007"/>
    <w:p>
      <w:pPr>
        <w:pStyle w:val="Bibliography"/>
      </w:pPr>
      <w:r>
        <w:t xml:space="preserve">Ratnasingham, S., and Hebert, P.D.N. 2007. BOLD: The Barcode of Life</w:t>
      </w:r>
      <w:r>
        <w:t xml:space="preserve"> </w:t>
      </w:r>
      <w:r>
        <w:t xml:space="preserve">Data System (www.barcodinglife.org). Molecular Ecology Notes</w:t>
      </w:r>
      <w:r>
        <w:t xml:space="preserve"> </w:t>
      </w:r>
      <w:r>
        <w:rPr>
          <w:b/>
        </w:rPr>
        <w:t xml:space="preserve">7</w:t>
      </w:r>
      <w:r>
        <w:t xml:space="preserve">:</w:t>
      </w:r>
      <w:r>
        <w:t xml:space="preserve"> </w:t>
      </w:r>
      <w:r>
        <w:t xml:space="preserve">355–364.</w:t>
      </w:r>
      <w:r>
        <w:t xml:space="preserve"> </w:t>
      </w:r>
      <w:r>
        <w:t xml:space="preserve">doi:</w:t>
      </w:r>
      <w:hyperlink r:id="rId82">
        <w:r>
          <w:rPr>
            <w:rStyle w:val="Hyperlink"/>
          </w:rPr>
          <w:t xml:space="preserve">10.1111/j.1471-8286.2007.01678.x</w:t>
        </w:r>
      </w:hyperlink>
      <w:r>
        <w:t xml:space="preserve">.</w:t>
      </w:r>
    </w:p>
    <w:bookmarkEnd w:id="83"/>
    <w:bookmarkStart w:id="85" w:name="ref-Ratnasingham_Hebert_2013"/>
    <w:p>
      <w:pPr>
        <w:pStyle w:val="Bibliography"/>
      </w:pPr>
      <w:r>
        <w:t xml:space="preserve">Ratnasingham, S., and Hebert, P.D.N. 2013. A DNA-based registry for all</w:t>
      </w:r>
      <w:r>
        <w:t xml:space="preserve"> </w:t>
      </w:r>
      <w:r>
        <w:t xml:space="preserve">animal species: The Barcode Index Number (BIN) system. PLoS ONE</w:t>
      </w:r>
      <w:r>
        <w:t xml:space="preserve"> </w:t>
      </w:r>
      <w:r>
        <w:rPr>
          <w:b/>
        </w:rPr>
        <w:t xml:space="preserve">8</w:t>
      </w:r>
      <w:r>
        <w:t xml:space="preserve">:</w:t>
      </w:r>
      <w:r>
        <w:t xml:space="preserve"> </w:t>
      </w:r>
      <w:r>
        <w:t xml:space="preserve">e66213.</w:t>
      </w:r>
      <w:r>
        <w:t xml:space="preserve"> </w:t>
      </w:r>
      <w:r>
        <w:t xml:space="preserve">doi:</w:t>
      </w:r>
      <w:hyperlink r:id="rId84">
        <w:r>
          <w:rPr>
            <w:rStyle w:val="Hyperlink"/>
          </w:rPr>
          <w:t xml:space="preserve">10.1371/journal.pone.0066213</w:t>
        </w:r>
      </w:hyperlink>
      <w:r>
        <w:t xml:space="preserve">.</w:t>
      </w:r>
    </w:p>
    <w:bookmarkEnd w:id="85"/>
    <w:bookmarkStart w:id="87" w:name="ref-R_Core_Team_2020"/>
    <w:p>
      <w:pPr>
        <w:pStyle w:val="Bibliography"/>
      </w:pPr>
      <w:r>
        <w:t xml:space="preserve">R Core Team 2020. R: A language and environment for statistical</w:t>
      </w:r>
      <w:r>
        <w:t xml:space="preserve"> </w:t>
      </w:r>
      <w:r>
        <w:t xml:space="preserve">computing. R Foundation for Statistical Computing, Vienna, Austria.</w:t>
      </w:r>
      <w:r>
        <w:t xml:space="preserve"> </w:t>
      </w:r>
      <w:r>
        <w:t xml:space="preserve">[Online] Available:</w:t>
      </w:r>
      <w:r>
        <w:t xml:space="preserve"> </w:t>
      </w:r>
      <w:hyperlink r:id="rId86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87"/>
    <w:bookmarkStart w:id="89" w:name="ref-Taylor_1983"/>
    <w:p>
      <w:pPr>
        <w:pStyle w:val="Bibliography"/>
      </w:pPr>
      <w:r>
        <w:t xml:space="preserve">Taylor, R.W. 1983. Descriptive taxonomy: Past, present, and future.</w:t>
      </w:r>
      <w:r>
        <w:t xml:space="preserve"> </w:t>
      </w:r>
      <w:r>
        <w:t xml:space="preserve">Pages 93–134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E. Highley and R.W. Taylor, eds. Australian Systematic</w:t>
      </w:r>
      <w:r>
        <w:t xml:space="preserve"> </w:t>
      </w:r>
      <w:r>
        <w:t xml:space="preserve">Entomology: A Bicentenary Perspective. CSIRO, Canberra, Australia.</w:t>
      </w:r>
      <w:r>
        <w:t xml:space="preserve"> </w:t>
      </w:r>
      <w:r>
        <w:t xml:space="preserve">[Online] Available:</w:t>
      </w:r>
      <w:r>
        <w:t xml:space="preserve"> </w:t>
      </w:r>
      <w:hyperlink r:id="rId88">
        <w:r>
          <w:rPr>
            <w:rStyle w:val="Hyperlink"/>
          </w:rPr>
          <w:t xml:space="preserve">http://hdl.handle.net/102.100.100/286670?index=1</w:t>
        </w:r>
      </w:hyperlink>
      <w:r>
        <w:t xml:space="preserve">.</w:t>
      </w:r>
    </w:p>
    <w:bookmarkEnd w:id="89"/>
    <w:bookmarkStart w:id="91" w:name="ref-Wickham_2007"/>
    <w:p>
      <w:pPr>
        <w:pStyle w:val="Bibliography"/>
      </w:pPr>
      <w:r>
        <w:t xml:space="preserve">Wickham, H. 2007. Reshaping data with the reshape package. Journal of</w:t>
      </w:r>
      <w:r>
        <w:t xml:space="preserve"> </w:t>
      </w:r>
      <w:r>
        <w:t xml:space="preserve">Statistical Software</w:t>
      </w:r>
      <w:r>
        <w:t xml:space="preserve"> </w:t>
      </w:r>
      <w:r>
        <w:rPr>
          <w:b/>
        </w:rPr>
        <w:t xml:space="preserve">21</w:t>
      </w:r>
      <w:r>
        <w:t xml:space="preserve">: 1–20. [Online] Available:</w:t>
      </w:r>
      <w:r>
        <w:t xml:space="preserve"> </w:t>
      </w:r>
      <w:hyperlink r:id="rId90">
        <w:r>
          <w:rPr>
            <w:rStyle w:val="Hyperlink"/>
          </w:rPr>
          <w:t xml:space="preserve">http://www.jstatsoft.org/v21/i12/</w:t>
        </w:r>
      </w:hyperlink>
      <w:r>
        <w:t xml:space="preserve">.</w:t>
      </w:r>
    </w:p>
    <w:bookmarkEnd w:id="91"/>
    <w:bookmarkStart w:id="93" w:name="ref-Woodward_Beever_2010"/>
    <w:p>
      <w:pPr>
        <w:pStyle w:val="Bibliography"/>
      </w:pPr>
      <w:r>
        <w:t xml:space="preserve">Woodward, A., and Beever, E.A. 2010. Framework for ecological monitoring</w:t>
      </w:r>
      <w:r>
        <w:t xml:space="preserve"> </w:t>
      </w:r>
      <w:r>
        <w:t xml:space="preserve">on lands of Alaska National Wildlife Refuges and their partners. Report,</w:t>
      </w:r>
      <w:r>
        <w:t xml:space="preserve"> </w:t>
      </w:r>
      <w:r>
        <w:t xml:space="preserve">Reston, Virginia.</w:t>
      </w:r>
      <w:r>
        <w:t xml:space="preserve"> </w:t>
      </w:r>
      <w:r>
        <w:t xml:space="preserve">doi:</w:t>
      </w:r>
      <w:hyperlink r:id="rId92">
        <w:r>
          <w:rPr>
            <w:rStyle w:val="Hyperlink"/>
          </w:rPr>
          <w:t xml:space="preserve">10.3133/ofr20101300</w:t>
        </w:r>
      </w:hyperlink>
      <w:r>
        <w:t xml:space="preserve">.</w:t>
      </w:r>
    </w:p>
    <w:bookmarkEnd w:id="93"/>
    <w:bookmarkStart w:id="95" w:name="ref-Xie2014"/>
    <w:p>
      <w:pPr>
        <w:pStyle w:val="Bibliography"/>
      </w:pPr>
      <w:r>
        <w:t xml:space="preserve">Xie, Y. 2014. Knitr: A comprehensive tool for reproducible research in</w:t>
      </w:r>
      <w:r>
        <w:t xml:space="preserve"> </w:t>
      </w:r>
      <w:r>
        <w:t xml:space="preserve">R.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V. Stodden, F. Leisch, and R.D. Peng, eds. Implementing</w:t>
      </w:r>
      <w:r>
        <w:t xml:space="preserve"> </w:t>
      </w:r>
      <w:r>
        <w:t xml:space="preserve">reproducible computational research. Chapman; Hall/CRC. [Online]</w:t>
      </w:r>
      <w:r>
        <w:t xml:space="preserve"> </w:t>
      </w:r>
      <w:r>
        <w:t xml:space="preserve">Available:</w:t>
      </w:r>
      <w:r>
        <w:t xml:space="preserve"> </w:t>
      </w:r>
      <w:hyperlink r:id="rId94">
        <w:r>
          <w:rPr>
            <w:rStyle w:val="Hyperlink"/>
          </w:rPr>
          <w:t xml:space="preserve">http://www.crcpress.com/product/isbn/9781466561595</w:t>
        </w:r>
      </w:hyperlink>
      <w:r>
        <w:t xml:space="preserve">.</w:t>
      </w:r>
    </w:p>
    <w:bookmarkEnd w:id="95"/>
    <w:bookmarkStart w:id="97" w:name="ref-Xie2015"/>
    <w:p>
      <w:pPr>
        <w:pStyle w:val="Bibliography"/>
      </w:pPr>
      <w:r>
        <w:t xml:space="preserve">Xie, Y. 2015. Dynamic documents with R and knitr. 2nd editions. Chapman;</w:t>
      </w:r>
      <w:r>
        <w:t xml:space="preserve"> </w:t>
      </w:r>
      <w:r>
        <w:t xml:space="preserve">Hall/CRC, Boca Raton, Florida. [Online] Available:</w:t>
      </w:r>
      <w:r>
        <w:t xml:space="preserve"> </w:t>
      </w:r>
      <w:hyperlink r:id="rId96">
        <w:r>
          <w:rPr>
            <w:rStyle w:val="Hyperlink"/>
          </w:rPr>
          <w:t xml:space="preserve">https://yihui.org/knitr/</w:t>
        </w:r>
      </w:hyperlink>
      <w:r>
        <w:t xml:space="preserve">.</w:t>
      </w:r>
    </w:p>
    <w:bookmarkEnd w:id="97"/>
    <w:bookmarkStart w:id="98" w:name="ref-Xie2020"/>
    <w:p>
      <w:pPr>
        <w:pStyle w:val="Bibliography"/>
      </w:pPr>
      <w:r>
        <w:t xml:space="preserve">Xie, Y. 2020. Knitr: A general-purpose package for dynamic report</w:t>
      </w:r>
      <w:r>
        <w:t xml:space="preserve"> </w:t>
      </w:r>
      <w:r>
        <w:t xml:space="preserve">generation in r. [Online] Available:</w:t>
      </w:r>
      <w:r>
        <w:t xml:space="preserve"> </w:t>
      </w:r>
      <w:hyperlink r:id="rId96">
        <w:r>
          <w:rPr>
            <w:rStyle w:val="Hyperlink"/>
          </w:rPr>
          <w:t xml:space="preserve">https://yihui.org/knitr/</w:t>
        </w:r>
      </w:hyperlink>
      <w:r>
        <w:t xml:space="preserve">.</w:t>
      </w:r>
    </w:p>
    <w:bookmarkEnd w:id="98"/>
    <w:bookmarkEnd w:id="99"/>
    <w:p>
      <w:pPr>
        <w:pStyle w:val="Heading1"/>
      </w:pPr>
      <w:bookmarkStart w:id="100" w:name="figures-and-figure-captions"/>
      <w:r>
        <w:t xml:space="preserve">Figures and Figure Captions</w:t>
      </w:r>
      <w:bookmarkEnd w:id="100"/>
    </w:p>
    <w:sectPr w:rsidR="00ED04FA" w:rsidRPr="001F4C00" w:rsidSect="00A76E65">
      <w:footerReference w:type="default" r:id="rId9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53091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44EB" w:rsidRDefault="003144E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37F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144EB" w:rsidRDefault="003144EB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CD2DE"/>
    <w:multiLevelType w:val="multilevel"/>
    <w:tmpl w:val="B952ED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2E455A"/>
    <w:pPr>
      <w:keepNext/>
      <w:keepLines/>
      <w:spacing w:after="0" w:line="480" w:lineRule="auto"/>
      <w:jc w:val="center"/>
      <w:outlineLvl w:val="0"/>
    </w:pPr>
    <w:rPr>
      <w:rFonts w:ascii="Arial" w:eastAsiaTheme="majorEastAsia" w:hAnsi="Arial" w:cstheme="majorBidi"/>
      <w:b/>
      <w:bCs/>
      <w:cap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41D21"/>
    <w:pPr>
      <w:keepNext/>
      <w:keepLines/>
      <w:spacing w:before="200" w:after="0" w:line="480" w:lineRule="auto"/>
      <w:outlineLvl w:val="1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A77862"/>
    <w:pPr>
      <w:keepNext/>
      <w:keepLines/>
      <w:spacing w:before="200" w:after="0" w:line="360" w:lineRule="auto"/>
      <w:outlineLvl w:val="2"/>
    </w:pPr>
    <w:rPr>
      <w:rFonts w:ascii="Times New Roman" w:eastAsiaTheme="majorEastAsia" w:hAnsi="Times New Roman" w:cstheme="majorBidi"/>
      <w:bCs/>
      <w:i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941D21"/>
    <w:pPr>
      <w:spacing w:after="0" w:line="480" w:lineRule="auto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941D21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E455A"/>
    <w:pPr>
      <w:keepNext/>
      <w:keepLines/>
      <w:spacing w:after="0" w:line="480" w:lineRule="auto"/>
      <w:jc w:val="center"/>
    </w:pPr>
    <w:rPr>
      <w:rFonts w:ascii="Arial" w:eastAsiaTheme="majorEastAsia" w:hAnsi="Arial" w:cstheme="majorBidi"/>
      <w:b/>
      <w:bCs/>
      <w:szCs w:val="36"/>
    </w:rPr>
  </w:style>
  <w:style w:type="paragraph" w:styleId="Subtitle">
    <w:name w:val="Subtitle"/>
    <w:basedOn w:val="Title"/>
    <w:next w:val="BodyText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2737FD"/>
    <w:pPr>
      <w:keepNext/>
      <w:keepLines/>
      <w:spacing w:after="0" w:line="480" w:lineRule="auto"/>
      <w:jc w:val="center"/>
    </w:pPr>
    <w:rPr>
      <w:rFonts w:ascii="Arial" w:hAnsi="Arial"/>
      <w:b/>
      <w:caps/>
      <w:szCs w:val="20"/>
    </w:rPr>
  </w:style>
  <w:style w:type="paragraph" w:styleId="Bibliography">
    <w:name w:val="Bibliography"/>
    <w:basedOn w:val="Normal"/>
    <w:qFormat/>
    <w:rsid w:val="00941D21"/>
    <w:pPr>
      <w:spacing w:line="480" w:lineRule="auto"/>
      <w:ind w:left="720" w:hanging="720"/>
    </w:pPr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character" w:styleId="LineNumber">
    <w:name w:val="line number"/>
    <w:basedOn w:val="DefaultParagraphFont"/>
    <w:semiHidden/>
    <w:unhideWhenUsed/>
    <w:rsid w:val="006E462A"/>
  </w:style>
  <w:style w:type="paragraph" w:styleId="Header">
    <w:name w:val="header"/>
    <w:basedOn w:val="Normal"/>
    <w:link w:val="HeaderChar"/>
    <w:unhideWhenUsed/>
    <w:rsid w:val="003144E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144EB"/>
  </w:style>
  <w:style w:type="paragraph" w:styleId="Footer">
    <w:name w:val="footer"/>
    <w:basedOn w:val="Normal"/>
    <w:link w:val="FooterChar"/>
    <w:uiPriority w:val="99"/>
    <w:unhideWhenUsed/>
    <w:rsid w:val="003144E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144EB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image" Id="rId26" Target="media/rId26.png" /><Relationship Type="http://schemas.openxmlformats.org/officeDocument/2006/relationships/hyperlink" Id="rId31" Target="http://arctos.database.museum/project/10002227" TargetMode="External" /><Relationship Type="http://schemas.openxmlformats.org/officeDocument/2006/relationships/hyperlink" Id="rId88" Target="http://hdl.handle.net/102.100.100/286670?index=1" TargetMode="External" /><Relationship Type="http://schemas.openxmlformats.org/officeDocument/2006/relationships/hyperlink" Id="rId63" Target="http://pubs.usgs.gov/of/2010/1055/pdf/OF2010-1055.pdf" TargetMode="External" /><Relationship Type="http://schemas.openxmlformats.org/officeDocument/2006/relationships/hyperlink" Id="rId28" Target="http://rtlgenomics.com" TargetMode="External" /><Relationship Type="http://schemas.openxmlformats.org/officeDocument/2006/relationships/hyperlink" Id="rId94" Target="http://www.crcpress.com/product/isbn/9781466561595" TargetMode="External" /><Relationship Type="http://schemas.openxmlformats.org/officeDocument/2006/relationships/hyperlink" Id="rId90" Target="http://www.jstatsoft.org/v21/i12/" TargetMode="External" /><Relationship Type="http://schemas.openxmlformats.org/officeDocument/2006/relationships/hyperlink" Id="rId67" Target="http://www.jstor.org/stable/23436264" TargetMode="External" /><Relationship Type="http://schemas.openxmlformats.org/officeDocument/2006/relationships/hyperlink" Id="rId74" Target="http://www.treesearch.fs.fed.us/pubs/33332" TargetMode="External" /><Relationship Type="http://schemas.openxmlformats.org/officeDocument/2006/relationships/hyperlink" Id="rId80" Target="https://CRAN.R-project.org/package=rjags" TargetMode="External" /><Relationship Type="http://schemas.openxmlformats.org/officeDocument/2006/relationships/hyperlink" Id="rId33" Target="https://arctos.database.museum/saved/2020-11-12-1157_Slikok_metabarcoding_taxa_list" TargetMode="External" /><Relationship Type="http://schemas.openxmlformats.org/officeDocument/2006/relationships/hyperlink" Id="rId34" Target="https://arctos.database.museum/saved/2020-11-12-1400_Slikok_project_metabarcoding_occurrences" TargetMode="External" /><Relationship Type="http://schemas.openxmlformats.org/officeDocument/2006/relationships/hyperlink" Id="rId30" Target="https://arctosdb.org/" TargetMode="External" /><Relationship Type="http://schemas.openxmlformats.org/officeDocument/2006/relationships/hyperlink" Id="rId72" Target="https://doi.org/10.1007/978-3-540-78534-7_9" TargetMode="External" /><Relationship Type="http://schemas.openxmlformats.org/officeDocument/2006/relationships/hyperlink" Id="rId43" Target="https://doi.org/10.1016/S0022-2836(05)80360-2" TargetMode="External" /><Relationship Type="http://schemas.openxmlformats.org/officeDocument/2006/relationships/hyperlink" Id="rId53" Target="https://doi.org/10.1093/nar/gkv1276" TargetMode="External" /><Relationship Type="http://schemas.openxmlformats.org/officeDocument/2006/relationships/hyperlink" Id="rId45" Target="https://doi.org/10.1098/rstb.2005.1725" TargetMode="External" /><Relationship Type="http://schemas.openxmlformats.org/officeDocument/2006/relationships/hyperlink" Id="rId59" Target="https://doi.org/10.1098/rstb.2015.0330" TargetMode="External" /><Relationship Type="http://schemas.openxmlformats.org/officeDocument/2006/relationships/hyperlink" Id="rId55" Target="https://doi.org/10.1111/ecog.04957" TargetMode="External" /><Relationship Type="http://schemas.openxmlformats.org/officeDocument/2006/relationships/hyperlink" Id="rId82" Target="https://doi.org/10.1111/j.1471-8286.2007.01678.x" TargetMode="External" /><Relationship Type="http://schemas.openxmlformats.org/officeDocument/2006/relationships/hyperlink" Id="rId84" Target="https://doi.org/10.1371/journal.pone.0066213" TargetMode="External" /><Relationship Type="http://schemas.openxmlformats.org/officeDocument/2006/relationships/hyperlink" Id="rId57" Target="https://doi.org/10.1371/journal.pone.0138432" TargetMode="External" /><Relationship Type="http://schemas.openxmlformats.org/officeDocument/2006/relationships/hyperlink" Id="rId69" Target="https://doi.org/10.1890/0012-9658(2002)083%5B2248:ESORWD%5D2.0.CO;2" TargetMode="External" /><Relationship Type="http://schemas.openxmlformats.org/officeDocument/2006/relationships/hyperlink" Id="rId92" Target="https://doi.org/10.3133/ofr20101300" TargetMode="External" /><Relationship Type="http://schemas.openxmlformats.org/officeDocument/2006/relationships/hyperlink" Id="rId51" Target="https://doi.org/10.3389/fevo.2019.00434" TargetMode="External" /><Relationship Type="http://schemas.openxmlformats.org/officeDocument/2006/relationships/hyperlink" Id="rId49" Target="https://doi.org/10.3897/BDJ.5.e10792" TargetMode="External" /><Relationship Type="http://schemas.openxmlformats.org/officeDocument/2006/relationships/hyperlink" Id="rId47" Target="https://doi.org/10.3897/BDJ.8.e50124" TargetMode="External" /><Relationship Type="http://schemas.openxmlformats.org/officeDocument/2006/relationships/hyperlink" Id="rId76" Target="https://doi.org/10.3897/rio.3.e12431" TargetMode="External" /><Relationship Type="http://schemas.openxmlformats.org/officeDocument/2006/relationships/hyperlink" Id="rId65" Target="https://web.archive.org/web/20150929072630/http://www.r-bloggers.com/dynamic-community-occupancy-modeling-with-r-and-jags/" TargetMode="External" /><Relationship Type="http://schemas.openxmlformats.org/officeDocument/2006/relationships/hyperlink" Id="rId86" Target="https://www.R-project.org/" TargetMode="External" /><Relationship Type="http://schemas.openxmlformats.org/officeDocument/2006/relationships/hyperlink" Id="rId61" Target="https://www.asprs.org/a/publications/pers/2015journals/PERS_May_2015/HTML/index.html#345" TargetMode="External" /><Relationship Type="http://schemas.openxmlformats.org/officeDocument/2006/relationships/hyperlink" Id="rId32" Target="https://www.gbif.org/" TargetMode="External" /><Relationship Type="http://schemas.openxmlformats.org/officeDocument/2006/relationships/hyperlink" Id="rId39" Target="https://www.govinfo.gov/app/details/STATUTE-111/STATUTE-111-Pg1252" TargetMode="External" /><Relationship Type="http://schemas.openxmlformats.org/officeDocument/2006/relationships/hyperlink" Id="rId41" Target="https://www.govinfo.gov/app/details/STATUTE-94/STATUTE-94-Pg2371" TargetMode="External" /><Relationship Type="http://schemas.openxmlformats.org/officeDocument/2006/relationships/hyperlink" Id="rId78" Target="https://www.r-project.org/conferences/DSC-2003/Proceedings/Plummer.pdf" TargetMode="External" /><Relationship Type="http://schemas.openxmlformats.org/officeDocument/2006/relationships/hyperlink" Id="rId96" Target="https://yihui.org/knitr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://arctos.database.museum/project/10002227" TargetMode="External" /><Relationship Type="http://schemas.openxmlformats.org/officeDocument/2006/relationships/hyperlink" Id="rId88" Target="http://hdl.handle.net/102.100.100/286670?index=1" TargetMode="External" /><Relationship Type="http://schemas.openxmlformats.org/officeDocument/2006/relationships/hyperlink" Id="rId63" Target="http://pubs.usgs.gov/of/2010/1055/pdf/OF2010-1055.pdf" TargetMode="External" /><Relationship Type="http://schemas.openxmlformats.org/officeDocument/2006/relationships/hyperlink" Id="rId28" Target="http://rtlgenomics.com" TargetMode="External" /><Relationship Type="http://schemas.openxmlformats.org/officeDocument/2006/relationships/hyperlink" Id="rId94" Target="http://www.crcpress.com/product/isbn/9781466561595" TargetMode="External" /><Relationship Type="http://schemas.openxmlformats.org/officeDocument/2006/relationships/hyperlink" Id="rId90" Target="http://www.jstatsoft.org/v21/i12/" TargetMode="External" /><Relationship Type="http://schemas.openxmlformats.org/officeDocument/2006/relationships/hyperlink" Id="rId67" Target="http://www.jstor.org/stable/23436264" TargetMode="External" /><Relationship Type="http://schemas.openxmlformats.org/officeDocument/2006/relationships/hyperlink" Id="rId74" Target="http://www.treesearch.fs.fed.us/pubs/33332" TargetMode="External" /><Relationship Type="http://schemas.openxmlformats.org/officeDocument/2006/relationships/hyperlink" Id="rId80" Target="https://CRAN.R-project.org/package=rjags" TargetMode="External" /><Relationship Type="http://schemas.openxmlformats.org/officeDocument/2006/relationships/hyperlink" Id="rId33" Target="https://arctos.database.museum/saved/2020-11-12-1157_Slikok_metabarcoding_taxa_list" TargetMode="External" /><Relationship Type="http://schemas.openxmlformats.org/officeDocument/2006/relationships/hyperlink" Id="rId34" Target="https://arctos.database.museum/saved/2020-11-12-1400_Slikok_project_metabarcoding_occurrences" TargetMode="External" /><Relationship Type="http://schemas.openxmlformats.org/officeDocument/2006/relationships/hyperlink" Id="rId30" Target="https://arctosdb.org/" TargetMode="External" /><Relationship Type="http://schemas.openxmlformats.org/officeDocument/2006/relationships/hyperlink" Id="rId72" Target="https://doi.org/10.1007/978-3-540-78534-7_9" TargetMode="External" /><Relationship Type="http://schemas.openxmlformats.org/officeDocument/2006/relationships/hyperlink" Id="rId43" Target="https://doi.org/10.1016/S0022-2836(05)80360-2" TargetMode="External" /><Relationship Type="http://schemas.openxmlformats.org/officeDocument/2006/relationships/hyperlink" Id="rId53" Target="https://doi.org/10.1093/nar/gkv1276" TargetMode="External" /><Relationship Type="http://schemas.openxmlformats.org/officeDocument/2006/relationships/hyperlink" Id="rId45" Target="https://doi.org/10.1098/rstb.2005.1725" TargetMode="External" /><Relationship Type="http://schemas.openxmlformats.org/officeDocument/2006/relationships/hyperlink" Id="rId59" Target="https://doi.org/10.1098/rstb.2015.0330" TargetMode="External" /><Relationship Type="http://schemas.openxmlformats.org/officeDocument/2006/relationships/hyperlink" Id="rId55" Target="https://doi.org/10.1111/ecog.04957" TargetMode="External" /><Relationship Type="http://schemas.openxmlformats.org/officeDocument/2006/relationships/hyperlink" Id="rId82" Target="https://doi.org/10.1111/j.1471-8286.2007.01678.x" TargetMode="External" /><Relationship Type="http://schemas.openxmlformats.org/officeDocument/2006/relationships/hyperlink" Id="rId84" Target="https://doi.org/10.1371/journal.pone.0066213" TargetMode="External" /><Relationship Type="http://schemas.openxmlformats.org/officeDocument/2006/relationships/hyperlink" Id="rId57" Target="https://doi.org/10.1371/journal.pone.0138432" TargetMode="External" /><Relationship Type="http://schemas.openxmlformats.org/officeDocument/2006/relationships/hyperlink" Id="rId69" Target="https://doi.org/10.1890/0012-9658(2002)083%5B2248:ESORWD%5D2.0.CO;2" TargetMode="External" /><Relationship Type="http://schemas.openxmlformats.org/officeDocument/2006/relationships/hyperlink" Id="rId92" Target="https://doi.org/10.3133/ofr20101300" TargetMode="External" /><Relationship Type="http://schemas.openxmlformats.org/officeDocument/2006/relationships/hyperlink" Id="rId51" Target="https://doi.org/10.3389/fevo.2019.00434" TargetMode="External" /><Relationship Type="http://schemas.openxmlformats.org/officeDocument/2006/relationships/hyperlink" Id="rId49" Target="https://doi.org/10.3897/BDJ.5.e10792" TargetMode="External" /><Relationship Type="http://schemas.openxmlformats.org/officeDocument/2006/relationships/hyperlink" Id="rId47" Target="https://doi.org/10.3897/BDJ.8.e50124" TargetMode="External" /><Relationship Type="http://schemas.openxmlformats.org/officeDocument/2006/relationships/hyperlink" Id="rId76" Target="https://doi.org/10.3897/rio.3.e12431" TargetMode="External" /><Relationship Type="http://schemas.openxmlformats.org/officeDocument/2006/relationships/hyperlink" Id="rId65" Target="https://web.archive.org/web/20150929072630/http://www.r-bloggers.com/dynamic-community-occupancy-modeling-with-r-and-jags/" TargetMode="External" /><Relationship Type="http://schemas.openxmlformats.org/officeDocument/2006/relationships/hyperlink" Id="rId86" Target="https://www.R-project.org/" TargetMode="External" /><Relationship Type="http://schemas.openxmlformats.org/officeDocument/2006/relationships/hyperlink" Id="rId61" Target="https://www.asprs.org/a/publications/pers/2015journals/PERS_May_2015/HTML/index.html#345" TargetMode="External" /><Relationship Type="http://schemas.openxmlformats.org/officeDocument/2006/relationships/hyperlink" Id="rId32" Target="https://www.gbif.org/" TargetMode="External" /><Relationship Type="http://schemas.openxmlformats.org/officeDocument/2006/relationships/hyperlink" Id="rId39" Target="https://www.govinfo.gov/app/details/STATUTE-111/STATUTE-111-Pg1252" TargetMode="External" /><Relationship Type="http://schemas.openxmlformats.org/officeDocument/2006/relationships/hyperlink" Id="rId41" Target="https://www.govinfo.gov/app/details/STATUTE-94/STATUTE-94-Pg2371" TargetMode="External" /><Relationship Type="http://schemas.openxmlformats.org/officeDocument/2006/relationships/hyperlink" Id="rId78" Target="https://www.r-project.org/conferences/DSC-2003/Proceedings/Plummer.pdf" TargetMode="External" /><Relationship Type="http://schemas.openxmlformats.org/officeDocument/2006/relationships/hyperlink" Id="rId96" Target="https://yihui.org/knit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Department of Interior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Documenting distributions of hyperdiverse groups (terrestrial invertebrates) through grid-based spatial sampling, high-throughput sequencing, and occupancy modeling</dc:title>
  <dc:creator/>
  <cp:keywords/>
  <dcterms:created xsi:type="dcterms:W3CDTF">2020-12-07T18:34:09Z</dcterms:created>
  <dcterms:modified xsi:type="dcterms:W3CDTF">2020-12-07T18:34:09Z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csl">
    <vt:lpwstr>canadian-journal-of-plant-science.csl</vt:lpwstr>
  </property>
  <property fmtid="{D5CDD505-2E9C-101B-9397-08002B2CF9AE}" pid="4" name="language">
    <vt:lpwstr>en-US</vt:lpwstr>
  </property>
  <property fmtid="{D5CDD505-2E9C-101B-9397-08002B2CF9AE}" pid="5" name="link-citations">
    <vt:lpwstr>True</vt:lpwstr>
  </property>
  <property fmtid="{D5CDD505-2E9C-101B-9397-08002B2CF9AE}" pid="6" name="numbersections">
    <vt:lpwstr>False</vt:lpwstr>
  </property>
</Properties>
</file>