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</w:t>
      </w:r>
      <w:r>
        <w:t xml:space="preserve"> </w:t>
      </w:r>
      <w:r>
        <w:t xml:space="preserve">al. 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</w:t>
      </w:r>
      <w:r>
        <w:t xml:space="preserve"> </w:t>
      </w:r>
      <w:r>
        <w:t xml:space="preserve">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</w:t>
      </w:r>
      <w:r>
        <w:t xml:space="preserve"> </w:t>
      </w:r>
      <w:r>
        <w:t xml:space="preserve">monitor most of biodiversity due to the high cost and lengthy time</w:t>
      </w:r>
      <w:r>
        <w:t xml:space="preserve"> </w:t>
      </w:r>
      <w:r>
        <w:t xml:space="preserve">required to obtain identifications for species in hyperdiverse groups, a</w:t>
      </w:r>
      <w:r>
        <w:t xml:space="preserve"> </w:t>
      </w:r>
      <w:r>
        <w:t xml:space="preserve">well-known problem that has been referred to as the taxonomic impediment</w:t>
      </w:r>
      <w:r>
        <w:t xml:space="preserve"> </w:t>
      </w:r>
      <w:r>
        <w:t xml:space="preserve">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</w:t>
      </w:r>
      <w:r>
        <w:t xml:space="preserve"> </w:t>
      </w:r>
      <w:r>
        <w:t xml:space="preserve">sequencing (HTS) methods have emerged as a means to obtain many</w:t>
      </w:r>
      <w:r>
        <w:t xml:space="preserve"> </w:t>
      </w:r>
      <w:r>
        <w:t xml:space="preserve">identfications from environmental samples. Multiple studies (Gibson et</w:t>
      </w:r>
      <w:r>
        <w:t xml:space="preserve"> </w:t>
      </w:r>
      <w:r>
        <w:t xml:space="preserve">al. 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</w:t>
      </w:r>
      <w:r>
        <w:t xml:space="preserve"> </w:t>
      </w:r>
      <w:r>
        <w:t xml:space="preserve">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</w:t>
      </w:r>
      <w:r>
        <w:t xml:space="preserve"> </w:t>
      </w:r>
      <w:r>
        <w:t xml:space="preserve">al. 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</w:t>
      </w:r>
      <w:r>
        <w:t xml:space="preserve"> </w:t>
      </w:r>
      <w:r>
        <w:t xml:space="preserve">the 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</w:t>
      </w:r>
      <w:r>
        <w:t xml:space="preserve"> </w:t>
      </w:r>
      <w:r>
        <w:t xml:space="preserve">of species occurrence and distributions of hyperdiverse taxa.</w:t>
      </w:r>
    </w:p>
    <w:p>
      <w:pPr>
        <w:pStyle w:val="Heading1"/>
      </w:pPr>
      <w:bookmarkStart w:id="22" w:name="study-site"/>
      <w:r>
        <w:t xml:space="preserve">Study Site</w:t>
      </w:r>
      <w:bookmarkEnd w:id="22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portion of the Slikok Creek</w:t>
      </w:r>
      <w:r>
        <w:t xml:space="preserve"> </w:t>
      </w:r>
      <w:r>
        <w:t xml:space="preserve">watershed on the Kenai National Wildlife Refuge (KNWR). The resulting</w:t>
      </w:r>
      <w:r>
        <w:t xml:space="preserve"> </w:t>
      </w:r>
      <w:r>
        <w:t xml:space="preserve">938 ha study area occupied a bounding box from 60.44° to 60.47° latitude</w:t>
      </w:r>
      <w:r>
        <w:t xml:space="preserve"> </w:t>
      </w:r>
      <w:r>
        <w:t xml:space="preserve">and from -151.10° to -151.03° longitude.</w:t>
      </w:r>
    </w:p>
    <w:p>
      <w:pPr>
        <w:pStyle w:val="BodyText"/>
      </w:pPr>
      <w:r>
        <w:t xml:space="preserve">Based on data from the 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grid with 500 m spacing between points was chosen by using the</w:t>
      </w:r>
      <w:r>
        <w:t xml:space="preserve"> </w:t>
      </w:r>
      <w:r>
        <w:t xml:space="preserve">coordinates of the centroids of the 250 m pixels from the Alaska eMODIS</w:t>
      </w:r>
      <w:r>
        <w:t xml:space="preserve"> </w:t>
      </w:r>
      <w:r>
        <w:t xml:space="preserve">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</w:t>
      </w:r>
      <w:r>
        <w:t xml:space="preserve"> </w:t>
      </w:r>
      <w:r>
        <w:t xml:space="preserve">other centroid to make a grid of sites having 500 m spacing. The</w:t>
      </w:r>
      <w:r>
        <w:t xml:space="preserve"> </w:t>
      </w:r>
      <w:r>
        <w:t xml:space="preserve">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marked by driving 122 cm long, 13 mm diameter</w:t>
      </w:r>
      <w:r>
        <w:t xml:space="preserve"> </w:t>
      </w:r>
      <w:r>
        <w:t xml:space="preserve">SunGUARD Smart Stake™ fibreglass rods into the ground, then labelling</w:t>
      </w:r>
      <w:r>
        <w:t xml:space="preserve"> </w:t>
      </w:r>
      <w:r>
        <w:t xml:space="preserve">them with aluminium tags (Fig. 3).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from 14 to 17</w:t>
      </w:r>
      <w:r>
        <w:t xml:space="preserve"> </w:t>
      </w:r>
      <w:r>
        <w:t xml:space="preserve">June 2016. A second set of sweep net samples was collected from 18 July</w:t>
      </w:r>
      <w:r>
        <w:t xml:space="preserve"> </w:t>
      </w:r>
      <w:r>
        <w:t xml:space="preserve">to 9 August 2016. A total of 160 sweep net samples were collected (40</w:t>
      </w:r>
      <w:r>
        <w:t xml:space="preserve"> </w:t>
      </w:r>
      <w:r>
        <w:t xml:space="preserve">plots × 2 samples/plot × 2 visits/plot).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To enable</w:t>
      </w:r>
      <w:r>
        <w:t xml:space="preserve"> </w:t>
      </w:r>
      <w:r>
        <w:t xml:space="preserve">comparison with the previous work of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), we used the same methods except that</w:t>
      </w:r>
      <w:r>
        <w:t xml:space="preserve"> </w:t>
      </w:r>
      <w:r>
        <w:t xml:space="preserve">we subsampled spatially. We split the plot into two subplots, dividing</w:t>
      </w:r>
      <w:r>
        <w:t xml:space="preserve"> </w:t>
      </w:r>
      <w:r>
        <w:t xml:space="preserve">along the north-south axis. Each semicircular subplot was independently</w:t>
      </w:r>
      <w:r>
        <w:t xml:space="preserve"> </w:t>
      </w:r>
      <w:r>
        <w:t xml:space="preserve">sweep-netted, such that the entire area was swept from the ground</w:t>
      </w:r>
      <w:r>
        <w:t xml:space="preserve"> </w:t>
      </w:r>
      <w:r>
        <w:t xml:space="preserve">surface up to a height of roughly 2 m. No defined pattern of sweeping</w:t>
      </w:r>
      <w:r>
        <w:t xml:space="preserve"> </w:t>
      </w:r>
      <w:r>
        <w:t xml:space="preserve">was enforced, but we ensured that all substrates and macrohabitats</w:t>
      </w:r>
      <w:r>
        <w:t xml:space="preserve"> </w:t>
      </w:r>
      <w:r>
        <w:t xml:space="preserve">within reach were swept over once within a time limit of 5 min per</w:t>
      </w:r>
      <w:r>
        <w:t xml:space="preserve"> </w:t>
      </w:r>
      <w:r>
        <w:t xml:space="preserve">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6" w:name="laboratory-methods"/>
      <w:r>
        <w:t xml:space="preserve">Laboratory methods</w:t>
      </w:r>
      <w:bookmarkEnd w:id="26"/>
    </w:p>
    <w:p>
      <w:pPr>
        <w:pStyle w:val="FirstParagraph"/>
      </w:pPr>
      <w:r>
        <w:t xml:space="preserve">All invertebrates in the sweep net samples were separated from debris by</w:t>
      </w:r>
      <w:r>
        <w:t xml:space="preserve"> </w:t>
      </w:r>
      <w:r>
        <w:t xml:space="preserve">hand under a stereomicroscope. All fragments of invertebrates were</w:t>
      </w:r>
      <w:r>
        <w:t xml:space="preserve"> </w:t>
      </w:r>
      <w:r>
        <w:t xml:space="preserve">retained.</w:t>
      </w:r>
    </w:p>
    <w:p>
      <w:pPr>
        <w:pStyle w:val="BodyText"/>
      </w:pPr>
      <w:r>
        <w:t xml:space="preserve">Due to budget limitations, we processed 125 of the 160 sweep net</w:t>
      </w:r>
      <w:r>
        <w:t xml:space="preserve"> </w:t>
      </w:r>
      <w:r>
        <w:t xml:space="preserve">samples. We selected all 80 samples taken from the east side of each</w:t>
      </w:r>
      <w:r>
        <w:t xml:space="preserve"> </w:t>
      </w:r>
      <w:r>
        <w:t xml:space="preserve">plot (40 plots × 1 sample/plot × 2 visits/plot). To choose 45 samples</w:t>
      </w:r>
      <w:r>
        <w:t xml:space="preserve"> </w:t>
      </w:r>
      <w:r>
        <w:t xml:space="preserve">from the remaining 80, we selected plots spatially. First, we chose 20</w:t>
      </w:r>
      <w:r>
        <w:t xml:space="preserve"> </w:t>
      </w:r>
      <w:r>
        <w:t xml:space="preserve">samples from plots at 1 km spacing (10 plots × 2 visits/plot), then we</w:t>
      </w:r>
      <w:r>
        <w:t xml:space="preserve"> </w:t>
      </w:r>
      <w:r>
        <w:t xml:space="preserve">chose 25 of 26 samples from another 13 plots that were maximally distant</w:t>
      </w:r>
      <w:r>
        <w:t xml:space="preserve"> </w:t>
      </w:r>
      <w:r>
        <w:t xml:space="preserve">from these 10 plots (13 plots × 2 visits/plot). These 45 samples from</w:t>
      </w:r>
      <w:r>
        <w:t xml:space="preserve"> </w:t>
      </w:r>
      <w:r>
        <w:t xml:space="preserve">west plot halves were intended to be used for estimating occupancy</w:t>
      </w:r>
      <w:r>
        <w:t xml:space="preserve"> </w:t>
      </w:r>
      <w:r>
        <w:t xml:space="preserve">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&amp;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</w:t>
      </w:r>
      <w:r>
        <w:t xml:space="preserve"> </w:t>
      </w:r>
      <w:r>
        <w:t xml:space="preserve">al. 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</w:t>
      </w:r>
      <w:r>
        <w:t xml:space="preserve"> </w:t>
      </w:r>
      <w:r>
        <w:t xml:space="preserve">data. Species occurrence data have been made available via Arctos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29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0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1" w:name="data-processing"/>
      <w:r>
        <w:t xml:space="preserve">Data processing</w:t>
      </w:r>
      <w:bookmarkEnd w:id="31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&amp;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</w:t>
      </w:r>
      <w:r>
        <w:t xml:space="preserve"> </w:t>
      </w:r>
      <w:r>
        <w:t xml:space="preserve">Clark et al. 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all metabarcoding-based occurrences from sweep net samples</w:t>
      </w:r>
      <w:r>
        <w:t xml:space="preserve"> </w:t>
      </w:r>
      <w:r>
        <w:t xml:space="preserve">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2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</w:t>
      </w:r>
      <w:r>
        <w:t xml:space="preserve"> </w:t>
      </w:r>
      <w:r>
        <w:t xml:space="preserve">molecular operational taxonomic units (MOTUS) where 10 or more</w:t>
      </w:r>
      <w:r>
        <w:t xml:space="preserve"> </w:t>
      </w:r>
      <w:r>
        <w:t xml:space="preserve">occurrences were observed, we attempted to improve identifications by</w:t>
      </w:r>
      <w:r>
        <w:t xml:space="preserve"> </w:t>
      </w:r>
      <w:r>
        <w:t xml:space="preserve">submitting the corresponding sequences to BOLD’s Identification Engince</w:t>
      </w:r>
      <w:r>
        <w:t xml:space="preserve"> </w:t>
      </w:r>
      <w:r>
        <w:t xml:space="preserve">and NCBI BLASTn. We 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bookmarkStart w:id="62" w:name="refs"/>
    <w:bookmarkStart w:id="36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Congress. 1997. 111 Stat. 1252 - National Wildlife</w:t>
      </w:r>
      <w:r>
        <w:t xml:space="preserve"> </w:t>
      </w:r>
      <w:r>
        <w:t xml:space="preserve">Refuge System Improvement Act of 1997. Pages 1252–1260 in United States</w:t>
      </w:r>
      <w:r>
        <w:t xml:space="preserve"> </w:t>
      </w:r>
      <w:r>
        <w:t xml:space="preserve">Statutes at Large, Volume 111, 105</w:t>
      </w:r>
      <w:r>
        <w:t xml:space="preserve">th</w:t>
      </w:r>
      <w:r>
        <w:t xml:space="preserve"> </w:t>
      </w:r>
      <w:r>
        <w:t xml:space="preserve">Congress, 1</w:t>
      </w:r>
      <w:r>
        <w:t xml:space="preserve">st</w:t>
      </w:r>
      <w:r>
        <w:t xml:space="preserve"> </w:t>
      </w:r>
      <w:r>
        <w:t xml:space="preserve">Session. Available from</w:t>
      </w:r>
      <w:r>
        <w:t xml:space="preserve"> </w:t>
      </w:r>
      <w:hyperlink r:id="rId35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6"/>
    <w:bookmarkStart w:id="38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Congress. 1980. Alaska National Interest Lands</w:t>
      </w:r>
      <w:r>
        <w:t xml:space="preserve"> </w:t>
      </w:r>
      <w:r>
        <w:t xml:space="preserve">Conservation Act. in 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Available from</w:t>
      </w:r>
      <w:r>
        <w:t xml:space="preserve"> </w:t>
      </w:r>
      <w:hyperlink r:id="rId37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8"/>
    <w:bookmarkStart w:id="39" w:name="ref-Blaxter_et_al_2005"/>
    <w:p>
      <w:pPr>
        <w:pStyle w:val="Bibliography"/>
      </w:pPr>
      <w:r>
        <w:t xml:space="preserve">Blaxter M, Mann J, Chapman T, Thomas F, Whitton C, Floyd R, Abebe E.</w:t>
      </w:r>
      <w:r>
        <w:t xml:space="preserve"> </w:t>
      </w:r>
      <w:r>
        <w:t xml:space="preserve">2005. Defining operational taxonomic units using DNA barcode data.</w:t>
      </w:r>
      <w:r>
        <w:t xml:space="preserve"> </w:t>
      </w:r>
      <w:r>
        <w:t xml:space="preserve">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:1935–1943.</w:t>
      </w:r>
    </w:p>
    <w:bookmarkEnd w:id="39"/>
    <w:bookmarkStart w:id="40" w:name="ref-Bowser_et_al_2020"/>
    <w:p>
      <w:pPr>
        <w:pStyle w:val="Bibliography"/>
      </w:pPr>
      <w:r>
        <w:t xml:space="preserve">Bowser ML, Brassfield R, Dziergowski A, Eskelin T, Hester J, Magness DR,</w:t>
      </w:r>
      <w:r>
        <w:t xml:space="preserve"> </w:t>
      </w:r>
      <w:r>
        <w:t xml:space="preserve">McInnis M, Melvin T, Morton JM, Stone J. 2020. Towards conserving</w:t>
      </w:r>
      <w:r>
        <w:t xml:space="preserve"> </w:t>
      </w:r>
      <w:r>
        <w:t xml:space="preserve">natural diversity: A biotic inventory by observations, specimens, DNA</w:t>
      </w:r>
      <w:r>
        <w:t xml:space="preserve"> </w:t>
      </w:r>
      <w:r>
        <w:t xml:space="preserve">barcoding and high-throughput sequencing methods. Biodiversity Data</w:t>
      </w:r>
      <w:r>
        <w:t xml:space="preserve"> </w:t>
      </w:r>
      <w:r>
        <w:t xml:space="preserve">Journal</w:t>
      </w:r>
      <w:r>
        <w:t xml:space="preserve"> </w:t>
      </w:r>
      <w:r>
        <w:rPr>
          <w:b/>
        </w:rPr>
        <w:t xml:space="preserve">8</w:t>
      </w:r>
      <w:r>
        <w:t xml:space="preserve">:e50124.</w:t>
      </w:r>
    </w:p>
    <w:bookmarkEnd w:id="40"/>
    <w:bookmarkStart w:id="41" w:name="ref-Bowser_et_al_2017"/>
    <w:p>
      <w:pPr>
        <w:pStyle w:val="Bibliography"/>
      </w:pPr>
      <w:r>
        <w:t xml:space="preserve">Bowser ML, Morton J, Hanson J, Magness D, Okuly M. 2017. Arthropod and</w:t>
      </w:r>
      <w:r>
        <w:t xml:space="preserve"> </w:t>
      </w:r>
      <w:r>
        <w:t xml:space="preserve">oligochaete assemblages from grasslands of the southern Kenai Peninsula,</w:t>
      </w:r>
      <w:r>
        <w:t xml:space="preserve"> </w:t>
      </w:r>
      <w:r>
        <w:t xml:space="preserve">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:e10792.</w:t>
      </w:r>
    </w:p>
    <w:bookmarkEnd w:id="41"/>
    <w:bookmarkStart w:id="42" w:name="ref-Bush_2019"/>
    <w:p>
      <w:pPr>
        <w:pStyle w:val="Bibliography"/>
      </w:pPr>
      <w:r>
        <w:t xml:space="preserve">Bush A, Compson ZG, Monk WA, Porter TM, Steeves R, Emilson E, Gagne N,</w:t>
      </w:r>
      <w:r>
        <w:t xml:space="preserve"> </w:t>
      </w:r>
      <w:r>
        <w:t xml:space="preserve">Hajibabaei M, Roy M, Baird DJ. 2019. Studying ecosystems with DNA</w:t>
      </w:r>
      <w:r>
        <w:t xml:space="preserve"> </w:t>
      </w:r>
      <w:r>
        <w:t xml:space="preserve">metabarcoding: Lessons from biomonitoring of aquatic macroinvertebrates.</w:t>
      </w:r>
      <w:r>
        <w:t xml:space="preserve"> </w:t>
      </w:r>
      <w:r>
        <w:t xml:space="preserve">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:434.</w:t>
      </w:r>
    </w:p>
    <w:bookmarkEnd w:id="42"/>
    <w:bookmarkStart w:id="43" w:name="ref-Clark_et_al_2016"/>
    <w:p>
      <w:pPr>
        <w:pStyle w:val="Bibliography"/>
      </w:pPr>
      <w:r>
        <w:t xml:space="preserve">Clark K, Karsch-Mizrachi I, Lipman DJ, Ostell J, Sayers EW. 2016.</w:t>
      </w:r>
      <w:r>
        <w:t xml:space="preserve"> </w:t>
      </w:r>
      <w:r>
        <w:t xml:space="preserve">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:D67–D72.</w:t>
      </w:r>
    </w:p>
    <w:bookmarkEnd w:id="43"/>
    <w:bookmarkStart w:id="44" w:name="ref-Gibson_et_al_2015"/>
    <w:p>
      <w:pPr>
        <w:pStyle w:val="Bibliography"/>
      </w:pPr>
      <w:r>
        <w:t xml:space="preserve">Gibson JF, Shokralla S, Curry C, Baird DJ, Monk WA, King I, Hajibabaei</w:t>
      </w:r>
      <w:r>
        <w:t xml:space="preserve"> </w:t>
      </w:r>
      <w:r>
        <w:t xml:space="preserve">M. 2015. Large-scale biomonitoring of remote and threatened ecosystems</w:t>
      </w:r>
      <w:r>
        <w:t xml:space="preserve"> </w:t>
      </w:r>
      <w:r>
        <w:t xml:space="preserve">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:e0138432.</w:t>
      </w:r>
    </w:p>
    <w:bookmarkEnd w:id="44"/>
    <w:bookmarkStart w:id="45" w:name="ref-Hajibabaei_et_al_2016"/>
    <w:p>
      <w:pPr>
        <w:pStyle w:val="Bibliography"/>
      </w:pPr>
      <w:r>
        <w:t xml:space="preserve">Hajibabaei M, Baird DJ, Fahner NA, Beiko R, Golding GB. 2016. A new way</w:t>
      </w:r>
      <w:r>
        <w:t xml:space="preserve"> </w:t>
      </w:r>
      <w:r>
        <w:t xml:space="preserve">to contemplate Darwin’s tangled bank: How DNA barcodes are reconnecting</w:t>
      </w:r>
      <w:r>
        <w:t xml:space="preserve"> </w:t>
      </w:r>
      <w:r>
        <w:t xml:space="preserve">biodiversity science and biomonitoring. Philosophical Transactions of</w:t>
      </w:r>
      <w:r>
        <w:t xml:space="preserve"> </w:t>
      </w:r>
      <w:r>
        <w:t xml:space="preserve">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:20150330.</w:t>
      </w:r>
    </w:p>
    <w:bookmarkEnd w:id="45"/>
    <w:bookmarkStart w:id="47" w:name="ref-Homer_et_al_2015"/>
    <w:p>
      <w:pPr>
        <w:pStyle w:val="Bibliography"/>
      </w:pPr>
      <w:r>
        <w:t xml:space="preserve">Homer CG, Dewitz JA, Yang L, Jin S, Danielson P, Xian G, Coulston J,</w:t>
      </w:r>
      <w:r>
        <w:t xml:space="preserve"> </w:t>
      </w:r>
      <w:r>
        <w:t xml:space="preserve">Herold ND, Wickham JD, Megown K. 2015. Completion of the 2011 National</w:t>
      </w:r>
      <w:r>
        <w:t xml:space="preserve"> </w:t>
      </w:r>
      <w:r>
        <w:t xml:space="preserve">Land Cover Database for the conterminous United States – representing a</w:t>
      </w:r>
      <w:r>
        <w:t xml:space="preserve"> </w:t>
      </w:r>
      <w:r>
        <w:t xml:space="preserve">decade of land cover change information. Photogrammetric Engineering and</w:t>
      </w:r>
      <w:r>
        <w:t xml:space="preserve"> </w:t>
      </w:r>
      <w:r>
        <w:t xml:space="preserve">Remote Sensing</w:t>
      </w:r>
      <w:r>
        <w:t xml:space="preserve"> </w:t>
      </w:r>
      <w:r>
        <w:rPr>
          <w:b/>
        </w:rPr>
        <w:t xml:space="preserve">81</w:t>
      </w:r>
      <w:r>
        <w:t xml:space="preserve">:345–354. Available from</w:t>
      </w:r>
      <w:r>
        <w:t xml:space="preserve"> </w:t>
      </w:r>
      <w:hyperlink r:id="rId46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47"/>
    <w:bookmarkStart w:id="49" w:name="ref-Jenkerson_2010"/>
    <w:p>
      <w:pPr>
        <w:pStyle w:val="Bibliography"/>
      </w:pPr>
      <w:r>
        <w:t xml:space="preserve">Jenkerson CB, Maiersperger T, Schmidt G. 2010. eMODIS: A user-friendly</w:t>
      </w:r>
      <w:r>
        <w:t xml:space="preserve"> </w:t>
      </w:r>
      <w:r>
        <w:t xml:space="preserve">data source. Open-File Report 2010-1055. U.S. Geological Survey, Reston,</w:t>
      </w:r>
      <w:r>
        <w:t xml:space="preserve"> </w:t>
      </w:r>
      <w:r>
        <w:t xml:space="preserve">Virginia. Available from</w:t>
      </w:r>
      <w:r>
        <w:t xml:space="preserve"> </w:t>
      </w:r>
      <w:hyperlink r:id="rId48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49"/>
    <w:bookmarkStart w:id="50" w:name="ref-MacKenzie_et_al_2002"/>
    <w:p>
      <w:pPr>
        <w:pStyle w:val="Bibliography"/>
      </w:pPr>
      <w:r>
        <w:t xml:space="preserve">MacKenzie DI, Nichols JD, Lachman GB, Droege S, Royle JA, Langtimm CA.</w:t>
      </w:r>
      <w:r>
        <w:t xml:space="preserve"> </w:t>
      </w:r>
      <w:r>
        <w:t xml:space="preserve">2002. Estimating site occupancy rates when detection probabilities are</w:t>
      </w:r>
      <w:r>
        <w:t xml:space="preserve"> </w:t>
      </w:r>
      <w:r>
        <w:t xml:space="preserve">less than one. Ecology</w:t>
      </w:r>
      <w:r>
        <w:t xml:space="preserve"> </w:t>
      </w:r>
      <w:r>
        <w:rPr>
          <w:b/>
        </w:rPr>
        <w:t xml:space="preserve">83</w:t>
      </w:r>
      <w:r>
        <w:t xml:space="preserve">:2248–2255.</w:t>
      </w:r>
    </w:p>
    <w:bookmarkEnd w:id="50"/>
    <w:bookmarkStart w:id="51" w:name="ref-MacKenzie_et_al_2006"/>
    <w:p>
      <w:pPr>
        <w:pStyle w:val="Bibliography"/>
      </w:pPr>
      <w:r>
        <w:t xml:space="preserve">MacKenzie DI, Nichols JD, Royle JA, Pollock KH, Bailey LL, Hines JE.</w:t>
      </w:r>
      <w:r>
        <w:t xml:space="preserve"> </w:t>
      </w:r>
      <w:r>
        <w:t xml:space="preserve">2006. Occupancy Estimation and Modeling. Elsevier, New York.</w:t>
      </w:r>
    </w:p>
    <w:bookmarkEnd w:id="51"/>
    <w:bookmarkStart w:id="52" w:name="ref-Magness_et_al_2008"/>
    <w:p>
      <w:pPr>
        <w:pStyle w:val="Bibliography"/>
      </w:pPr>
      <w:r>
        <w:t xml:space="preserve">Magness DR, Huettmann F, Morton JM. 2008. Using Random Forests to</w:t>
      </w:r>
      <w:r>
        <w:t xml:space="preserve"> </w:t>
      </w:r>
      <w:r>
        <w:t xml:space="preserve">provide predicted species distribution maps as a metric for ecological</w:t>
      </w:r>
      <w:r>
        <w:t xml:space="preserve"> </w:t>
      </w:r>
      <w:r>
        <w:t xml:space="preserve">inventory &amp; monitoring programs. Pages 209–229 in T. G. Smolinski, M. G.</w:t>
      </w:r>
      <w:r>
        <w:t xml:space="preserve"> </w:t>
      </w:r>
      <w:r>
        <w:t xml:space="preserve">Milanova, and A.-E. Hassanien, editors. Applications of Computational</w:t>
      </w:r>
      <w:r>
        <w:t xml:space="preserve"> </w:t>
      </w:r>
      <w:r>
        <w:t xml:space="preserve">Intelligence in Biology: Current Trends and Open Problems.</w:t>
      </w:r>
      <w:r>
        <w:t xml:space="preserve"> </w:t>
      </w:r>
      <w:r>
        <w:t xml:space="preserve">Springer-Verlag, Berlin.</w:t>
      </w:r>
    </w:p>
    <w:bookmarkEnd w:id="52"/>
    <w:bookmarkStart w:id="54" w:name="ref-Morton_et_al_2009"/>
    <w:p>
      <w:pPr>
        <w:pStyle w:val="Bibliography"/>
      </w:pPr>
      <w:r>
        <w:t xml:space="preserve">Morton JM, Bowser ML, Berg E, Magness D, Eskelin T. 2009. Long Term</w:t>
      </w:r>
      <w:r>
        <w:t xml:space="preserve"> </w:t>
      </w:r>
      <w:r>
        <w:t xml:space="preserve">Ecological Monitoring Program on the Kenai National Wildlife Refuge,</w:t>
      </w:r>
      <w:r>
        <w:t xml:space="preserve"> </w:t>
      </w:r>
      <w:r>
        <w:t xml:space="preserve">Alaska: An FIA adjunct inventory. Pages 1–17 in W. McWilliams, G.</w:t>
      </w:r>
      <w:r>
        <w:t xml:space="preserve"> </w:t>
      </w:r>
      <w:r>
        <w:t xml:space="preserve">Moisen, and R. Czaplewski, editors. 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Available from</w:t>
      </w:r>
      <w:r>
        <w:t xml:space="preserve"> </w:t>
      </w:r>
      <w:hyperlink r:id="rId53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54"/>
    <w:bookmarkStart w:id="55" w:name="ref-Penev_et_al_2017"/>
    <w:p>
      <w:pPr>
        <w:pStyle w:val="Bibliography"/>
      </w:pPr>
      <w:r>
        <w:t xml:space="preserve">Penev L et al. 2017. Strategies and guidelines for scholarly publishing</w:t>
      </w:r>
      <w:r>
        <w:t xml:space="preserve"> </w:t>
      </w:r>
      <w:r>
        <w:t xml:space="preserve">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:e12431.</w:t>
      </w:r>
    </w:p>
    <w:bookmarkEnd w:id="55"/>
    <w:bookmarkStart w:id="56" w:name="ref-Ratnasingham_Hebert_2007"/>
    <w:p>
      <w:pPr>
        <w:pStyle w:val="Bibliography"/>
      </w:pPr>
      <w:r>
        <w:t xml:space="preserve">Ratnasingham S, Hebert PDN. 2007. BOLD: The Barcode of Life Data System</w:t>
      </w:r>
      <w:r>
        <w:t xml:space="preserve"> </w:t>
      </w:r>
      <w:r>
        <w:t xml:space="preserve">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:355–364.</w:t>
      </w:r>
    </w:p>
    <w:bookmarkEnd w:id="56"/>
    <w:bookmarkStart w:id="57" w:name="ref-Ratnasingham_Hebert_2013"/>
    <w:p>
      <w:pPr>
        <w:pStyle w:val="Bibliography"/>
      </w:pPr>
      <w:r>
        <w:t xml:space="preserve">Ratnasingham S, Hebert PDN. 2013. A DNA-based registry for all animal</w:t>
      </w:r>
      <w:r>
        <w:t xml:space="preserve"> </w:t>
      </w:r>
      <w:r>
        <w:t xml:space="preserve">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:e66213.</w:t>
      </w:r>
    </w:p>
    <w:bookmarkEnd w:id="57"/>
    <w:bookmarkStart w:id="59" w:name="ref-Taylor_1983"/>
    <w:p>
      <w:pPr>
        <w:pStyle w:val="Bibliography"/>
      </w:pPr>
      <w:r>
        <w:t xml:space="preserve">Taylor RW. 1983. Descriptive taxonomy: Past, present, and future. Pages</w:t>
      </w:r>
      <w:r>
        <w:t xml:space="preserve"> </w:t>
      </w:r>
      <w:r>
        <w:t xml:space="preserve">93–134 in E. Highley and R. W. Taylor, editors. 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Available from</w:t>
      </w:r>
      <w:r>
        <w:t xml:space="preserve"> </w:t>
      </w:r>
      <w:hyperlink r:id="rId58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59"/>
    <w:bookmarkStart w:id="61" w:name="ref-Woodward_Beever_2010"/>
    <w:p>
      <w:pPr>
        <w:pStyle w:val="Bibliography"/>
      </w:pPr>
      <w:r>
        <w:t xml:space="preserve">Woodward A, Beever EA. 2010. Framework for ecological monitoring on</w:t>
      </w:r>
      <w:r>
        <w:t xml:space="preserve"> </w:t>
      </w:r>
      <w:r>
        <w:t xml:space="preserve">lands of Alaska National Wildlife Refuges and their partners. Page 94.</w:t>
      </w:r>
      <w:r>
        <w:t xml:space="preserve"> </w:t>
      </w:r>
      <w:r>
        <w:t xml:space="preserve">Report 2010-1300. Reston, Virginia. Available from</w:t>
      </w:r>
      <w:r>
        <w:t xml:space="preserve"> </w:t>
      </w:r>
      <w:hyperlink r:id="rId60">
        <w:r>
          <w:rPr>
            <w:rStyle w:val="Hyperlink"/>
          </w:rPr>
          <w:t xml:space="preserve">http://pubs.er.usgs.gov/publication/ofr20101300</w:t>
        </w:r>
      </w:hyperlink>
      <w:r>
        <w:t xml:space="preserve">.</w:t>
      </w:r>
    </w:p>
    <w:bookmarkEnd w:id="61"/>
    <w:bookmarkEnd w:id="62"/>
    <w:p>
      <w:pPr>
        <w:pStyle w:val="Heading1"/>
      </w:pPr>
      <w:bookmarkStart w:id="63" w:name="figures-and-figure-captions"/>
      <w:r>
        <w:t xml:space="preserve">Figures and Figure Captions</w:t>
      </w:r>
      <w:bookmarkEnd w:id="63"/>
    </w:p>
    <w:sectPr w:rsidR="00ED04FA" w:rsidRPr="001F4C00" w:rsidSect="006E462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57D7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7D73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77862"/>
    <w:pPr>
      <w:spacing w:after="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7786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572D"/>
    <w:pPr>
      <w:keepNext/>
      <w:keepLines/>
      <w:spacing w:after="0" w:line="360" w:lineRule="auto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77862"/>
    <w:pPr>
      <w:keepNext/>
      <w:keepLines/>
      <w:spacing w:after="0" w:line="36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ED04FA"/>
    <w:pPr>
      <w:spacing w:line="36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58" Target="http://hdl.handle.net/102.100.100/286670?index=1" TargetMode="External" /><Relationship Type="http://schemas.openxmlformats.org/officeDocument/2006/relationships/hyperlink" Id="rId60" Target="http://pubs.er.usgs.gov/publication/ofr20101300" TargetMode="External" /><Relationship Type="http://schemas.openxmlformats.org/officeDocument/2006/relationships/hyperlink" Id="rId48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53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46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58" Target="http://hdl.handle.net/102.100.100/286670?index=1" TargetMode="External" /><Relationship Type="http://schemas.openxmlformats.org/officeDocument/2006/relationships/hyperlink" Id="rId60" Target="http://pubs.er.usgs.gov/publication/ofr20101300" TargetMode="External" /><Relationship Type="http://schemas.openxmlformats.org/officeDocument/2006/relationships/hyperlink" Id="rId48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53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46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374</Characters>
  <Application>Microsoft Office Word</Application>
  <DocSecurity>0</DocSecurity>
  <Lines>3</Lines>
  <Paragraphs>1</Paragraphs>
  <ScaleCrop>false</ScaleCrop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2020-11-17T17:12:11Z</dcterms:created>
  <dcterms:modified xsi:type="dcterms:W3CDTF">2020-11-17T17:12:11Z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conservation-biology.csl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