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710" w:rsidRDefault="00E80710" w:rsidP="00E80710">
      <w:pPr>
        <w:rPr>
          <w:rFonts w:ascii="Arial" w:hAnsi="Arial" w:cs="Arial"/>
          <w:b/>
          <w:sz w:val="21"/>
        </w:rPr>
      </w:pPr>
    </w:p>
    <w:p w:rsidR="00E80710" w:rsidRDefault="00E80710" w:rsidP="00E80710">
      <w:pPr>
        <w:rPr>
          <w:rFonts w:ascii="Arial" w:hAnsi="Arial" w:cs="Arial"/>
          <w:b/>
          <w:sz w:val="21"/>
        </w:rPr>
      </w:pPr>
    </w:p>
    <w:p w:rsidR="00E80710" w:rsidRPr="00641542" w:rsidRDefault="00E6478E" w:rsidP="00E80710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Flight Trial General</w:t>
      </w:r>
      <w:r w:rsidR="00E80710" w:rsidRPr="00641542">
        <w:rPr>
          <w:rFonts w:ascii="Arial" w:hAnsi="Arial" w:cs="Arial"/>
          <w:b/>
          <w:sz w:val="20"/>
        </w:rPr>
        <w:t xml:space="preserve"> Protocol</w:t>
      </w:r>
    </w:p>
    <w:p w:rsidR="00E80710" w:rsidRDefault="00810858" w:rsidP="00E8071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First Created: </w:t>
      </w:r>
      <w:r w:rsidR="00E80710" w:rsidRPr="00641542">
        <w:rPr>
          <w:rFonts w:ascii="Arial" w:hAnsi="Arial" w:cs="Arial"/>
          <w:sz w:val="20"/>
        </w:rPr>
        <w:t>Nov 7, 2019</w:t>
      </w:r>
    </w:p>
    <w:p w:rsidR="00810858" w:rsidRPr="00641542" w:rsidRDefault="00810858" w:rsidP="00E8071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Updated: Jan 31, 2020</w:t>
      </w:r>
    </w:p>
    <w:p w:rsidR="00E80710" w:rsidRDefault="00E80710" w:rsidP="00E80710">
      <w:pPr>
        <w:rPr>
          <w:rFonts w:ascii="Arial" w:hAnsi="Arial" w:cs="Arial"/>
          <w:sz w:val="20"/>
        </w:rPr>
      </w:pPr>
    </w:p>
    <w:p w:rsidR="00E6478E" w:rsidRDefault="00E6478E" w:rsidP="00E8071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There are two visible flight behaviors that soapberry bugs (SBB) exhibit: bursting flight and continuous flight. From previous flight trials, we have defined each category as the following:</w:t>
      </w:r>
    </w:p>
    <w:p w:rsidR="00E6478E" w:rsidRDefault="00E6478E" w:rsidP="00E6478E">
      <w:pPr>
        <w:ind w:left="1440"/>
        <w:rPr>
          <w:rFonts w:ascii="Arial" w:hAnsi="Arial" w:cs="Arial"/>
          <w:sz w:val="20"/>
        </w:rPr>
      </w:pPr>
      <w:r w:rsidRPr="00E6478E">
        <w:rPr>
          <w:rFonts w:ascii="Arial" w:hAnsi="Arial" w:cs="Arial"/>
          <w:b/>
          <w:i/>
          <w:sz w:val="20"/>
        </w:rPr>
        <w:t>bursting</w:t>
      </w:r>
      <w:r>
        <w:rPr>
          <w:rFonts w:ascii="Arial" w:hAnsi="Arial" w:cs="Arial"/>
          <w:sz w:val="20"/>
        </w:rPr>
        <w:t xml:space="preserve"> -  bug flew but did not maintain flight behavior for at least 10 minutes</w:t>
      </w:r>
    </w:p>
    <w:p w:rsidR="00E6478E" w:rsidRPr="0060694B" w:rsidRDefault="00E6478E" w:rsidP="0060694B">
      <w:pPr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b/>
          <w:i/>
          <w:sz w:val="20"/>
        </w:rPr>
        <w:t>continuous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sz w:val="20"/>
        </w:rPr>
        <w:t>– bug maintained flight for longer than 10 minutes</w:t>
      </w:r>
    </w:p>
    <w:p w:rsidR="00E6478E" w:rsidRPr="00E6478E" w:rsidRDefault="00E6478E" w:rsidP="00E6478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During a flight trial, bugs could exhibit both bursting and continuous flight. These definitions factor into how flight trials are conducted. </w:t>
      </w:r>
    </w:p>
    <w:p w:rsidR="006D035E" w:rsidRPr="00E6478E" w:rsidRDefault="006D035E" w:rsidP="00E6478E">
      <w:pPr>
        <w:rPr>
          <w:rFonts w:ascii="Arial" w:hAnsi="Arial" w:cs="Arial"/>
          <w:sz w:val="20"/>
        </w:rPr>
      </w:pPr>
    </w:p>
    <w:p w:rsidR="00E80710" w:rsidRDefault="00E80710" w:rsidP="00E80710">
      <w:pPr>
        <w:rPr>
          <w:rFonts w:ascii="Arial" w:hAnsi="Arial" w:cs="Arial"/>
          <w:b/>
          <w:sz w:val="20"/>
        </w:rPr>
      </w:pPr>
      <w:r w:rsidRPr="00641542">
        <w:rPr>
          <w:rFonts w:ascii="Arial" w:hAnsi="Arial" w:cs="Arial"/>
          <w:b/>
          <w:sz w:val="20"/>
        </w:rPr>
        <w:t>Procedure:</w:t>
      </w:r>
    </w:p>
    <w:p w:rsidR="006D035E" w:rsidRDefault="006D035E" w:rsidP="00E80710">
      <w:pPr>
        <w:rPr>
          <w:rFonts w:ascii="Arial" w:hAnsi="Arial" w:cs="Arial"/>
          <w:b/>
          <w:sz w:val="20"/>
        </w:rPr>
      </w:pPr>
    </w:p>
    <w:p w:rsidR="006D035E" w:rsidRPr="006D035E" w:rsidRDefault="006D035E" w:rsidP="00E80710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      Incubator conditions: </w:t>
      </w:r>
      <w:r>
        <w:rPr>
          <w:rFonts w:ascii="Arial" w:hAnsi="Arial" w:cs="Arial"/>
          <w:sz w:val="20"/>
        </w:rPr>
        <w:t>28 C, 70% RH, 14:10 (L:D) 8 am sunrise and 10 pm sunset</w:t>
      </w:r>
    </w:p>
    <w:p w:rsidR="00E80710" w:rsidRDefault="00E80710" w:rsidP="00E80710">
      <w:pPr>
        <w:rPr>
          <w:rFonts w:ascii="Arial" w:hAnsi="Arial" w:cs="Arial"/>
          <w:b/>
          <w:sz w:val="20"/>
        </w:rPr>
      </w:pPr>
    </w:p>
    <w:p w:rsidR="00DF2D45" w:rsidRDefault="00DF2D45" w:rsidP="00DF2D45">
      <w:pPr>
        <w:ind w:left="36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day before</w:t>
      </w:r>
    </w:p>
    <w:p w:rsidR="00DF2D45" w:rsidRPr="00641542" w:rsidRDefault="00DF2D45" w:rsidP="00DF2D45">
      <w:pPr>
        <w:ind w:left="360"/>
        <w:rPr>
          <w:rFonts w:ascii="Arial" w:hAnsi="Arial" w:cs="Arial"/>
          <w:b/>
          <w:sz w:val="20"/>
        </w:rPr>
      </w:pPr>
    </w:p>
    <w:p w:rsidR="00DF2D45" w:rsidRDefault="00DF2D45" w:rsidP="00DF2D45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Pull 50 bugs if using 1 flight mill and 100 bugs if using 2 flight mills, following the </w:t>
      </w:r>
      <w:r>
        <w:rPr>
          <w:rFonts w:ascii="Arial" w:hAnsi="Arial" w:cs="Arial"/>
          <w:sz w:val="20"/>
        </w:rPr>
        <w:t>datasheet. The datasheet has randomized ID bug testing order.</w:t>
      </w:r>
    </w:p>
    <w:p w:rsidR="00DF2D45" w:rsidRDefault="00DF2D45" w:rsidP="00DF2D45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Then, use </w:t>
      </w:r>
      <w:r w:rsidRPr="00DF2D45">
        <w:rPr>
          <w:rFonts w:ascii="Arial" w:hAnsi="Arial" w:cs="Arial"/>
          <w:sz w:val="20"/>
        </w:rPr>
        <w:t xml:space="preserve">magnetic paint to paint </w:t>
      </w:r>
      <w:r>
        <w:rPr>
          <w:rFonts w:ascii="Arial" w:hAnsi="Arial" w:cs="Arial"/>
          <w:sz w:val="20"/>
        </w:rPr>
        <w:t>each</w:t>
      </w:r>
      <w:r w:rsidRPr="00DF2D45">
        <w:rPr>
          <w:rFonts w:ascii="Arial" w:hAnsi="Arial" w:cs="Arial"/>
          <w:sz w:val="20"/>
        </w:rPr>
        <w:t xml:space="preserve"> bug’s pronotum. Bugs are attached to the flight mill magnetically.</w:t>
      </w:r>
    </w:p>
    <w:p w:rsidR="00DF2D45" w:rsidRPr="00DF2D45" w:rsidRDefault="00DF2D45" w:rsidP="00DF2D45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0"/>
        </w:rPr>
      </w:pPr>
      <w:r w:rsidRPr="00DF2D45">
        <w:rPr>
          <w:rFonts w:ascii="Arial" w:hAnsi="Arial" w:cs="Arial"/>
          <w:sz w:val="20"/>
        </w:rPr>
        <w:t xml:space="preserve">Add sugar water in a 2.0 mL microcentrifuge tube made from </w:t>
      </w:r>
      <w:r>
        <w:rPr>
          <w:rFonts w:ascii="Arial" w:hAnsi="Arial" w:cs="Arial"/>
          <w:sz w:val="20"/>
        </w:rPr>
        <w:t>7 volumes of Fruit Punch Gatorade and 3 volumes of DI water and stoppered with cotton.</w:t>
      </w:r>
    </w:p>
    <w:p w:rsidR="00DF2D45" w:rsidRDefault="00DF2D45" w:rsidP="00DF2D45">
      <w:pPr>
        <w:rPr>
          <w:rFonts w:ascii="Arial" w:hAnsi="Arial" w:cs="Arial"/>
          <w:sz w:val="20"/>
        </w:rPr>
      </w:pPr>
    </w:p>
    <w:p w:rsidR="00DF2D45" w:rsidRPr="00DF2D45" w:rsidRDefault="00DF2D45" w:rsidP="00DF2D45">
      <w:pPr>
        <w:ind w:left="360"/>
        <w:rPr>
          <w:rFonts w:ascii="Arial" w:hAnsi="Arial" w:cs="Arial"/>
          <w:b/>
          <w:sz w:val="20"/>
        </w:rPr>
      </w:pPr>
      <w:r w:rsidRPr="00DF2D45">
        <w:rPr>
          <w:rFonts w:ascii="Arial" w:hAnsi="Arial" w:cs="Arial"/>
          <w:b/>
          <w:sz w:val="20"/>
        </w:rPr>
        <w:t>trial day</w:t>
      </w:r>
    </w:p>
    <w:p w:rsidR="00DF2D45" w:rsidRPr="00DF2D45" w:rsidRDefault="00DF2D45" w:rsidP="00DF2D45">
      <w:pPr>
        <w:ind w:left="360"/>
        <w:rPr>
          <w:rFonts w:ascii="Arial" w:hAnsi="Arial" w:cs="Arial"/>
          <w:sz w:val="20"/>
        </w:rPr>
      </w:pPr>
    </w:p>
    <w:p w:rsidR="00E80710" w:rsidRPr="00641542" w:rsidRDefault="00B317BE" w:rsidP="00DF2D45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Turn</w:t>
      </w:r>
      <w:r w:rsidR="00E80710" w:rsidRPr="00641542">
        <w:rPr>
          <w:rFonts w:ascii="Arial" w:hAnsi="Arial" w:cs="Arial"/>
          <w:sz w:val="20"/>
        </w:rPr>
        <w:t xml:space="preserve"> on the flight mill incubator (</w:t>
      </w:r>
      <w:r>
        <w:rPr>
          <w:rFonts w:ascii="Arial" w:hAnsi="Arial" w:cs="Arial"/>
          <w:sz w:val="20"/>
        </w:rPr>
        <w:t xml:space="preserve">ON/OFF </w:t>
      </w:r>
      <w:r w:rsidR="00E80710" w:rsidRPr="00641542">
        <w:rPr>
          <w:rFonts w:ascii="Arial" w:hAnsi="Arial" w:cs="Arial"/>
          <w:sz w:val="20"/>
        </w:rPr>
        <w:t xml:space="preserve">switch on the </w:t>
      </w:r>
      <w:r>
        <w:rPr>
          <w:rFonts w:ascii="Arial" w:hAnsi="Arial" w:cs="Arial"/>
          <w:sz w:val="20"/>
        </w:rPr>
        <w:t xml:space="preserve">upper </w:t>
      </w:r>
      <w:r w:rsidR="00E80710" w:rsidRPr="00641542">
        <w:rPr>
          <w:rFonts w:ascii="Arial" w:hAnsi="Arial" w:cs="Arial"/>
          <w:sz w:val="20"/>
        </w:rPr>
        <w:t>side of the incubator)</w:t>
      </w:r>
      <w:r>
        <w:rPr>
          <w:rFonts w:ascii="Arial" w:hAnsi="Arial" w:cs="Arial"/>
          <w:sz w:val="20"/>
        </w:rPr>
        <w:t xml:space="preserve">, the laptop, and the </w:t>
      </w:r>
      <w:r w:rsidR="00E80710" w:rsidRPr="00641542">
        <w:rPr>
          <w:rFonts w:ascii="Arial" w:hAnsi="Arial" w:cs="Arial"/>
          <w:sz w:val="20"/>
        </w:rPr>
        <w:t>solderless breadboard switches</w:t>
      </w:r>
      <w:r>
        <w:rPr>
          <w:rFonts w:ascii="Arial" w:hAnsi="Arial" w:cs="Arial"/>
          <w:sz w:val="20"/>
        </w:rPr>
        <w:t xml:space="preserve">. </w:t>
      </w:r>
    </w:p>
    <w:p w:rsidR="00B317BE" w:rsidRDefault="00B317BE" w:rsidP="00DF2D45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Gather</w:t>
      </w:r>
      <w:r w:rsidR="00E80710" w:rsidRPr="00641542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bugs for testing (could be stored in a separate incubator)</w:t>
      </w:r>
      <w:r w:rsidR="00E80710" w:rsidRPr="00641542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 xml:space="preserve">SBB are located in individual bug homes within labeled large boxes. Recommendation: sort bugs by color, then order them by ID according to the datasheet. </w:t>
      </w:r>
    </w:p>
    <w:p w:rsidR="00623113" w:rsidRDefault="00B317BE" w:rsidP="00DF2D45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Place the first </w:t>
      </w:r>
      <w:r w:rsidR="00623113">
        <w:rPr>
          <w:rFonts w:ascii="Arial" w:hAnsi="Arial" w:cs="Arial"/>
          <w:sz w:val="20"/>
        </w:rPr>
        <w:t xml:space="preserve">8-16 </w:t>
      </w:r>
      <w:r>
        <w:rPr>
          <w:rFonts w:ascii="Arial" w:hAnsi="Arial" w:cs="Arial"/>
          <w:sz w:val="20"/>
        </w:rPr>
        <w:t xml:space="preserve">ordered bugs on labeled </w:t>
      </w:r>
      <w:r w:rsidR="00623113">
        <w:rPr>
          <w:rFonts w:ascii="Arial" w:hAnsi="Arial" w:cs="Arial"/>
          <w:sz w:val="20"/>
        </w:rPr>
        <w:t>plastic box lids. Plastic box lids are labeled to match the chamber letter and number of the flight mill. For example,</w:t>
      </w:r>
    </w:p>
    <w:p w:rsidR="00623113" w:rsidRDefault="00623113" w:rsidP="00DF2D45">
      <w:pPr>
        <w:ind w:left="360"/>
        <w:rPr>
          <w:rFonts w:ascii="Arial" w:hAnsi="Arial" w:cs="Arial"/>
          <w:sz w:val="20"/>
        </w:rPr>
      </w:pPr>
    </w:p>
    <w:tbl>
      <w:tblPr>
        <w:tblStyle w:val="TableGrid"/>
        <w:tblpPr w:leftFromText="180" w:rightFromText="180" w:vertAnchor="text" w:horzAnchor="page" w:tblpX="3661" w:tblpY="62"/>
        <w:tblW w:w="2312" w:type="dxa"/>
        <w:tblLook w:val="04A0" w:firstRow="1" w:lastRow="0" w:firstColumn="1" w:lastColumn="0" w:noHBand="0" w:noVBand="1"/>
      </w:tblPr>
      <w:tblGrid>
        <w:gridCol w:w="1156"/>
        <w:gridCol w:w="1156"/>
      </w:tblGrid>
      <w:tr w:rsidR="00623113" w:rsidTr="00DF2D45">
        <w:trPr>
          <w:trHeight w:val="188"/>
        </w:trPr>
        <w:tc>
          <w:tcPr>
            <w:tcW w:w="2312" w:type="dxa"/>
            <w:gridSpan w:val="2"/>
          </w:tcPr>
          <w:p w:rsidR="00623113" w:rsidRDefault="00623113" w:rsidP="0062311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Flight mill cells</w:t>
            </w:r>
          </w:p>
        </w:tc>
      </w:tr>
      <w:tr w:rsidR="00623113" w:rsidTr="00DF2D45">
        <w:trPr>
          <w:trHeight w:val="396"/>
        </w:trPr>
        <w:tc>
          <w:tcPr>
            <w:tcW w:w="1156" w:type="dxa"/>
          </w:tcPr>
          <w:p w:rsidR="00623113" w:rsidRPr="00623113" w:rsidRDefault="00623113" w:rsidP="00623113">
            <w:pPr>
              <w:rPr>
                <w:rFonts w:ascii="Arial" w:hAnsi="Arial" w:cs="Arial"/>
                <w:color w:val="FF0000"/>
                <w:sz w:val="20"/>
              </w:rPr>
            </w:pPr>
            <w:r w:rsidRPr="00623113">
              <w:rPr>
                <w:rFonts w:ascii="Arial" w:hAnsi="Arial" w:cs="Arial"/>
                <w:color w:val="FF0000"/>
                <w:sz w:val="20"/>
              </w:rPr>
              <w:t>A-4</w:t>
            </w:r>
          </w:p>
        </w:tc>
        <w:tc>
          <w:tcPr>
            <w:tcW w:w="1156" w:type="dxa"/>
          </w:tcPr>
          <w:p w:rsidR="00623113" w:rsidRPr="00623113" w:rsidRDefault="00623113" w:rsidP="00623113">
            <w:pPr>
              <w:rPr>
                <w:rFonts w:ascii="Arial" w:hAnsi="Arial" w:cs="Arial"/>
                <w:color w:val="FF0000"/>
                <w:sz w:val="20"/>
              </w:rPr>
            </w:pPr>
            <w:r w:rsidRPr="00623113">
              <w:rPr>
                <w:rFonts w:ascii="Arial" w:hAnsi="Arial" w:cs="Arial"/>
                <w:color w:val="FF0000"/>
                <w:sz w:val="20"/>
              </w:rPr>
              <w:t>B-4</w:t>
            </w:r>
          </w:p>
        </w:tc>
      </w:tr>
      <w:tr w:rsidR="00623113" w:rsidTr="00DF2D45">
        <w:trPr>
          <w:trHeight w:val="396"/>
        </w:trPr>
        <w:tc>
          <w:tcPr>
            <w:tcW w:w="1156" w:type="dxa"/>
          </w:tcPr>
          <w:p w:rsidR="00623113" w:rsidRPr="00623113" w:rsidRDefault="00623113" w:rsidP="00623113">
            <w:pPr>
              <w:rPr>
                <w:rFonts w:ascii="Arial" w:hAnsi="Arial" w:cs="Arial"/>
                <w:color w:val="FF0000"/>
                <w:sz w:val="20"/>
              </w:rPr>
            </w:pPr>
            <w:r w:rsidRPr="00623113">
              <w:rPr>
                <w:rFonts w:ascii="Arial" w:hAnsi="Arial" w:cs="Arial"/>
                <w:color w:val="FF0000"/>
                <w:sz w:val="20"/>
              </w:rPr>
              <w:t>A-3</w:t>
            </w:r>
          </w:p>
        </w:tc>
        <w:tc>
          <w:tcPr>
            <w:tcW w:w="1156" w:type="dxa"/>
          </w:tcPr>
          <w:p w:rsidR="00623113" w:rsidRPr="00623113" w:rsidRDefault="00623113" w:rsidP="00623113">
            <w:pPr>
              <w:rPr>
                <w:rFonts w:ascii="Arial" w:hAnsi="Arial" w:cs="Arial"/>
                <w:color w:val="FF0000"/>
                <w:sz w:val="20"/>
              </w:rPr>
            </w:pPr>
            <w:r w:rsidRPr="00623113">
              <w:rPr>
                <w:rFonts w:ascii="Arial" w:hAnsi="Arial" w:cs="Arial"/>
                <w:color w:val="FF0000"/>
                <w:sz w:val="20"/>
              </w:rPr>
              <w:t>B-3</w:t>
            </w:r>
          </w:p>
        </w:tc>
      </w:tr>
      <w:tr w:rsidR="00623113" w:rsidTr="00DF2D45">
        <w:trPr>
          <w:trHeight w:val="372"/>
        </w:trPr>
        <w:tc>
          <w:tcPr>
            <w:tcW w:w="1156" w:type="dxa"/>
          </w:tcPr>
          <w:p w:rsidR="00623113" w:rsidRPr="00623113" w:rsidRDefault="00623113" w:rsidP="00623113">
            <w:pPr>
              <w:rPr>
                <w:rFonts w:ascii="Arial" w:hAnsi="Arial" w:cs="Arial"/>
                <w:color w:val="FF0000"/>
                <w:sz w:val="20"/>
              </w:rPr>
            </w:pPr>
            <w:r w:rsidRPr="00623113">
              <w:rPr>
                <w:rFonts w:ascii="Arial" w:hAnsi="Arial" w:cs="Arial"/>
                <w:color w:val="FF0000"/>
                <w:sz w:val="20"/>
              </w:rPr>
              <w:t>A-2</w:t>
            </w:r>
          </w:p>
        </w:tc>
        <w:tc>
          <w:tcPr>
            <w:tcW w:w="1156" w:type="dxa"/>
          </w:tcPr>
          <w:p w:rsidR="00623113" w:rsidRPr="00623113" w:rsidRDefault="00623113" w:rsidP="00623113">
            <w:pPr>
              <w:rPr>
                <w:rFonts w:ascii="Arial" w:hAnsi="Arial" w:cs="Arial"/>
                <w:color w:val="FF0000"/>
                <w:sz w:val="20"/>
              </w:rPr>
            </w:pPr>
            <w:r w:rsidRPr="00623113">
              <w:rPr>
                <w:rFonts w:ascii="Arial" w:hAnsi="Arial" w:cs="Arial"/>
                <w:color w:val="FF0000"/>
                <w:sz w:val="20"/>
              </w:rPr>
              <w:t>B-2</w:t>
            </w:r>
          </w:p>
        </w:tc>
      </w:tr>
      <w:tr w:rsidR="00623113" w:rsidTr="00DF2D45">
        <w:trPr>
          <w:trHeight w:val="396"/>
        </w:trPr>
        <w:tc>
          <w:tcPr>
            <w:tcW w:w="1156" w:type="dxa"/>
          </w:tcPr>
          <w:p w:rsidR="00623113" w:rsidRPr="00623113" w:rsidRDefault="00623113" w:rsidP="00623113">
            <w:pPr>
              <w:rPr>
                <w:rFonts w:ascii="Arial" w:hAnsi="Arial" w:cs="Arial"/>
                <w:color w:val="FF0000"/>
                <w:sz w:val="20"/>
              </w:rPr>
            </w:pPr>
            <w:r w:rsidRPr="00623113">
              <w:rPr>
                <w:rFonts w:ascii="Arial" w:hAnsi="Arial" w:cs="Arial"/>
                <w:color w:val="FF0000"/>
                <w:sz w:val="20"/>
              </w:rPr>
              <w:t>A-1</w:t>
            </w:r>
          </w:p>
        </w:tc>
        <w:tc>
          <w:tcPr>
            <w:tcW w:w="1156" w:type="dxa"/>
          </w:tcPr>
          <w:p w:rsidR="00623113" w:rsidRPr="00623113" w:rsidRDefault="00623113" w:rsidP="00623113">
            <w:pPr>
              <w:rPr>
                <w:rFonts w:ascii="Arial" w:hAnsi="Arial" w:cs="Arial"/>
                <w:color w:val="FF0000"/>
                <w:sz w:val="20"/>
              </w:rPr>
            </w:pPr>
            <w:r w:rsidRPr="00623113">
              <w:rPr>
                <w:rFonts w:ascii="Arial" w:hAnsi="Arial" w:cs="Arial"/>
                <w:color w:val="FF0000"/>
                <w:sz w:val="20"/>
              </w:rPr>
              <w:t>B-1</w:t>
            </w:r>
          </w:p>
        </w:tc>
      </w:tr>
    </w:tbl>
    <w:tbl>
      <w:tblPr>
        <w:tblStyle w:val="TableGrid"/>
        <w:tblpPr w:leftFromText="180" w:rightFromText="180" w:vertAnchor="text" w:horzAnchor="page" w:tblpX="6740" w:tblpY="63"/>
        <w:tblW w:w="1454" w:type="dxa"/>
        <w:tblLook w:val="04A0" w:firstRow="1" w:lastRow="0" w:firstColumn="1" w:lastColumn="0" w:noHBand="0" w:noVBand="1"/>
      </w:tblPr>
      <w:tblGrid>
        <w:gridCol w:w="732"/>
        <w:gridCol w:w="722"/>
      </w:tblGrid>
      <w:tr w:rsidR="00623113" w:rsidTr="00DF2D45">
        <w:trPr>
          <w:trHeight w:val="149"/>
        </w:trPr>
        <w:tc>
          <w:tcPr>
            <w:tcW w:w="1454" w:type="dxa"/>
            <w:gridSpan w:val="2"/>
          </w:tcPr>
          <w:p w:rsidR="00623113" w:rsidRDefault="00623113" w:rsidP="0062311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Plastic box lid</w:t>
            </w:r>
          </w:p>
        </w:tc>
      </w:tr>
      <w:tr w:rsidR="00623113" w:rsidTr="00DF2D45">
        <w:trPr>
          <w:trHeight w:val="315"/>
        </w:trPr>
        <w:tc>
          <w:tcPr>
            <w:tcW w:w="732" w:type="dxa"/>
          </w:tcPr>
          <w:p w:rsidR="00623113" w:rsidRPr="00623113" w:rsidRDefault="00623113" w:rsidP="00623113">
            <w:pPr>
              <w:rPr>
                <w:rFonts w:ascii="Arial" w:hAnsi="Arial" w:cs="Arial"/>
                <w:color w:val="FF0000"/>
                <w:sz w:val="20"/>
              </w:rPr>
            </w:pPr>
            <w:r w:rsidRPr="00623113">
              <w:rPr>
                <w:rFonts w:ascii="Arial" w:hAnsi="Arial" w:cs="Arial"/>
                <w:color w:val="FF0000"/>
                <w:sz w:val="20"/>
              </w:rPr>
              <w:t>A-4</w:t>
            </w:r>
          </w:p>
        </w:tc>
        <w:tc>
          <w:tcPr>
            <w:tcW w:w="722" w:type="dxa"/>
          </w:tcPr>
          <w:p w:rsidR="00623113" w:rsidRPr="00623113" w:rsidRDefault="00623113" w:rsidP="00623113">
            <w:pPr>
              <w:rPr>
                <w:rFonts w:ascii="Arial" w:hAnsi="Arial" w:cs="Arial"/>
                <w:color w:val="FF0000"/>
                <w:sz w:val="20"/>
              </w:rPr>
            </w:pPr>
            <w:r w:rsidRPr="00623113">
              <w:rPr>
                <w:rFonts w:ascii="Arial" w:hAnsi="Arial" w:cs="Arial"/>
                <w:color w:val="FF0000"/>
                <w:sz w:val="20"/>
              </w:rPr>
              <w:t>B-4</w:t>
            </w:r>
          </w:p>
        </w:tc>
      </w:tr>
      <w:tr w:rsidR="00623113" w:rsidTr="00DF2D45">
        <w:trPr>
          <w:trHeight w:val="315"/>
        </w:trPr>
        <w:tc>
          <w:tcPr>
            <w:tcW w:w="732" w:type="dxa"/>
          </w:tcPr>
          <w:p w:rsidR="00623113" w:rsidRPr="00623113" w:rsidRDefault="00623113" w:rsidP="00623113">
            <w:pPr>
              <w:rPr>
                <w:rFonts w:ascii="Arial" w:hAnsi="Arial" w:cs="Arial"/>
                <w:color w:val="FF0000"/>
                <w:sz w:val="20"/>
              </w:rPr>
            </w:pPr>
            <w:r w:rsidRPr="00623113">
              <w:rPr>
                <w:rFonts w:ascii="Arial" w:hAnsi="Arial" w:cs="Arial"/>
                <w:color w:val="FF0000"/>
                <w:sz w:val="20"/>
              </w:rPr>
              <w:t>A-3</w:t>
            </w:r>
          </w:p>
        </w:tc>
        <w:tc>
          <w:tcPr>
            <w:tcW w:w="722" w:type="dxa"/>
          </w:tcPr>
          <w:p w:rsidR="00623113" w:rsidRPr="00623113" w:rsidRDefault="00623113" w:rsidP="00623113">
            <w:pPr>
              <w:rPr>
                <w:rFonts w:ascii="Arial" w:hAnsi="Arial" w:cs="Arial"/>
                <w:color w:val="FF0000"/>
                <w:sz w:val="20"/>
              </w:rPr>
            </w:pPr>
            <w:r w:rsidRPr="00623113">
              <w:rPr>
                <w:rFonts w:ascii="Arial" w:hAnsi="Arial" w:cs="Arial"/>
                <w:color w:val="FF0000"/>
                <w:sz w:val="20"/>
              </w:rPr>
              <w:t>B-3</w:t>
            </w:r>
          </w:p>
        </w:tc>
      </w:tr>
      <w:tr w:rsidR="00623113" w:rsidTr="00DF2D45">
        <w:trPr>
          <w:trHeight w:val="295"/>
        </w:trPr>
        <w:tc>
          <w:tcPr>
            <w:tcW w:w="732" w:type="dxa"/>
          </w:tcPr>
          <w:p w:rsidR="00623113" w:rsidRPr="00623113" w:rsidRDefault="00623113" w:rsidP="00623113">
            <w:pPr>
              <w:rPr>
                <w:rFonts w:ascii="Arial" w:hAnsi="Arial" w:cs="Arial"/>
                <w:color w:val="FF0000"/>
                <w:sz w:val="20"/>
              </w:rPr>
            </w:pPr>
            <w:r w:rsidRPr="00623113">
              <w:rPr>
                <w:rFonts w:ascii="Arial" w:hAnsi="Arial" w:cs="Arial"/>
                <w:color w:val="FF0000"/>
                <w:sz w:val="20"/>
              </w:rPr>
              <w:t>A-2</w:t>
            </w:r>
          </w:p>
        </w:tc>
        <w:tc>
          <w:tcPr>
            <w:tcW w:w="722" w:type="dxa"/>
          </w:tcPr>
          <w:p w:rsidR="00623113" w:rsidRPr="00623113" w:rsidRDefault="00623113" w:rsidP="00623113">
            <w:pPr>
              <w:rPr>
                <w:rFonts w:ascii="Arial" w:hAnsi="Arial" w:cs="Arial"/>
                <w:color w:val="FF0000"/>
                <w:sz w:val="20"/>
              </w:rPr>
            </w:pPr>
            <w:r w:rsidRPr="00623113">
              <w:rPr>
                <w:rFonts w:ascii="Arial" w:hAnsi="Arial" w:cs="Arial"/>
                <w:color w:val="FF0000"/>
                <w:sz w:val="20"/>
              </w:rPr>
              <w:t>B-2</w:t>
            </w:r>
          </w:p>
        </w:tc>
      </w:tr>
      <w:tr w:rsidR="00623113" w:rsidTr="00DF2D45">
        <w:trPr>
          <w:trHeight w:val="315"/>
        </w:trPr>
        <w:tc>
          <w:tcPr>
            <w:tcW w:w="732" w:type="dxa"/>
          </w:tcPr>
          <w:p w:rsidR="00623113" w:rsidRPr="00623113" w:rsidRDefault="00623113" w:rsidP="00623113">
            <w:pPr>
              <w:rPr>
                <w:rFonts w:ascii="Arial" w:hAnsi="Arial" w:cs="Arial"/>
                <w:color w:val="FF0000"/>
                <w:sz w:val="20"/>
              </w:rPr>
            </w:pPr>
            <w:r w:rsidRPr="00623113">
              <w:rPr>
                <w:rFonts w:ascii="Arial" w:hAnsi="Arial" w:cs="Arial"/>
                <w:color w:val="FF0000"/>
                <w:sz w:val="20"/>
              </w:rPr>
              <w:t>A-1</w:t>
            </w:r>
          </w:p>
        </w:tc>
        <w:tc>
          <w:tcPr>
            <w:tcW w:w="722" w:type="dxa"/>
          </w:tcPr>
          <w:p w:rsidR="00623113" w:rsidRPr="00623113" w:rsidRDefault="00623113" w:rsidP="00623113">
            <w:pPr>
              <w:rPr>
                <w:rFonts w:ascii="Arial" w:hAnsi="Arial" w:cs="Arial"/>
                <w:color w:val="FF0000"/>
                <w:sz w:val="20"/>
              </w:rPr>
            </w:pPr>
            <w:r w:rsidRPr="00623113">
              <w:rPr>
                <w:rFonts w:ascii="Arial" w:hAnsi="Arial" w:cs="Arial"/>
                <w:color w:val="FF0000"/>
                <w:sz w:val="20"/>
              </w:rPr>
              <w:t>B-1</w:t>
            </w:r>
          </w:p>
        </w:tc>
      </w:tr>
    </w:tbl>
    <w:p w:rsidR="00623113" w:rsidRDefault="00623113" w:rsidP="00DF2D45">
      <w:pPr>
        <w:ind w:left="360"/>
        <w:rPr>
          <w:rFonts w:ascii="Arial" w:hAnsi="Arial" w:cs="Arial"/>
          <w:sz w:val="20"/>
        </w:rPr>
      </w:pPr>
    </w:p>
    <w:p w:rsidR="00623113" w:rsidRDefault="00623113" w:rsidP="00DF2D45">
      <w:pPr>
        <w:ind w:left="360"/>
        <w:rPr>
          <w:rFonts w:ascii="Arial" w:hAnsi="Arial" w:cs="Arial"/>
          <w:sz w:val="20"/>
        </w:rPr>
      </w:pPr>
    </w:p>
    <w:p w:rsidR="00623113" w:rsidRDefault="00623113" w:rsidP="00DF2D45">
      <w:pPr>
        <w:ind w:left="360"/>
        <w:rPr>
          <w:rFonts w:ascii="Arial" w:hAnsi="Arial" w:cs="Arial"/>
          <w:sz w:val="20"/>
        </w:rPr>
      </w:pPr>
    </w:p>
    <w:p w:rsidR="00623113" w:rsidRDefault="00623113" w:rsidP="00DF2D45">
      <w:pPr>
        <w:ind w:left="360"/>
        <w:rPr>
          <w:rFonts w:ascii="Arial" w:hAnsi="Arial" w:cs="Arial"/>
          <w:sz w:val="20"/>
        </w:rPr>
      </w:pPr>
    </w:p>
    <w:p w:rsidR="00623113" w:rsidRDefault="00623113" w:rsidP="00DF2D45">
      <w:pPr>
        <w:ind w:left="360"/>
        <w:rPr>
          <w:rFonts w:ascii="Arial" w:hAnsi="Arial" w:cs="Arial"/>
          <w:sz w:val="20"/>
        </w:rPr>
      </w:pPr>
    </w:p>
    <w:p w:rsidR="00623113" w:rsidRDefault="00623113" w:rsidP="00DF2D45">
      <w:pPr>
        <w:ind w:left="360"/>
        <w:rPr>
          <w:rFonts w:ascii="Arial" w:hAnsi="Arial" w:cs="Arial"/>
          <w:sz w:val="20"/>
        </w:rPr>
      </w:pPr>
    </w:p>
    <w:p w:rsidR="00623113" w:rsidRDefault="00623113" w:rsidP="00DF2D45">
      <w:pPr>
        <w:ind w:left="360"/>
        <w:rPr>
          <w:rFonts w:ascii="Arial" w:hAnsi="Arial" w:cs="Arial"/>
          <w:sz w:val="20"/>
        </w:rPr>
      </w:pPr>
    </w:p>
    <w:p w:rsidR="00623113" w:rsidRDefault="00623113" w:rsidP="00DF2D45">
      <w:pPr>
        <w:ind w:left="360"/>
        <w:rPr>
          <w:rFonts w:ascii="Arial" w:hAnsi="Arial" w:cs="Arial"/>
          <w:sz w:val="20"/>
        </w:rPr>
      </w:pPr>
    </w:p>
    <w:p w:rsidR="00623113" w:rsidRPr="00623113" w:rsidRDefault="00623113" w:rsidP="00DF2D45">
      <w:pPr>
        <w:ind w:left="360"/>
        <w:rPr>
          <w:rFonts w:ascii="Arial" w:hAnsi="Arial" w:cs="Arial"/>
          <w:sz w:val="20"/>
        </w:rPr>
      </w:pPr>
    </w:p>
    <w:p w:rsidR="00B317BE" w:rsidRDefault="00623113" w:rsidP="00DF2D45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For  the remaining ordered bugs, place them on </w:t>
      </w:r>
      <w:r w:rsidR="00B317BE" w:rsidRPr="00623113">
        <w:rPr>
          <w:rFonts w:ascii="Arial" w:hAnsi="Arial" w:cs="Arial"/>
          <w:sz w:val="20"/>
        </w:rPr>
        <w:t>non-labeled plastic box lids for easier transport between incubators or for massing.</w:t>
      </w:r>
    </w:p>
    <w:p w:rsidR="00E80710" w:rsidRDefault="00623113" w:rsidP="00DF2D45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Mass the bugs on a scale before beginning flight trials. Use an empty saucer cup and tear the scale to take the mass. Record each mass on the datasheet. Recommendation: if operating with 1 flight mill, weigh 30 bugs at a time. If operating with 2 flight mills, weigh 60 bugs at a time.</w:t>
      </w:r>
    </w:p>
    <w:p w:rsidR="00D056AE" w:rsidRDefault="00623113" w:rsidP="00D056AE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When bugs are ready to be flight tested, </w:t>
      </w:r>
      <w:r w:rsidR="002B0C75">
        <w:rPr>
          <w:rFonts w:ascii="Arial" w:hAnsi="Arial" w:cs="Arial"/>
          <w:sz w:val="20"/>
        </w:rPr>
        <w:t xml:space="preserve">set up a new recording session for both A and B chambers/data loggers. </w:t>
      </w:r>
      <w:r w:rsidR="00E80710" w:rsidRPr="004858D9">
        <w:rPr>
          <w:rFonts w:ascii="Arial" w:hAnsi="Arial" w:cs="Arial"/>
          <w:sz w:val="20"/>
        </w:rPr>
        <w:t xml:space="preserve">Follow “To start a </w:t>
      </w:r>
      <w:r w:rsidR="00E80710" w:rsidRPr="004858D9">
        <w:rPr>
          <w:rFonts w:ascii="Arial" w:hAnsi="Arial" w:cs="Arial"/>
          <w:b/>
          <w:sz w:val="20"/>
        </w:rPr>
        <w:t>new</w:t>
      </w:r>
      <w:r w:rsidR="00E80710" w:rsidRPr="004858D9">
        <w:rPr>
          <w:rFonts w:ascii="Arial" w:hAnsi="Arial" w:cs="Arial"/>
          <w:sz w:val="20"/>
        </w:rPr>
        <w:t xml:space="preserve"> Recording Session” description under the “</w:t>
      </w:r>
      <w:r w:rsidR="00E80710" w:rsidRPr="004858D9">
        <w:rPr>
          <w:rFonts w:ascii="Arial" w:hAnsi="Arial" w:cs="Arial"/>
          <w:b/>
          <w:sz w:val="20"/>
        </w:rPr>
        <w:t xml:space="preserve">Using WinDAQ on the Dell Computer” </w:t>
      </w:r>
      <w:r w:rsidR="00E80710" w:rsidRPr="004858D9">
        <w:rPr>
          <w:rFonts w:ascii="Arial" w:hAnsi="Arial" w:cs="Arial"/>
          <w:sz w:val="20"/>
        </w:rPr>
        <w:t>protocol</w:t>
      </w:r>
      <w:r w:rsidR="004858D9">
        <w:rPr>
          <w:rFonts w:ascii="Arial" w:hAnsi="Arial" w:cs="Arial"/>
          <w:sz w:val="20"/>
        </w:rPr>
        <w:t>.</w:t>
      </w:r>
    </w:p>
    <w:p w:rsidR="00E80710" w:rsidRPr="00D056AE" w:rsidRDefault="00D056AE" w:rsidP="00D056AE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  <w:r w:rsidR="00E80710" w:rsidRPr="00D056AE">
        <w:rPr>
          <w:rFonts w:ascii="Arial" w:hAnsi="Arial" w:cs="Arial"/>
          <w:sz w:val="20"/>
        </w:rPr>
        <w:t xml:space="preserve">Start </w:t>
      </w:r>
      <w:r w:rsidR="002912CB" w:rsidRPr="00D056AE">
        <w:rPr>
          <w:rFonts w:ascii="Arial" w:hAnsi="Arial" w:cs="Arial"/>
          <w:sz w:val="20"/>
        </w:rPr>
        <w:t>loading the</w:t>
      </w:r>
      <w:r w:rsidR="00E80710" w:rsidRPr="00D056AE">
        <w:rPr>
          <w:rFonts w:ascii="Arial" w:hAnsi="Arial" w:cs="Arial"/>
          <w:sz w:val="20"/>
        </w:rPr>
        <w:t xml:space="preserve"> bugs on the flight mill and record</w:t>
      </w:r>
      <w:r w:rsidR="002912CB" w:rsidRPr="00D056AE">
        <w:rPr>
          <w:rFonts w:ascii="Arial" w:hAnsi="Arial" w:cs="Arial"/>
          <w:sz w:val="20"/>
        </w:rPr>
        <w:t xml:space="preserve"> the bug’s set number, chamber letter and number, and test </w:t>
      </w:r>
      <w:r w:rsidR="00E80710" w:rsidRPr="00D056AE">
        <w:rPr>
          <w:rFonts w:ascii="Arial" w:hAnsi="Arial" w:cs="Arial"/>
          <w:sz w:val="20"/>
        </w:rPr>
        <w:t>time and date</w:t>
      </w:r>
      <w:r w:rsidR="002912CB" w:rsidRPr="00D056AE">
        <w:rPr>
          <w:rFonts w:ascii="Arial" w:hAnsi="Arial" w:cs="Arial"/>
          <w:sz w:val="20"/>
        </w:rPr>
        <w:t xml:space="preserve"> on the datasheet</w:t>
      </w:r>
      <w:r w:rsidR="00E80710" w:rsidRPr="00D056AE">
        <w:rPr>
          <w:rFonts w:ascii="Arial" w:hAnsi="Arial" w:cs="Arial"/>
          <w:sz w:val="20"/>
        </w:rPr>
        <w:t xml:space="preserve">. Once the first bug starts flying 1.) Press “OK” to start recording and 2.) record on the data sheet if they flew “Y” for yes or “N” no. </w:t>
      </w:r>
    </w:p>
    <w:p w:rsidR="00E80710" w:rsidRDefault="00A66C54" w:rsidP="00DF2D45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  <w:r w:rsidR="00E80710" w:rsidRPr="00641542">
        <w:rPr>
          <w:rFonts w:ascii="Arial" w:hAnsi="Arial" w:cs="Arial"/>
          <w:sz w:val="20"/>
        </w:rPr>
        <w:t xml:space="preserve">Once all the bugs have been set up and each has been motivated to fly, start a timer. In 10 minutes check on the bugs and motivate them to fly again. In the next 10 minutes, motivate the bugs to fly again. In total, this will give the bugs 3 </w:t>
      </w:r>
      <w:r w:rsidR="002912CB">
        <w:rPr>
          <w:rFonts w:ascii="Arial" w:hAnsi="Arial" w:cs="Arial"/>
          <w:sz w:val="20"/>
        </w:rPr>
        <w:t>attempts</w:t>
      </w:r>
      <w:r w:rsidR="00E80710" w:rsidRPr="00641542">
        <w:rPr>
          <w:rFonts w:ascii="Arial" w:hAnsi="Arial" w:cs="Arial"/>
          <w:sz w:val="20"/>
        </w:rPr>
        <w:t xml:space="preserve"> to fly. Then, at the 30 minutes mark, check on the bugs. Those bugs who had not been flying continuously (</w:t>
      </w:r>
      <w:r w:rsidR="002912CB">
        <w:rPr>
          <w:rFonts w:ascii="Arial" w:hAnsi="Arial" w:cs="Arial"/>
          <w:sz w:val="20"/>
        </w:rPr>
        <w:t>only</w:t>
      </w:r>
      <w:r w:rsidR="00E80710" w:rsidRPr="00641542">
        <w:rPr>
          <w:rFonts w:ascii="Arial" w:hAnsi="Arial" w:cs="Arial"/>
          <w:sz w:val="20"/>
        </w:rPr>
        <w:t xml:space="preserve"> bursting) since you’ve motivated them </w:t>
      </w:r>
      <w:r w:rsidR="00E80710" w:rsidRPr="00641542">
        <w:rPr>
          <w:rFonts w:ascii="Arial" w:hAnsi="Arial" w:cs="Arial"/>
          <w:sz w:val="20"/>
        </w:rPr>
        <w:lastRenderedPageBreak/>
        <w:t xml:space="preserve">3 times, can be taken down. Those bugs who are flying continuously since </w:t>
      </w:r>
      <w:r w:rsidR="002912CB">
        <w:rPr>
          <w:rFonts w:ascii="Arial" w:hAnsi="Arial" w:cs="Arial"/>
          <w:sz w:val="20"/>
        </w:rPr>
        <w:t>their</w:t>
      </w:r>
      <w:r w:rsidR="00E80710" w:rsidRPr="00641542">
        <w:rPr>
          <w:rFonts w:ascii="Arial" w:hAnsi="Arial" w:cs="Arial"/>
          <w:sz w:val="20"/>
        </w:rPr>
        <w:t xml:space="preserve"> last attempt can say and be given a ‘cap’ marker to </w:t>
      </w:r>
      <w:r w:rsidR="002912CB">
        <w:rPr>
          <w:rFonts w:ascii="Arial" w:hAnsi="Arial" w:cs="Arial"/>
          <w:sz w:val="20"/>
        </w:rPr>
        <w:t>signal</w:t>
      </w:r>
      <w:r w:rsidR="00E80710" w:rsidRPr="00641542">
        <w:rPr>
          <w:rFonts w:ascii="Arial" w:hAnsi="Arial" w:cs="Arial"/>
          <w:sz w:val="20"/>
        </w:rPr>
        <w:t xml:space="preserve"> that they should not be removed.</w:t>
      </w:r>
    </w:p>
    <w:p w:rsidR="00E80710" w:rsidRPr="00641542" w:rsidRDefault="00E80710" w:rsidP="00DF2D45">
      <w:pPr>
        <w:ind w:left="360"/>
        <w:rPr>
          <w:rFonts w:ascii="Arial" w:hAnsi="Arial" w:cs="Arial"/>
          <w:sz w:val="20"/>
        </w:rPr>
      </w:pPr>
    </w:p>
    <w:p w:rsidR="00A66C54" w:rsidRPr="00A66C54" w:rsidRDefault="00A66C54" w:rsidP="00A66C54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  <w:r w:rsidR="00E80710" w:rsidRPr="00641542">
        <w:rPr>
          <w:rFonts w:ascii="Arial" w:hAnsi="Arial" w:cs="Arial"/>
          <w:sz w:val="20"/>
        </w:rPr>
        <w:t xml:space="preserve">Replace the bursting bugs and any continuous, long flying bugs who suddenly stopped at each 30 minute mark. </w:t>
      </w:r>
      <w:r>
        <w:rPr>
          <w:rFonts w:ascii="Arial" w:hAnsi="Arial" w:cs="Arial"/>
          <w:sz w:val="20"/>
        </w:rPr>
        <w:t xml:space="preserve">Replacements occur at every 30 minute interval with a new set of massed bugs. Before taking bugs off, ensure to </w:t>
      </w:r>
      <w:r w:rsidRPr="00641542">
        <w:rPr>
          <w:rFonts w:ascii="Arial" w:hAnsi="Arial" w:cs="Arial"/>
          <w:sz w:val="20"/>
        </w:rPr>
        <w:t xml:space="preserve">write down the time and date you replaced them </w:t>
      </w:r>
      <w:r>
        <w:rPr>
          <w:rFonts w:ascii="Arial" w:hAnsi="Arial" w:cs="Arial"/>
          <w:sz w:val="20"/>
        </w:rPr>
        <w:t>and, for continuous bugs, w</w:t>
      </w:r>
      <w:r w:rsidR="00E80710" w:rsidRPr="00641542">
        <w:rPr>
          <w:rFonts w:ascii="Arial" w:hAnsi="Arial" w:cs="Arial"/>
          <w:sz w:val="20"/>
        </w:rPr>
        <w:t xml:space="preserve">rite down the time you saw the continuous </w:t>
      </w:r>
      <w:r>
        <w:rPr>
          <w:rFonts w:ascii="Arial" w:hAnsi="Arial" w:cs="Arial"/>
          <w:sz w:val="20"/>
        </w:rPr>
        <w:t>bugs</w:t>
      </w:r>
      <w:r w:rsidR="00E80710" w:rsidRPr="00641542">
        <w:rPr>
          <w:rFonts w:ascii="Arial" w:hAnsi="Arial" w:cs="Arial"/>
          <w:sz w:val="20"/>
        </w:rPr>
        <w:t xml:space="preserve"> stop flying</w:t>
      </w:r>
      <w:r>
        <w:rPr>
          <w:rFonts w:ascii="Arial" w:hAnsi="Arial" w:cs="Arial"/>
          <w:sz w:val="20"/>
        </w:rPr>
        <w:t xml:space="preserve">. </w:t>
      </w:r>
    </w:p>
    <w:p w:rsidR="00E80710" w:rsidRPr="00641542" w:rsidRDefault="00A66C54" w:rsidP="00DF2D45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  <w:r w:rsidRPr="00A66C54">
        <w:rPr>
          <w:rFonts w:ascii="Arial" w:hAnsi="Arial" w:cs="Arial"/>
          <w:sz w:val="20"/>
        </w:rPr>
        <w:t>When new bugs are ready to be loaded</w:t>
      </w:r>
      <w:r>
        <w:rPr>
          <w:rFonts w:ascii="Arial" w:hAnsi="Arial" w:cs="Arial"/>
          <w:sz w:val="20"/>
        </w:rPr>
        <w:t xml:space="preserve"> following the first set of bugs, create an event marker with the bug’s ID in the marker’s description. F</w:t>
      </w:r>
      <w:r w:rsidRPr="00A66C54">
        <w:rPr>
          <w:rFonts w:ascii="Arial" w:hAnsi="Arial" w:cs="Arial"/>
          <w:sz w:val="20"/>
        </w:rPr>
        <w:t>ollow the</w:t>
      </w:r>
      <w:r w:rsidR="00E80710" w:rsidRPr="00A66C54">
        <w:rPr>
          <w:rFonts w:ascii="Arial" w:hAnsi="Arial" w:cs="Arial"/>
          <w:sz w:val="20"/>
        </w:rPr>
        <w:t xml:space="preserve"> “</w:t>
      </w:r>
      <w:r w:rsidR="00E80710" w:rsidRPr="00641542">
        <w:rPr>
          <w:rFonts w:ascii="Arial" w:hAnsi="Arial" w:cs="Arial"/>
          <w:sz w:val="21"/>
        </w:rPr>
        <w:t xml:space="preserve">To make an </w:t>
      </w:r>
      <w:r w:rsidR="00E80710" w:rsidRPr="00641542">
        <w:rPr>
          <w:rFonts w:ascii="Arial" w:hAnsi="Arial" w:cs="Arial"/>
          <w:b/>
          <w:sz w:val="21"/>
        </w:rPr>
        <w:t xml:space="preserve">Event Marker/Comment </w:t>
      </w:r>
      <w:r w:rsidR="00E80710" w:rsidRPr="00641542">
        <w:rPr>
          <w:rFonts w:ascii="Arial" w:hAnsi="Arial" w:cs="Arial"/>
          <w:sz w:val="21"/>
        </w:rPr>
        <w:t xml:space="preserve">during a Recording Session” </w:t>
      </w:r>
      <w:r w:rsidR="00E80710" w:rsidRPr="00641542">
        <w:rPr>
          <w:rFonts w:ascii="Arial" w:hAnsi="Arial" w:cs="Arial"/>
          <w:sz w:val="20"/>
        </w:rPr>
        <w:t>description under the “</w:t>
      </w:r>
      <w:r w:rsidR="00E80710" w:rsidRPr="00641542">
        <w:rPr>
          <w:rFonts w:ascii="Arial" w:hAnsi="Arial" w:cs="Arial"/>
          <w:b/>
          <w:sz w:val="20"/>
        </w:rPr>
        <w:t xml:space="preserve">Using WinDAQ on the Dell Computer” </w:t>
      </w:r>
      <w:r w:rsidR="00E80710" w:rsidRPr="00641542">
        <w:rPr>
          <w:rFonts w:ascii="Arial" w:hAnsi="Arial" w:cs="Arial"/>
          <w:sz w:val="20"/>
        </w:rPr>
        <w:t xml:space="preserve">protocol. </w:t>
      </w:r>
    </w:p>
    <w:p w:rsidR="00E80710" w:rsidRDefault="00A66C54" w:rsidP="00DF2D45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Continue massing and loading bugs until all prepped bugs for the day have been tested.</w:t>
      </w:r>
    </w:p>
    <w:p w:rsidR="00E80710" w:rsidRDefault="00A66C54" w:rsidP="00DF2D45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  <w:r w:rsidR="00E80710" w:rsidRPr="00641542">
        <w:rPr>
          <w:rFonts w:ascii="Arial" w:hAnsi="Arial" w:cs="Arial"/>
          <w:sz w:val="20"/>
        </w:rPr>
        <w:t xml:space="preserve">Turn everything off </w:t>
      </w:r>
      <w:r>
        <w:rPr>
          <w:rFonts w:ascii="Arial" w:hAnsi="Arial" w:cs="Arial"/>
          <w:sz w:val="20"/>
        </w:rPr>
        <w:t xml:space="preserve">that was initially turned on in step 4 </w:t>
      </w:r>
      <w:r w:rsidR="00E80710" w:rsidRPr="00641542">
        <w:rPr>
          <w:rFonts w:ascii="Arial" w:hAnsi="Arial" w:cs="Arial"/>
          <w:sz w:val="20"/>
        </w:rPr>
        <w:t xml:space="preserve">when done, </w:t>
      </w:r>
      <w:r w:rsidRPr="00A66C54">
        <w:rPr>
          <w:rFonts w:ascii="Arial" w:hAnsi="Arial" w:cs="Arial"/>
          <w:b/>
          <w:sz w:val="20"/>
        </w:rPr>
        <w:t>unless</w:t>
      </w:r>
      <w:r w:rsidR="00E80710" w:rsidRPr="00641542">
        <w:rPr>
          <w:rFonts w:ascii="Arial" w:hAnsi="Arial" w:cs="Arial"/>
          <w:sz w:val="20"/>
        </w:rPr>
        <w:t xml:space="preserve"> bugs are still flying continuously. If they are and the file is running out of space at the end either A.) create a new recording session and keep the bugs flying overnight or B.) append to the existing file. Follow “To </w:t>
      </w:r>
      <w:r w:rsidR="00E80710" w:rsidRPr="00641542">
        <w:rPr>
          <w:rFonts w:ascii="Arial" w:hAnsi="Arial" w:cs="Arial"/>
          <w:b/>
          <w:sz w:val="20"/>
        </w:rPr>
        <w:t>Append</w:t>
      </w:r>
      <w:r w:rsidR="00E80710" w:rsidRPr="00641542">
        <w:rPr>
          <w:rFonts w:ascii="Arial" w:hAnsi="Arial" w:cs="Arial"/>
          <w:sz w:val="20"/>
        </w:rPr>
        <w:t xml:space="preserve"> to an already existing Recording” description under the “</w:t>
      </w:r>
      <w:r w:rsidR="00E80710" w:rsidRPr="00641542">
        <w:rPr>
          <w:rFonts w:ascii="Arial" w:hAnsi="Arial" w:cs="Arial"/>
          <w:b/>
          <w:sz w:val="20"/>
        </w:rPr>
        <w:t xml:space="preserve">Using WinDAQ on the Dell Computer” </w:t>
      </w:r>
      <w:r w:rsidR="00E80710" w:rsidRPr="00641542">
        <w:rPr>
          <w:rFonts w:ascii="Arial" w:hAnsi="Arial" w:cs="Arial"/>
          <w:sz w:val="20"/>
        </w:rPr>
        <w:t xml:space="preserve">protocol. </w:t>
      </w:r>
    </w:p>
    <w:p w:rsidR="006D035E" w:rsidRPr="00641542" w:rsidRDefault="006D035E" w:rsidP="00DF2D45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Place tested bugs back into their plastic box within the incubator and repeat steps 1-3 for the</w:t>
      </w:r>
      <w:r w:rsidR="005D6EA9">
        <w:rPr>
          <w:rFonts w:ascii="Arial" w:hAnsi="Arial" w:cs="Arial"/>
          <w:sz w:val="20"/>
        </w:rPr>
        <w:t xml:space="preserve"> next set of bugs.</w:t>
      </w:r>
      <w:bookmarkStart w:id="0" w:name="_GoBack"/>
      <w:bookmarkEnd w:id="0"/>
    </w:p>
    <w:p w:rsidR="00E80710" w:rsidRPr="00641542" w:rsidRDefault="00E80710" w:rsidP="00DF2D45">
      <w:pPr>
        <w:ind w:left="360"/>
        <w:rPr>
          <w:rFonts w:ascii="Arial" w:hAnsi="Arial" w:cs="Arial"/>
          <w:sz w:val="20"/>
        </w:rPr>
      </w:pPr>
    </w:p>
    <w:p w:rsidR="00E80710" w:rsidRPr="00641542" w:rsidRDefault="00E80710" w:rsidP="00DF2D45">
      <w:pPr>
        <w:ind w:left="360"/>
        <w:rPr>
          <w:rFonts w:ascii="Arial" w:hAnsi="Arial" w:cs="Arial"/>
          <w:sz w:val="20"/>
        </w:rPr>
      </w:pPr>
    </w:p>
    <w:p w:rsidR="00E80710" w:rsidRPr="00641542" w:rsidRDefault="00E80710" w:rsidP="00DF2D45">
      <w:pPr>
        <w:ind w:left="720"/>
        <w:rPr>
          <w:rFonts w:ascii="Arial" w:hAnsi="Arial" w:cs="Arial"/>
          <w:sz w:val="21"/>
        </w:rPr>
      </w:pPr>
    </w:p>
    <w:p w:rsidR="00E614C4" w:rsidRDefault="00E614C4" w:rsidP="00DF2D45">
      <w:pPr>
        <w:ind w:left="360"/>
      </w:pPr>
    </w:p>
    <w:sectPr w:rsidR="00E614C4" w:rsidSect="00DF2D45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2251C"/>
    <w:multiLevelType w:val="hybridMultilevel"/>
    <w:tmpl w:val="CC58FFF4"/>
    <w:lvl w:ilvl="0" w:tplc="5BD691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8396B"/>
    <w:multiLevelType w:val="hybridMultilevel"/>
    <w:tmpl w:val="0AD8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10"/>
    <w:rsid w:val="000E11ED"/>
    <w:rsid w:val="001E67D3"/>
    <w:rsid w:val="002912CB"/>
    <w:rsid w:val="002B0C75"/>
    <w:rsid w:val="002D4637"/>
    <w:rsid w:val="004858D9"/>
    <w:rsid w:val="005D6EA9"/>
    <w:rsid w:val="0060694B"/>
    <w:rsid w:val="00623113"/>
    <w:rsid w:val="006D035E"/>
    <w:rsid w:val="00810858"/>
    <w:rsid w:val="00A66C54"/>
    <w:rsid w:val="00AF6CD7"/>
    <w:rsid w:val="00B317BE"/>
    <w:rsid w:val="00D056AE"/>
    <w:rsid w:val="00D4502E"/>
    <w:rsid w:val="00DF2D45"/>
    <w:rsid w:val="00E614C4"/>
    <w:rsid w:val="00E6478E"/>
    <w:rsid w:val="00E8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F0DD1"/>
  <w15:chartTrackingRefBased/>
  <w15:docId w15:val="{5067C822-5DB3-3341-B01C-21AAC52B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0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710"/>
    <w:pPr>
      <w:ind w:left="720"/>
      <w:contextualSpacing/>
    </w:pPr>
  </w:style>
  <w:style w:type="table" w:styleId="TableGrid">
    <w:name w:val="Table Grid"/>
    <w:basedOn w:val="TableNormal"/>
    <w:uiPriority w:val="39"/>
    <w:rsid w:val="00623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Bernat</dc:creator>
  <cp:keywords/>
  <dc:description/>
  <cp:lastModifiedBy>Anastasia Bernat</cp:lastModifiedBy>
  <cp:revision>14</cp:revision>
  <dcterms:created xsi:type="dcterms:W3CDTF">2022-01-31T15:18:00Z</dcterms:created>
  <dcterms:modified xsi:type="dcterms:W3CDTF">2022-01-31T15:52:00Z</dcterms:modified>
</cp:coreProperties>
</file>