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kp03695f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üZ / Glattflächenversiegelung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x4op5njs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2fq6t7nm0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Full Mouth Desinfection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vor Behandlung mit: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Sekunden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Minute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yr2ruwycg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ViPr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Testverfahren: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Kältespray, Luft, Wärme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Ergebnis: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++, +, -, +/-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verzögert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gxksk5kmi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Supragingivale Reinigung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f52egb70f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Exz1 / Exzision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Behandlung: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Entfernen von störendem Gewebe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Entfernen von Granulationsgewebe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Papillektomie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Exzision von Mundschleimhaut durch Kauterisation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Harmonisierung der Gingivagirlande zur Darstellung der Präparationsgrenze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Kürette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Elektrotom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Skalpell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Diamant rotierend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zp70ufmuz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Spanngummi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 oft neu angelegt?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1, 2, 3, 4, 5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Starke Approximalkontakte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Erschwerter Zugang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Erhöhter Speichelfluss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Zungendruck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Mehrfaches Nachanästhesieren notwendig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ronad2vv4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BMF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Behandlung: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Verdrängen von störendem Zahnfleisch: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 Fäden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 Keil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beim Füllen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beim Präparieren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Separieren: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mit Keil beim Präparieren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Streifen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beim Präparieren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beim Füllen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Matrize: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Formgebungshilfe beim Füllen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Stillung einer übermäßigen Papillenblutung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getränkten Retraktionsfäden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Keil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Elektrotom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beim Füllen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beim Präparieren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zur Blutungsstillung: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Astringedent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Eisen-III-Sulfat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Orbat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Orbat forte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Racestyptine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Retraction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Resorcell Pulver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Viscostat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Voco Retraktionspaste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3M Paste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0lvfv3oj3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Glattflächenversiegelung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Begründung: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fluoridhaltiger Schutzlack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Hypersensibilität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 Reaktion auf kalt/warm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Erosionen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Bruxismus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Prävention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Alterung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nach Bleaching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nach Präp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Unterstützung der Regeneration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Stabilisierung der gesunden Mundflora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zur begleitenden Prophylaxe bei Schleimhaut-, Gingiva- und Parodontalerkrankungen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Langzeitkariesprophylaxe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Erhöhung der Säureresistenz des Schmelzes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Behandlung überempfindlicher Zahnhälse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Vorgehen: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Layer für Dentintubuli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Erneute Versiegelung: Sensibilität noch vorhanden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Schutzschicht notwendig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Dolorbehandlung med. indiziert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Flairesse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fdoyyat4q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Wie geht es weiter?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Zufriedenheit:</w:t>
        <w:br w:type="textWrapping"/>
      </w:r>
      <w:r w:rsidDel="00000000" w:rsidR="00000000" w:rsidRPr="00000000">
        <w:rPr>
          <w:rtl w:val="0"/>
        </w:rPr>
        <w:t xml:space="preserve">Demo im Spiegel, Patient ist zufrieden mit dem Ergebnis, keine Beschwerden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l2otcqdw7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Planung und Sonstiges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  <w:br w:type="textWrapping"/>
        <w:t xml:space="preserve">Sonstiges: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