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 Befundaufnahme nach Zahnschema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dw4xajk66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1gw7utw03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Zahnschema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iud3btuhi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Oberkiefer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18: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17: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16: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15: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14: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13: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12: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11: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21: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22: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23: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24: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25: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26: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27: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28: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v8ze4yzlf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Unterkiefer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38: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37: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36: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35: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34: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33: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32: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31: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41: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42: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43: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44: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45: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46: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47: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 48: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hmoxm14vg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Zahnersatz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Vorhandener (herausnehmbarer) ZE, Alter, Details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jkc0q5j6h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Zahnstein/Beläge/Verfärbungen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gavkkgn9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Mundkrankheit / Schleimhautkontrolle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d5pnz91yv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Planung und Sonstiges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