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01 nach Prophylaxe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m0i7zaxee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awnx3jdd4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01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Befund aufgenommen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Intra- / Extraoraler Befund:</w:t>
      </w:r>
      <w:r w:rsidDel="00000000" w:rsidR="00000000" w:rsidRPr="00000000">
        <w:rPr>
          <w:rtl w:val="0"/>
        </w:rPr>
        <w:t xml:space="preserve"> Pathologische und auffällige Befunde bei der Untersuchung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hmw3mmics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PSI (Parodontaler Screening-Index)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erhoben, Codes siehe PVS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0 bis 4 pro Sextant (S1 - S6)</w:t>
      </w:r>
      <w:r w:rsidDel="00000000" w:rsidR="00000000" w:rsidRPr="00000000">
        <w:rPr>
          <w:rtl w:val="0"/>
        </w:rPr>
        <w:t xml:space="preserve"> (optional, sofern im PVS)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Rezessionsmessung:</w:t>
      </w:r>
      <w:r w:rsidDel="00000000" w:rsidR="00000000" w:rsidRPr="00000000">
        <w:rPr>
          <w:rtl w:val="0"/>
        </w:rPr>
        <w:t xml:space="preserve"> erfolgt und dokumentiert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k2iv77tni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Anfärben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Mundhygienestatus: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MuHy muss verbessert werden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PZR empfohlen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 Status sollte erhoben werden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Informationsblatt mitgegeben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lt72uepjl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ViPr (Vitalitätsprüfung)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Zähne:</w:t>
      </w:r>
      <w:r w:rsidDel="00000000" w:rsidR="00000000" w:rsidRPr="00000000">
        <w:rPr>
          <w:rtl w:val="0"/>
        </w:rPr>
        <w:t xml:space="preserve"> OK / UK / Milchzähne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Zahnnummern:</w:t>
      </w:r>
      <w:r w:rsidDel="00000000" w:rsidR="00000000" w:rsidRPr="00000000">
        <w:rPr>
          <w:rtl w:val="0"/>
        </w:rPr>
        <w:t xml:space="preserve"> 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Testverfahren: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Ergebnis:</w:t>
      </w:r>
      <w:r w:rsidDel="00000000" w:rsidR="00000000" w:rsidRPr="00000000">
        <w:rPr>
          <w:rtl w:val="0"/>
        </w:rPr>
        <w:t xml:space="preserve"> ++ / + / - / -- / verzögert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qoxen8bmy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Mu (Mundgesundheitsstatus)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Zähne:</w:t>
      </w:r>
      <w:r w:rsidDel="00000000" w:rsidR="00000000" w:rsidRPr="00000000">
        <w:rPr>
          <w:rtl w:val="0"/>
        </w:rPr>
        <w:t xml:space="preserve"> 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Lokale Entzündung aufgrund von: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Zahnfleischtrauma bei Präparation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Subgingivale Applikation:</w:t>
      </w:r>
      <w:r w:rsidDel="00000000" w:rsidR="00000000" w:rsidRPr="00000000">
        <w:rPr>
          <w:rtl w:val="0"/>
        </w:rPr>
        <w:t xml:space="preserve"> subgingivale med. antibakt. Lokalapplikation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Medikamentöse Therapie: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emc07de6j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sK (Schmelzkarieskontrolle)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Zähne:</w:t>
      </w:r>
      <w:r w:rsidDel="00000000" w:rsidR="00000000" w:rsidRPr="00000000">
        <w:rPr>
          <w:rtl w:val="0"/>
        </w:rPr>
        <w:t xml:space="preserve"> 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Vorgehen: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Glättung scharfer Kanten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Reduktion störender Zahnkontakte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Beseitigung eines überstehenden Füllungsrandes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obrwgmtra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üZ (Übersicht Zahnstatus)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Zähne:</w:t>
      </w:r>
      <w:r w:rsidDel="00000000" w:rsidR="00000000" w:rsidRPr="00000000">
        <w:rPr>
          <w:rtl w:val="0"/>
        </w:rPr>
        <w:t xml:space="preserve"> 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7ohnam7mq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Röntgenaufnahmen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ist nicht schwanger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Durchgeführte Verfahren: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BF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OPG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ZF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DVT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Zahnstatus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Betroffene Zähne:</w:t>
      </w:r>
      <w:r w:rsidDel="00000000" w:rsidR="00000000" w:rsidRPr="00000000">
        <w:rPr>
          <w:rtl w:val="0"/>
        </w:rPr>
        <w:t xml:space="preserve"> 18, 17, 16, 15, 14, 13, 12, 11, 21, 22, 23, 24, 25, 26, 27, 28, 48, 47, 46, 45, 44, 43, 42, 41, 31, 32, 33, 34, 35, 36, 37, 38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Indikation: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Approximalkaries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Sekundärkaries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Va. apikale Aufhellung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Rechtfertigende Indikation: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Röntgen-Befund: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xum2ons70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Therapieplanung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zq08wkty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Mehrkosten / Eigenanteil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Mehrkosten in EURO: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KVA liegt unterschrieben vor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Details KVA: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38r9to17w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Beratungsdauer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Uhrzeit Beginn: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Uhrzeit Ende: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Dauer gesamt: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Begleitperson: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x26u5ane9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Wie geht es weiter?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 Reinigung:</w:t>
      </w:r>
      <w:r w:rsidDel="00000000" w:rsidR="00000000" w:rsidRPr="00000000">
        <w:rPr>
          <w:rtl w:val="0"/>
        </w:rPr>
        <w:t xml:space="preserve"> 3 Monate / 4 Monate / 6 Monate / 12 Monate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Nächster Termin:</w:t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Bleaching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Füllungstherapie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ZE Planung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WHZ ad ex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KFO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Aligner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