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/>
      </w:pPr>
      <w:bookmarkStart w:colFirst="0" w:colLast="0" w:name="_s5ytpfh47gt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30"/>
          <w:szCs w:val="30"/>
          <w:rtl w:val="0"/>
        </w:rPr>
        <w:t xml:space="preserve">Chir: Sedierung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7gznxmsbxnv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32n5tf1t63h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Aufklärung: Risiken und Nebenwirkungen Sedierung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Infektionen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Verletzung von Blutgefäßen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Haut-, Gewebe- und Nervenschäden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Atemstörungen und Blutdruckabfall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Übelkeit und Erbrechen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Nebenwirkungen von Medikamenten und allergische Reaktionen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Thrombose/Embolien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Vorübergehende Verwirrtheit und Einschränkung der geistigen Leistungsfähigkeit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hat keine offenen Fragen mehr und alles verstanden.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 Minuten, 10 Minuten, 15 Minuten, 20 Minuten, 25 Minuten, 30 Minuten, 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drlwjhlbk81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Sedierung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bestätigt Nüchternheit seit mehr als 6 Stunden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bestätigt, eine Begleitperson zu haben und 24h unter Aufsicht zu sein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Der Pat. darf keinesfalls innerhalb der ersten 24 Stunden aktiv am Straßenverkehr teilnehmen, Maschinen bedienen oder Verträge abschließen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Pulsoxymeter angelegt, venösen Zugang gelegt, Pulsoxymetrie während der gesamten Behandlung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Narkoseprotokoll geführt, gescannt und abgelegt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Sedativ / Wirkstoff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z.B. Midazolam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Menge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Fraktioniert appliziert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9"/>
          <w:szCs w:val="29"/>
          <w:rtl w:val="0"/>
        </w:rPr>
        <w:t xml:space="preserve">inmg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04040"/>
          <w:sz w:val="29"/>
          <w:szCs w:val="29"/>
          <w:rtl w:val="0"/>
        </w:rPr>
        <w:t xml:space="preserve">inmg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Kontrolle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Sauerstoffsättigung war über die gesamte Behandlung konstant und über 95%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Überwachung durch Assistenz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Überwachung durch Anästhesisten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Komplikationen: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Komplikationen bei der Behandlung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4urefa12jpc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Behandlungszeit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Ende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Ende Überwachung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Übergabe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Übergeben an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Überwachung durch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Patientenzustand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ging es zum Ende der Behandlung gut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war zum Zeitpunkt der Übergabe: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wach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ansprechbar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orientiert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anp94piokjq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utrzue8gozlz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und Sonstiges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