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404040"/>
          <w:sz w:val="30"/>
          <w:szCs w:val="30"/>
        </w:rPr>
      </w:pPr>
      <w:r w:rsidDel="00000000" w:rsidR="00000000" w:rsidRPr="00000000">
        <w:rPr>
          <w:rFonts w:ascii="Roboto" w:cs="Roboto" w:eastAsia="Roboto" w:hAnsi="Roboto"/>
          <w:b w:val="1"/>
          <w:color w:val="404040"/>
          <w:sz w:val="30"/>
          <w:szCs w:val="30"/>
          <w:rtl w:val="0"/>
        </w:rPr>
        <w:t xml:space="preserve">Endo (Revision)</w:t>
      </w:r>
    </w:p>
    <w:p w:rsidR="00000000" w:rsidDel="00000000" w:rsidP="00000000" w:rsidRDefault="00000000" w:rsidRPr="00000000" w14:paraId="00000002">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Patientengespräch</w:t>
      </w:r>
    </w:p>
    <w:p w:rsidR="00000000" w:rsidDel="00000000" w:rsidP="00000000" w:rsidRDefault="00000000" w:rsidRPr="00000000" w14:paraId="00000005">
      <w:pPr>
        <w:numPr>
          <w:ilvl w:val="0"/>
          <w:numId w:val="18"/>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6">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Behandlungsgebiet</w:t>
      </w:r>
    </w:p>
    <w:p w:rsidR="00000000" w:rsidDel="00000000" w:rsidP="00000000" w:rsidRDefault="00000000" w:rsidRPr="00000000" w14:paraId="00000007">
      <w:pPr>
        <w:numPr>
          <w:ilvl w:val="0"/>
          <w:numId w:val="25"/>
        </w:numPr>
        <w:ind w:left="720" w:hanging="360"/>
      </w:pPr>
      <w:r w:rsidDel="00000000" w:rsidR="00000000" w:rsidRPr="00000000">
        <w:rPr>
          <w:rFonts w:ascii="Roboto" w:cs="Roboto" w:eastAsia="Roboto" w:hAnsi="Roboto"/>
          <w:color w:val="404040"/>
          <w:sz w:val="24"/>
          <w:szCs w:val="24"/>
          <w:rtl w:val="0"/>
        </w:rPr>
        <w:t xml:space="preserve">OKUK: 55, 54, 53, 52, 51, 61, 62, 63, 64, 65, 18, 17, 16, 15, 14, 13, 12, 11, 21, 22, 23, 24, 25, 26, 27, 28, 48, 47, 46, 45, 44, 43, 42, 41, 31, 32, 33, 34, 35, 36, 37, 38, 85, 84, 83, 82, 81, 71, 72, 73, 74, 75</w:t>
      </w:r>
    </w:p>
    <w:p w:rsidR="00000000" w:rsidDel="00000000" w:rsidP="00000000" w:rsidRDefault="00000000" w:rsidRPr="00000000" w14:paraId="00000008">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Indikation Revision</w:t>
      </w:r>
    </w:p>
    <w:p w:rsidR="00000000" w:rsidDel="00000000" w:rsidP="00000000" w:rsidRDefault="00000000" w:rsidRPr="00000000" w14:paraId="00000009">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CAP nach WF</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Persistierende Schmerzen bei insuff. WF</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Sonstige Indikationen</w:t>
      </w:r>
    </w:p>
    <w:p w:rsidR="00000000" w:rsidDel="00000000" w:rsidP="00000000" w:rsidRDefault="00000000" w:rsidRPr="00000000" w14:paraId="0000000C">
      <w:pPr>
        <w:numPr>
          <w:ilvl w:val="0"/>
          <w:numId w:val="1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Weitere Indikation(en) der geplanten Wurzelkanalrevision</w:t>
      </w:r>
    </w:p>
    <w:p w:rsidR="00000000" w:rsidDel="00000000" w:rsidP="00000000" w:rsidRDefault="00000000" w:rsidRPr="00000000" w14:paraId="0000000D">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Aufklärung</w:t>
      </w:r>
    </w:p>
    <w:p w:rsidR="00000000" w:rsidDel="00000000" w:rsidP="00000000" w:rsidRDefault="00000000" w:rsidRPr="00000000" w14:paraId="0000000E">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Beratung, Information und Aufklärung über Diagnose und Behandlungsnotwendigkeit, den geplanten Ablauf, Risiken und Alternativen der empfohlenen Behandlung.</w:t>
      </w:r>
    </w:p>
    <w:p w:rsidR="00000000" w:rsidDel="00000000" w:rsidP="00000000" w:rsidRDefault="00000000" w:rsidRPr="00000000" w14:paraId="0000000F">
      <w:pPr>
        <w:numPr>
          <w:ilvl w:val="0"/>
          <w:numId w:val="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Pat. ist mit Behandlung einverstanden.</w:t>
      </w:r>
    </w:p>
    <w:p w:rsidR="00000000" w:rsidDel="00000000" w:rsidP="00000000" w:rsidRDefault="00000000" w:rsidRPr="00000000" w14:paraId="00000010">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Mehrkosten</w:t>
      </w:r>
    </w:p>
    <w:p w:rsidR="00000000" w:rsidDel="00000000" w:rsidP="00000000" w:rsidRDefault="00000000" w:rsidRPr="00000000" w14:paraId="00000011">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Pat. über Mehrkosten/Eigenanteil aufgeklärt</w:t>
      </w:r>
    </w:p>
    <w:p w:rsidR="00000000" w:rsidDel="00000000" w:rsidP="00000000" w:rsidRDefault="00000000" w:rsidRPr="00000000" w14:paraId="00000012">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KVA liegt unterschrieben vor</w:t>
      </w:r>
    </w:p>
    <w:p w:rsidR="00000000" w:rsidDel="00000000" w:rsidP="00000000" w:rsidRDefault="00000000" w:rsidRPr="00000000" w14:paraId="00000013">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Full Mouth Desinfection</w:t>
      </w:r>
    </w:p>
    <w:p w:rsidR="00000000" w:rsidDel="00000000" w:rsidP="00000000" w:rsidRDefault="00000000" w:rsidRPr="00000000" w14:paraId="00000014">
      <w:pPr>
        <w:numPr>
          <w:ilvl w:val="0"/>
          <w:numId w:val="20"/>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 30 Sekunden, 1 Minute</w:t>
      </w:r>
    </w:p>
    <w:p w:rsidR="00000000" w:rsidDel="00000000" w:rsidP="00000000" w:rsidRDefault="00000000" w:rsidRPr="00000000" w14:paraId="00000015">
      <w:pPr>
        <w:numPr>
          <w:ilvl w:val="0"/>
          <w:numId w:val="2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CHX-Splg. (0,2%), H2O2</w:t>
      </w:r>
    </w:p>
    <w:p w:rsidR="00000000" w:rsidDel="00000000" w:rsidP="00000000" w:rsidRDefault="00000000" w:rsidRPr="00000000" w14:paraId="00000016">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Anästhesie</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Oberflächenanästhesie: Emla, Gingicain, HurriCaine, Kältespray, Oraqix, UDS, Xylocain</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Behandlungsgebiet: OKUK: 55, 54, 53, 52, 51, 61, 62, 63, 64, 65, 18, 17, 16, 15, 14, 13, 12, 11, 21, 22, 23, 24, 25, 26, 27, 28, 48, 47, 46, 45, 44, 43, 42, 41, 31, 32, 33, 34, 35, 36, 37, 38, 85, 84, 83, 82, 81, 71, 72, 73, 74, 75</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Infiltrationsanästhesie, Leitungsanästhesie, Intraligamentäre Anästhesie</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Einstichstellen: v, b, p, l, d, m</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Anästhetikum: 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 Zylinder: 1, 2, 3, 4, 5, 6, 7, ...</w:t>
      </w:r>
    </w:p>
    <w:p w:rsidR="00000000" w:rsidDel="00000000" w:rsidP="00000000" w:rsidRDefault="00000000" w:rsidRPr="00000000" w14:paraId="0000001E">
      <w:pPr>
        <w:numPr>
          <w:ilvl w:val="0"/>
          <w:numId w:val="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1F">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EKr</w:t>
      </w:r>
    </w:p>
    <w:p w:rsidR="00000000" w:rsidDel="00000000" w:rsidP="00000000" w:rsidRDefault="00000000" w:rsidRPr="00000000" w14:paraId="00000020">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Rekonstruktionstyp: einer Füllung, einer Krone, eines Brückenankers, eines Inlays, eines Wurzelstifts, eines Brückenglieds, eines Provs, ...</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Behandlungsgebiet: OKUK: 55, 54, 53, 52, 51, 61, 62, 63, 64, 65, 18, 17, 16, 15, 14, 13, 12, 11, 21, 22, 23, 24, 25, 26, 27, 28, 48, 47, 46, 45, 44, 43, 42, 41, 31, 32, 33, 34, 35, 36, 37, 38, 85, 84, 83, 82, 81, 71, 72, 73, 74, 75</w:t>
      </w:r>
    </w:p>
    <w:p w:rsidR="00000000" w:rsidDel="00000000" w:rsidP="00000000" w:rsidRDefault="00000000" w:rsidRPr="00000000" w14:paraId="00000022">
      <w:pPr>
        <w:numPr>
          <w:ilvl w:val="0"/>
          <w:numId w:val="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Anzahl Trennstellen: 1, 2, 3, 4, 5, ...</w:t>
      </w:r>
    </w:p>
    <w:p w:rsidR="00000000" w:rsidDel="00000000" w:rsidP="00000000" w:rsidRDefault="00000000" w:rsidRPr="00000000" w14:paraId="00000023">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Spanngummi</w:t>
      </w:r>
    </w:p>
    <w:p w:rsidR="00000000" w:rsidDel="00000000" w:rsidP="00000000" w:rsidRDefault="00000000" w:rsidRPr="00000000" w14:paraId="00000024">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Behandlungsgebiet: OKUK: 55, 54, 53, 52, 51, 61, 62, 63, 64, 65, 18, 17, 16, 15, 14, 13, 12, 11, 21, 22, 23, 24, 25, 26, 27, 28, 48, 47, 46, 45, 44, 43, 42, 41, 31, 32, 33, 34, 35, 36, 37, 38, 85, 84, 83, 82, 81, 71, 72, 73, 74, 75</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Wie oft neu angelegt?: 1, 2, 3, 4, 5</w:t>
      </w:r>
    </w:p>
    <w:p w:rsidR="00000000" w:rsidDel="00000000" w:rsidP="00000000" w:rsidRDefault="00000000" w:rsidRPr="00000000" w14:paraId="00000026">
      <w:pPr>
        <w:numPr>
          <w:ilvl w:val="0"/>
          <w:numId w:val="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Starke Approximalkontakte, Erschwerter Zugang, Erhöhter Speichelfluss, Starker Zungendruck, mehrfaches Nachanästhesieren notwendig, ...</w:t>
      </w:r>
    </w:p>
    <w:p w:rsidR="00000000" w:rsidDel="00000000" w:rsidP="00000000" w:rsidRDefault="00000000" w:rsidRPr="00000000" w14:paraId="00000027">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BMF</w:t>
      </w:r>
    </w:p>
    <w:p w:rsidR="00000000" w:rsidDel="00000000" w:rsidP="00000000" w:rsidRDefault="00000000" w:rsidRPr="00000000" w14:paraId="00000028">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Verdrängen von störendem Zahnfleisch: mit Fäden, mit Keil, beim Füllen, beim Präparieren</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Durchtrennen von Zahnfleischfasern</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Separieren: mit Keil beim Präparieren, mit Schutzmatrize beim Präparieren, mit Streifen, beim Präparieren, beim Füllen</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Matrize: Formgebungshilfe beim Füllen</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Stillung einer übermäßigen Papillenblutung: mit getränkten Retraktionsfäden, mit Keil, mit Elektrotom, durch Druckapplikation mittels Keil, beim Füllen, beim Präparieren</w:t>
      </w:r>
    </w:p>
    <w:p w:rsidR="00000000" w:rsidDel="00000000" w:rsidP="00000000" w:rsidRDefault="00000000" w:rsidRPr="00000000" w14:paraId="0000002D">
      <w:pPr>
        <w:numPr>
          <w:ilvl w:val="0"/>
          <w:numId w:val="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Material Blutungsstillung: Astringedent, Eisen-III-Sulfat, H2O2, Orbat, Orbat forte, Racestyptine, Retraction, Resorcell Pulver, Viscostat, Voco Retraktionspaste, 3M Paste</w:t>
      </w:r>
    </w:p>
    <w:p w:rsidR="00000000" w:rsidDel="00000000" w:rsidP="00000000" w:rsidRDefault="00000000" w:rsidRPr="00000000" w14:paraId="0000002E">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Trep</w:t>
      </w:r>
    </w:p>
    <w:p w:rsidR="00000000" w:rsidDel="00000000" w:rsidP="00000000" w:rsidRDefault="00000000" w:rsidRPr="00000000" w14:paraId="0000002F">
      <w:pPr>
        <w:numPr>
          <w:ilvl w:val="0"/>
          <w:numId w:val="22"/>
        </w:numPr>
        <w:spacing w:after="0" w:afterAutospacing="0"/>
        <w:ind w:left="720" w:hanging="360"/>
      </w:pPr>
      <w:r w:rsidDel="00000000" w:rsidR="00000000" w:rsidRPr="00000000">
        <w:rPr>
          <w:rFonts w:ascii="Roboto" w:cs="Roboto" w:eastAsia="Roboto" w:hAnsi="Roboto"/>
          <w:color w:val="404040"/>
          <w:sz w:val="24"/>
          <w:szCs w:val="24"/>
          <w:rtl w:val="0"/>
        </w:rPr>
        <w:t xml:space="preserve">Zahn trepaniert</w:t>
      </w:r>
    </w:p>
    <w:p w:rsidR="00000000" w:rsidDel="00000000" w:rsidP="00000000" w:rsidRDefault="00000000" w:rsidRPr="00000000" w14:paraId="00000030">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Nekrotisches Gewebe entfernt</w:t>
      </w:r>
    </w:p>
    <w:p w:rsidR="00000000" w:rsidDel="00000000" w:rsidP="00000000" w:rsidRDefault="00000000" w:rsidRPr="00000000" w14:paraId="00000031">
      <w:pPr>
        <w:numPr>
          <w:ilvl w:val="0"/>
          <w:numId w:val="2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Restschmerzen</w:t>
      </w:r>
    </w:p>
    <w:p w:rsidR="00000000" w:rsidDel="00000000" w:rsidP="00000000" w:rsidRDefault="00000000" w:rsidRPr="00000000" w14:paraId="00000032">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Entfernung Stift</w:t>
      </w:r>
    </w:p>
    <w:p w:rsidR="00000000" w:rsidDel="00000000" w:rsidP="00000000" w:rsidRDefault="00000000" w:rsidRPr="00000000" w14:paraId="00000033">
      <w:pPr>
        <w:numPr>
          <w:ilvl w:val="0"/>
          <w:numId w:val="1"/>
        </w:numPr>
        <w:ind w:left="720" w:hanging="360"/>
      </w:pPr>
      <w:r w:rsidDel="00000000" w:rsidR="00000000" w:rsidRPr="00000000">
        <w:rPr>
          <w:rFonts w:ascii="Roboto" w:cs="Roboto" w:eastAsia="Roboto" w:hAnsi="Roboto"/>
          <w:color w:val="404040"/>
          <w:sz w:val="24"/>
          <w:szCs w:val="24"/>
          <w:rtl w:val="0"/>
        </w:rPr>
        <w:t xml:space="preserve">Kanal: p, d, db, dl, b, l, mb, ml, mb1, mb2, m, zentral</w:t>
      </w:r>
    </w:p>
    <w:p w:rsidR="00000000" w:rsidDel="00000000" w:rsidP="00000000" w:rsidRDefault="00000000" w:rsidRPr="00000000" w14:paraId="00000034">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Revision und Reinigung</w:t>
      </w:r>
    </w:p>
    <w:p w:rsidR="00000000" w:rsidDel="00000000" w:rsidP="00000000" w:rsidRDefault="00000000" w:rsidRPr="00000000" w14:paraId="00000035">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Anzahl Kanäle: 1, 2, 3, 4, 5, 6, 7, ...</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Alte Wurzelfüllung entfernt</w:t>
      </w:r>
    </w:p>
    <w:p w:rsidR="00000000" w:rsidDel="00000000" w:rsidP="00000000" w:rsidRDefault="00000000" w:rsidRPr="00000000" w14:paraId="00000037">
      <w:pPr>
        <w:numPr>
          <w:ilvl w:val="0"/>
          <w:numId w:val="1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Nekrotisches Gewebe entfernt</w:t>
      </w:r>
    </w:p>
    <w:p w:rsidR="00000000" w:rsidDel="00000000" w:rsidP="00000000" w:rsidRDefault="00000000" w:rsidRPr="00000000" w14:paraId="00000038">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WK</w:t>
      </w:r>
    </w:p>
    <w:p w:rsidR="00000000" w:rsidDel="00000000" w:rsidP="00000000" w:rsidRDefault="00000000" w:rsidRPr="00000000" w14:paraId="00000039">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Prov. Fllg. entfernt</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Schall, Ultraschall, mit Diamantbohrer</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 Kanäle: 1, 2, 3, 4, 5, 6, 7, ...</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Klin. Befund: Pusabfluss aus Wurzelkanal, Gangrän</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Art der Aufbereitung: manuell aufbereitet, maschinell aufbereitet</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Feilen / Instrumentarium: Handfeilen, Gates Bohrer 1-4, Goldglider, mTwo, ProTaper, Reciproc, Reciproc Blue, SkyTaper Komet, VDW IRRI, Wave One</w:t>
      </w:r>
    </w:p>
    <w:p w:rsidR="00000000" w:rsidDel="00000000" w:rsidP="00000000" w:rsidRDefault="00000000" w:rsidRPr="00000000" w14:paraId="0000003F">
      <w:pPr>
        <w:numPr>
          <w:ilvl w:val="0"/>
          <w:numId w:val="1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Pat. auf Wunsch mitgegeben: andere:</w:t>
      </w:r>
    </w:p>
    <w:p w:rsidR="00000000" w:rsidDel="00000000" w:rsidP="00000000" w:rsidRDefault="00000000" w:rsidRPr="00000000" w14:paraId="00000040">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Phys</w:t>
      </w:r>
    </w:p>
    <w:p w:rsidR="00000000" w:rsidDel="00000000" w:rsidP="00000000" w:rsidRDefault="00000000" w:rsidRPr="00000000" w14:paraId="00000041">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Aktivierung Spüllösung: Ultraschall, Eddy, Laser, Schall, Wärme</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Spüllösung: Alkohol, CHX, EDTA, H2O2, Hypo, NaCl 0,9%, NaOCl, Orthoskavident, Zitronensäure</w:t>
      </w:r>
    </w:p>
    <w:p w:rsidR="00000000" w:rsidDel="00000000" w:rsidP="00000000" w:rsidRDefault="00000000" w:rsidRPr="00000000" w14:paraId="00000043">
      <w:pPr>
        <w:numPr>
          <w:ilvl w:val="0"/>
          <w:numId w:val="1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Besonderer Zeitaufwand beim Trocknen des Wurzelkanals, Mehrfache Wurzelkanalspülung, Anfertigung eines Spülprotokolls, Einwirkzeit EDTA, Starke Wurzelkanalkrümmung, Extrem tiefer Zerstörungsgrad, Schwierige Stillung einer Blutung des Pulpengewebes, Hochakuter, schmerzhafter Zustand, Besonders kalzifizierter Wurzelkanal, Anwendung unterschiedlicher Methoden, ...</w:t>
      </w:r>
    </w:p>
    <w:p w:rsidR="00000000" w:rsidDel="00000000" w:rsidP="00000000" w:rsidRDefault="00000000" w:rsidRPr="00000000" w14:paraId="00000044">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Elektrometrische Längenbestimmung</w:t>
      </w:r>
    </w:p>
    <w:p w:rsidR="00000000" w:rsidDel="00000000" w:rsidP="00000000" w:rsidRDefault="00000000" w:rsidRPr="00000000" w14:paraId="00000045">
      <w:pPr>
        <w:numPr>
          <w:ilvl w:val="0"/>
          <w:numId w:val="17"/>
        </w:numPr>
        <w:spacing w:after="0" w:afterAutospacing="0"/>
        <w:ind w:left="720" w:hanging="360"/>
      </w:pPr>
      <w:r w:rsidDel="00000000" w:rsidR="00000000" w:rsidRPr="00000000">
        <w:rPr>
          <w:rFonts w:ascii="Roboto" w:cs="Roboto" w:eastAsia="Roboto" w:hAnsi="Roboto"/>
          <w:color w:val="404040"/>
          <w:sz w:val="24"/>
          <w:szCs w:val="24"/>
          <w:rtl w:val="0"/>
        </w:rPr>
        <w:t xml:space="preserve">Anamnese Herzschrittmacher: Pat. hat keinen Herzschrittmacher</w:t>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Kontrollmessung: Kontrolle der ermittelten Aufbereitungslänge (mehrere Messungen pro Kanal)</w:t>
      </w:r>
    </w:p>
    <w:p w:rsidR="00000000" w:rsidDel="00000000" w:rsidP="00000000" w:rsidRDefault="00000000" w:rsidRPr="00000000" w14:paraId="00000047">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w:t>
      </w:r>
    </w:p>
    <w:p w:rsidR="00000000" w:rsidDel="00000000" w:rsidP="00000000" w:rsidRDefault="00000000" w:rsidRPr="00000000" w14:paraId="00000048">
      <w:pPr>
        <w:numPr>
          <w:ilvl w:val="0"/>
          <w:numId w:val="1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Mehrfache Messung, Extrem verschlossener Wurzelkanal, Schwierige Messung aufgrund einer Blutung/Exsudat im Wurzelkanal, Schwierige Messung bei Palatinal-/Lingualstand des Zahnes, Mehrere Wurzelkanaleingänge, Erschwerter Behandlung bei apikal offenem Kanal, Schwierige Messung durch leitfähige Materialien an dem versorgten Zahn, Partielle Resorption der Wurzel, ...</w:t>
      </w:r>
    </w:p>
    <w:p w:rsidR="00000000" w:rsidDel="00000000" w:rsidP="00000000" w:rsidRDefault="00000000" w:rsidRPr="00000000" w14:paraId="00000049">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ISO-Größe</w:t>
      </w:r>
    </w:p>
    <w:p w:rsidR="00000000" w:rsidDel="00000000" w:rsidP="00000000" w:rsidRDefault="00000000" w:rsidRPr="00000000" w14:paraId="0000004A">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Kanal: p, d, db, dl, b, l, mb, ml, mb1, mb2, m, zentral</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ISO: 006, 008, 010, 015, 020, 025, 030, 035, 040, 050, weiß, gelb, rot, blau, grün, schwarz, ...</w:t>
      </w:r>
    </w:p>
    <w:p w:rsidR="00000000" w:rsidDel="00000000" w:rsidP="00000000" w:rsidRDefault="00000000" w:rsidRPr="00000000" w14:paraId="0000004C">
      <w:pPr>
        <w:numPr>
          <w:ilvl w:val="0"/>
          <w:numId w:val="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Andere:</w:t>
      </w:r>
    </w:p>
    <w:p w:rsidR="00000000" w:rsidDel="00000000" w:rsidP="00000000" w:rsidRDefault="00000000" w:rsidRPr="00000000" w14:paraId="0000004D">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Aufbereitungslänge</w:t>
      </w:r>
    </w:p>
    <w:p w:rsidR="00000000" w:rsidDel="00000000" w:rsidP="00000000" w:rsidRDefault="00000000" w:rsidRPr="00000000" w14:paraId="0000004E">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Kanal: p, d, db, dl, b, l, mb, ml, mb1, mb2, m, zentral</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Länge: [mm]</w:t>
      </w:r>
    </w:p>
    <w:p w:rsidR="00000000" w:rsidDel="00000000" w:rsidP="00000000" w:rsidRDefault="00000000" w:rsidRPr="00000000" w14:paraId="00000050">
      <w:pPr>
        <w:numPr>
          <w:ilvl w:val="0"/>
          <w:numId w:val="1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Referenzpunkt:</w:t>
      </w:r>
    </w:p>
    <w:p w:rsidR="00000000" w:rsidDel="00000000" w:rsidP="00000000" w:rsidRDefault="00000000" w:rsidRPr="00000000" w14:paraId="00000051">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Med</w:t>
      </w:r>
    </w:p>
    <w:p w:rsidR="00000000" w:rsidDel="00000000" w:rsidP="00000000" w:rsidRDefault="00000000" w:rsidRPr="00000000" w14:paraId="00000052">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Erste Med, Zweite Med, Dritte Med, Vierte Med, Fünfte Med, ...</w:t>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Medikament: Apernyl, Calxyl, CHKM, Jodoform, Ledermix, ZNO-Eugenol</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Begründung für weitere Med: nicht zu trocknendem Kanal, starker Schmerzen, Pusabfluss aus Wurzelkanal, starker Infektion, Gangrän, ...</w:t>
      </w:r>
    </w:p>
    <w:p w:rsidR="00000000" w:rsidDel="00000000" w:rsidP="00000000" w:rsidRDefault="00000000" w:rsidRPr="00000000" w14:paraId="00000055">
      <w:pPr>
        <w:numPr>
          <w:ilvl w:val="0"/>
          <w:numId w:val="15"/>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Verschluss: Teflon, Schaumstoffpellet, Watte, Cavit, Flow, Clip, Komposit</w:t>
      </w:r>
    </w:p>
    <w:p w:rsidR="00000000" w:rsidDel="00000000" w:rsidP="00000000" w:rsidRDefault="00000000" w:rsidRPr="00000000" w14:paraId="00000056">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WF</w:t>
      </w:r>
    </w:p>
    <w:p w:rsidR="00000000" w:rsidDel="00000000" w:rsidP="00000000" w:rsidRDefault="00000000" w:rsidRPr="00000000" w14:paraId="00000057">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Anzahl Kanäle: 1, 2, 3, 4, 5, 6, 7, ...</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WF: Adhäsiv, ISO genormter MP, AH 26, AHPlus Sealer, Apexit, BC Sealer, GuttaFlow, GuttaPercha, MTA, MTA-Sealer (Cumdente), Thermafil, TotalFill</w:t>
      </w:r>
    </w:p>
    <w:p w:rsidR="00000000" w:rsidDel="00000000" w:rsidP="00000000" w:rsidRDefault="00000000" w:rsidRPr="00000000" w14:paraId="00000059">
      <w:pPr>
        <w:numPr>
          <w:ilvl w:val="0"/>
          <w:numId w:val="1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Behandlungstechnik: Einstifttechnik, laterale Kondensation, vertikale Kondensation, thermoplastische Kondensation, thermomechanische Kondensation, Backpacking, ...</w:t>
      </w:r>
    </w:p>
    <w:p w:rsidR="00000000" w:rsidDel="00000000" w:rsidP="00000000" w:rsidRDefault="00000000" w:rsidRPr="00000000" w14:paraId="0000005A">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Stift</w:t>
      </w:r>
    </w:p>
    <w:p w:rsidR="00000000" w:rsidDel="00000000" w:rsidP="00000000" w:rsidRDefault="00000000" w:rsidRPr="00000000" w14:paraId="0000005B">
      <w:pPr>
        <w:numPr>
          <w:ilvl w:val="0"/>
          <w:numId w:val="21"/>
        </w:numPr>
        <w:spacing w:after="0" w:afterAutospacing="0"/>
        <w:ind w:left="720" w:hanging="360"/>
      </w:pPr>
      <w:r w:rsidDel="00000000" w:rsidR="00000000" w:rsidRPr="00000000">
        <w:rPr>
          <w:rFonts w:ascii="Roboto" w:cs="Roboto" w:eastAsia="Roboto" w:hAnsi="Roboto"/>
          <w:color w:val="404040"/>
          <w:sz w:val="24"/>
          <w:szCs w:val="24"/>
          <w:rtl w:val="0"/>
        </w:rPr>
        <w:t xml:space="preserve">Behandlungsschritte: Prov. Fllg. entfernt, Präparation des Wurzelkanals auf vordef. Länge und ISO-Größe des Stiftes, Passung kontrolliert, Reinigung und Trocknung des Kanals</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Behandlungsgebiet: OKUK: 55, 54, 53, 52, 51, 61, 62, 63, 64, 65, 18, 17, 16, 15, 14, 13, 12, 11, 21, 22, 23, 24, 25, 26, 27, 28, 48, 47, 46, 45, 44, 43, 42, 41, 31, 32, 33, 34, 35, 36, 37, 38, 85, 84, 83, 82, 81, 71, 72, 73, 74, 75</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Art: Glasfaser, Titan, Gegossen, Stift, DentinPost, Komet ER kurz, Komet ER lang, Parapulpärer Stift, Radix Anker, VDW DT Light</w:t>
      </w:r>
    </w:p>
    <w:p w:rsidR="00000000" w:rsidDel="00000000" w:rsidP="00000000" w:rsidRDefault="00000000" w:rsidRPr="00000000" w14:paraId="0000005E">
      <w:pPr>
        <w:numPr>
          <w:ilvl w:val="0"/>
          <w:numId w:val="2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Befestigungsmaterial: Calibra, Core-X-Flow, G-Cem One, GIZ, Harvard, Ketac Cem, Komposit, Panavia, RelyX, Variolink</w:t>
      </w:r>
    </w:p>
    <w:p w:rsidR="00000000" w:rsidDel="00000000" w:rsidP="00000000" w:rsidRDefault="00000000" w:rsidRPr="00000000" w14:paraId="0000005F">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Röntgen während der Behandlung</w:t>
      </w:r>
    </w:p>
    <w:p w:rsidR="00000000" w:rsidDel="00000000" w:rsidP="00000000" w:rsidRDefault="00000000" w:rsidRPr="00000000" w14:paraId="00000060">
      <w:pPr>
        <w:numPr>
          <w:ilvl w:val="0"/>
          <w:numId w:val="23"/>
        </w:numPr>
        <w:spacing w:after="0" w:afterAutospacing="0"/>
        <w:ind w:left="720" w:hanging="360"/>
      </w:pPr>
      <w:r w:rsidDel="00000000" w:rsidR="00000000" w:rsidRPr="00000000">
        <w:rPr>
          <w:rFonts w:ascii="Roboto" w:cs="Roboto" w:eastAsia="Roboto" w:hAnsi="Roboto"/>
          <w:color w:val="404040"/>
          <w:sz w:val="24"/>
          <w:szCs w:val="24"/>
          <w:rtl w:val="0"/>
        </w:rPr>
        <w:t xml:space="preserve">Abnahme Spanngummi, erneutes Anlegen Spanngummi nach Rö</w:t>
      </w:r>
    </w:p>
    <w:p w:rsidR="00000000" w:rsidDel="00000000" w:rsidP="00000000" w:rsidRDefault="00000000" w:rsidRPr="00000000" w14:paraId="00000061">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 1, 2, 3, 4, 5, 6, ...</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Indikation: Ausgangssituation, Rö-Messaufnahme, Röntgenkontrastaufnahme, MP-Aufnahme, Lokalisierung Instrumentenfragment, WF-Kontrolle, Z.n. Stift</w:t>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Rechtfertigende Indikation</w:t>
      </w:r>
    </w:p>
    <w:p w:rsidR="00000000" w:rsidDel="00000000" w:rsidP="00000000" w:rsidRDefault="00000000" w:rsidRPr="00000000" w14:paraId="00000064">
      <w:pPr>
        <w:numPr>
          <w:ilvl w:val="0"/>
          <w:numId w:val="2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Röntgen-Befund</w:t>
      </w:r>
    </w:p>
    <w:p w:rsidR="00000000" w:rsidDel="00000000" w:rsidP="00000000" w:rsidRDefault="00000000" w:rsidRPr="00000000" w14:paraId="00000065">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Kompositfüllung</w:t>
      </w:r>
    </w:p>
    <w:p w:rsidR="00000000" w:rsidDel="00000000" w:rsidP="00000000" w:rsidRDefault="00000000" w:rsidRPr="00000000" w14:paraId="00000066">
      <w:pPr>
        <w:numPr>
          <w:ilvl w:val="0"/>
          <w:numId w:val="19"/>
        </w:numPr>
        <w:spacing w:after="0" w:afterAutospacing="0"/>
        <w:ind w:left="720" w:hanging="360"/>
      </w:pPr>
      <w:r w:rsidDel="00000000" w:rsidR="00000000" w:rsidRPr="00000000">
        <w:rPr>
          <w:rFonts w:ascii="Roboto" w:cs="Roboto" w:eastAsia="Roboto" w:hAnsi="Roboto"/>
          <w:color w:val="404040"/>
          <w:sz w:val="24"/>
          <w:szCs w:val="24"/>
          <w:rtl w:val="0"/>
        </w:rPr>
        <w:t xml:space="preserve">Behandlungsgebiet: OKUK: 55, 54, 53, 52, 51, 61, 62, 63, 64, 65, 18, 17, 16, 15, 14, 13, 12, 11, 21, 22, 23, 24, 25, 26, 27, 28, 48, 47, 46, 45, 44, 43, 42, 41, 31, 32, 33, 34, 35, 36, 37, 38, 85, 84, 83, 82, 81, 71, 72, 73, 74, 75</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Getrennte Füllungslage: F1: einflächig, F2: zweiflächig, F3: dreiflächig, &gt; F4: mehrflächig / Eckenaufbau</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Behandlungsschritte: Kariesexkavation, Alte Füllung entfernt, Füllung in Adhäsiv- und Mehrschichttechnik gelegt, Polymerisation, Okklusion überprüft und eingeschliffen, Politur</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Füllung mehrfarbig</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Adhäsiv / Konditionierung Zahn: SÄT, Adhese Universal, Bonding, Cleaner, Clearfil Bond, Etch&amp;Bond, G-Premio Bond, G2-Bond Universal, Heliobond, Hybrid Bond, iBond, OptiBond FL, Prime &amp; Bond Active, Scotchbond, Syntac, Tooth Primer, Unibond, Universal Bond Quick</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Komposit, Flow, GIZ, A1, A2, A3, A3,5, A4, B1, B2, B3, B3,5, C1, C2, C3, C4</w:t>
      </w:r>
    </w:p>
    <w:p w:rsidR="00000000" w:rsidDel="00000000" w:rsidP="00000000" w:rsidRDefault="00000000" w:rsidRPr="00000000" w14:paraId="0000006C">
      <w:pPr>
        <w:numPr>
          <w:ilvl w:val="0"/>
          <w:numId w:val="1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Farbnahme mit Farbring</w:t>
      </w:r>
    </w:p>
    <w:p w:rsidR="00000000" w:rsidDel="00000000" w:rsidP="00000000" w:rsidRDefault="00000000" w:rsidRPr="00000000" w14:paraId="0000006D">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Zuschlag</w:t>
      </w:r>
    </w:p>
    <w:p w:rsidR="00000000" w:rsidDel="00000000" w:rsidP="00000000" w:rsidRDefault="00000000" w:rsidRPr="00000000" w14:paraId="0000006E">
      <w:pPr>
        <w:numPr>
          <w:ilvl w:val="0"/>
          <w:numId w:val="24"/>
        </w:numPr>
        <w:ind w:left="720" w:hanging="360"/>
      </w:pPr>
      <w:r w:rsidDel="00000000" w:rsidR="00000000" w:rsidRPr="00000000">
        <w:rPr>
          <w:rFonts w:ascii="Roboto" w:cs="Roboto" w:eastAsia="Roboto" w:hAnsi="Roboto"/>
          <w:color w:val="404040"/>
          <w:sz w:val="24"/>
          <w:szCs w:val="24"/>
          <w:rtl w:val="0"/>
        </w:rPr>
        <w:t xml:space="preserve">Verwendung OPM</w:t>
      </w:r>
    </w:p>
    <w:p w:rsidR="00000000" w:rsidDel="00000000" w:rsidP="00000000" w:rsidRDefault="00000000" w:rsidRPr="00000000" w14:paraId="0000006F">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Wie geht es weiter?</w:t>
      </w:r>
    </w:p>
    <w:p w:rsidR="00000000" w:rsidDel="00000000" w:rsidP="00000000" w:rsidRDefault="00000000" w:rsidRPr="00000000" w14:paraId="00000070">
      <w:pPr>
        <w:numPr>
          <w:ilvl w:val="0"/>
          <w:numId w:val="26"/>
        </w:numPr>
        <w:ind w:left="720" w:hanging="360"/>
      </w:pPr>
      <w:r w:rsidDel="00000000" w:rsidR="00000000" w:rsidRPr="00000000">
        <w:rPr>
          <w:rFonts w:ascii="Roboto" w:cs="Roboto" w:eastAsia="Roboto" w:hAnsi="Roboto"/>
          <w:color w:val="404040"/>
          <w:sz w:val="24"/>
          <w:szCs w:val="24"/>
          <w:rtl w:val="0"/>
        </w:rPr>
        <w:t xml:space="preserve">Nächster Termin:</w:t>
      </w:r>
    </w:p>
    <w:p w:rsidR="00000000" w:rsidDel="00000000" w:rsidP="00000000" w:rsidRDefault="00000000" w:rsidRPr="00000000" w14:paraId="00000071">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Planung und Sonstiges</w:t>
      </w:r>
    </w:p>
    <w:p w:rsidR="00000000" w:rsidDel="00000000" w:rsidP="00000000" w:rsidRDefault="00000000" w:rsidRPr="00000000" w14:paraId="00000072">
      <w:pPr>
        <w:numPr>
          <w:ilvl w:val="0"/>
          <w:numId w:val="5"/>
        </w:numPr>
        <w:spacing w:after="0" w:afterAutospacing="0"/>
        <w:ind w:left="720" w:hanging="360"/>
      </w:pPr>
      <w:r w:rsidDel="00000000" w:rsidR="00000000" w:rsidRPr="00000000">
        <w:rPr>
          <w:rFonts w:ascii="Roboto" w:cs="Roboto" w:eastAsia="Roboto" w:hAnsi="Roboto"/>
          <w:color w:val="404040"/>
          <w:sz w:val="24"/>
          <w:szCs w:val="24"/>
          <w:rtl w:val="0"/>
        </w:rPr>
        <w:t xml:space="preserve">Planung:</w:t>
      </w:r>
    </w:p>
    <w:p w:rsidR="00000000" w:rsidDel="00000000" w:rsidP="00000000" w:rsidRDefault="00000000" w:rsidRPr="00000000" w14:paraId="00000073">
      <w:pPr>
        <w:numPr>
          <w:ilvl w:val="0"/>
          <w:numId w:val="5"/>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Sonstiges:</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