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y5q5e5ov11el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KFO Eingliederung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ezp8f3p2o0j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Begleitperson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Mutter</w:t>
        <w:br w:type="textWrapping"/>
        <w:t xml:space="preserve">Vater</w:t>
        <w:br w:type="textWrapping"/>
        <w:t xml:space="preserve">Großeltern</w:t>
        <w:br w:type="textWrapping"/>
        <w:t xml:space="preserve">gesetzl. Betreuung</w:t>
        <w:br w:type="textWrapping"/>
        <w:t xml:space="preserve">Dolmetscher</w:t>
        <w:br w:type="textWrapping"/>
        <w:t xml:space="preserve">...</w:t>
        <w:br w:type="textWrapping"/>
        <w:t xml:space="preserve">andere Begleitperson: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lsxh6q12e85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k4fygygc103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Supragingivale Reinigung mit Politur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  <w:br w:type="textWrapping"/>
        <w:t xml:space="preserve">PZR</w:t>
        <w:br w:type="textWrapping"/>
        <w:t xml:space="preserve">Airscaler</w:t>
        <w:br w:type="textWrapping"/>
        <w:t xml:space="preserve">Cavitron</w:t>
        <w:br w:type="textWrapping"/>
        <w:t xml:space="preserve">Flexi Scaler</w:t>
        <w:br w:type="textWrapping"/>
        <w:t xml:space="preserve">Ultraschall</w:t>
        <w:br w:type="textWrapping"/>
        <w:t xml:space="preserve">Handinstrumente</w:t>
        <w:br w:type="textWrapping"/>
        <w:t xml:space="preserve">Airflow</w:t>
        <w:br w:type="textWrapping"/>
        <w:t xml:space="preserve">Zahnseide</w:t>
        <w:br w:type="textWrapping"/>
        <w:t xml:space="preserve">IDR-Bürstchen</w:t>
        <w:br w:type="textWrapping"/>
        <w:t xml:space="preserve">Politur</w:t>
        <w:br w:type="textWrapping"/>
        <w:t xml:space="preserve">Bürstchen</w:t>
        <w:br w:type="textWrapping"/>
        <w:t xml:space="preserve">Polierkelch</w:t>
        <w:br w:type="textWrapping"/>
        <w:t xml:space="preserve">Finierstreifen</w:t>
        <w:br w:type="textWrapping"/>
        <w:t xml:space="preserve">Polierpaste</w:t>
        <w:br w:type="textWrapping"/>
        <w:t xml:space="preserve">Zungenreinigung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vld7356vtrz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Reinigung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  <w:br w:type="textWrapping"/>
        <w:t xml:space="preserve">Subgingivales Debridement</w:t>
        <w:br w:type="textWrapping"/>
        <w:t xml:space="preserve">Entfernung Debris</w:t>
        <w:br w:type="textWrapping"/>
        <w:t xml:space="preserve">Parodontalchirurgische Therapie</w:t>
        <w:br w:type="textWrapping"/>
        <w:t xml:space="preserve">Subgingivale Konkremententfernung (Deep Scaling)</w:t>
        <w:br w:type="textWrapping"/>
        <w:t xml:space="preserve">Wurzelglättung (Root Planing)</w:t>
        <w:br w:type="textWrapping"/>
        <w:t xml:space="preserve">Instrumentarium</w:t>
        <w:br w:type="textWrapping"/>
        <w:t xml:space="preserve">Ultraschall</w:t>
        <w:br w:type="textWrapping"/>
        <w:t xml:space="preserve">Airscaler</w:t>
        <w:br w:type="textWrapping"/>
        <w:t xml:space="preserve">Handinstrumente</w:t>
        <w:br w:type="textWrapping"/>
        <w:t xml:space="preserve">abschließende Politur</w:t>
        <w:br w:type="textWrapping"/>
        <w:t xml:space="preserve">Taschenspülung</w:t>
        <w:br w:type="textWrapping"/>
        <w:t xml:space="preserve">CHX-Splg. (0,2%)</w:t>
        <w:br w:type="textWrapping"/>
        <w:t xml:space="preserve">H2O2</w:t>
        <w:br w:type="textWrapping"/>
        <w:t xml:space="preserve">NaCl</w:t>
        <w:br w:type="textWrapping"/>
        <w:t xml:space="preserve">Oxygen Fluid</w:t>
        <w:br w:type="textWrapping"/>
        <w:t xml:space="preserve">PerioAid</w:t>
        <w:br w:type="textWrapping"/>
        <w:t xml:space="preserve">Subging. medik. Lokalapplikation</w:t>
        <w:br w:type="textWrapping"/>
        <w:t xml:space="preserve">CHX-Gel</w:t>
        <w:br w:type="textWrapping"/>
        <w:t xml:space="preserve">Blue M Gel</w:t>
        <w:br w:type="textWrapping"/>
        <w:t xml:space="preserve">Dontisolon</w:t>
        <w:br w:type="textWrapping"/>
        <w:t xml:space="preserve">Dynexan</w:t>
        <w:br w:type="textWrapping"/>
        <w:t xml:space="preserve">Ligosan</w:t>
        <w:br w:type="textWrapping"/>
        <w:t xml:space="preserve">Wiederholbare Sektion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uumpwih4ko6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MuHy-Status / IP1 bei &lt;18J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mind. 25 Minuten</w:t>
        <w:br w:type="textWrapping"/>
        <w:t xml:space="preserve">SBI (Sulkus-Blutungs-Index)</w:t>
        <w:br w:type="textWrapping"/>
        <w:t xml:space="preserve">&lt;10%, klinisch normale Gingiva</w:t>
        <w:br w:type="textWrapping"/>
        <w:t xml:space="preserve">10-20%, leichte Gingivits</w:t>
        <w:br w:type="textWrapping"/>
        <w:t xml:space="preserve">20-50%, mittelschwere Gingivitis</w:t>
        <w:br w:type="textWrapping"/>
        <w:t xml:space="preserve">50-100%, starke Gingivitis</w:t>
        <w:br w:type="textWrapping"/>
        <w:t xml:space="preserve">Anfärben</w:t>
        <w:br w:type="textWrapping"/>
        <w:t xml:space="preserve">Biofilm Disclosure</w:t>
        <w:br w:type="textWrapping"/>
        <w:t xml:space="preserve">Mira2</w:t>
        <w:br w:type="textWrapping"/>
        <w:t xml:space="preserve">Plaque Test</w:t>
        <w:br w:type="textWrapping"/>
        <w:t xml:space="preserve">Rondells Blue</w:t>
        <w:br w:type="textWrapping"/>
        <w:t xml:space="preserve">API (Approximalraum-Plaque-Index)</w:t>
        <w:br w:type="textWrapping"/>
        <w:t xml:space="preserve">&lt;25%, optimale Mundhygiene</w:t>
        <w:br w:type="textWrapping"/>
        <w:t xml:space="preserve">25-39%, gute Mundhygiene</w:t>
        <w:br w:type="textWrapping"/>
        <w:t xml:space="preserve">40-69%, mäßige Mundhygiene</w:t>
        <w:br w:type="textWrapping"/>
        <w:t xml:space="preserve">70-100%, unzureichende Mundhygiene</w:t>
        <w:br w:type="textWrapping"/>
        <w:t xml:space="preserve">MuHy-Instruktion</w:t>
        <w:br w:type="textWrapping"/>
        <w:t xml:space="preserve">Notwendigkeit und Anwendung von Zahnseide gezeigt</w:t>
        <w:br w:type="textWrapping"/>
        <w:t xml:space="preserve">IDR-Bürsten angepasst und Hinweise zur Nutzung gegeben</w:t>
        <w:br w:type="textWrapping"/>
        <w:t xml:space="preserve">Notwendigkeit der Nutzung von Mundspülung</w:t>
        <w:br w:type="textWrapping"/>
        <w:t xml:space="preserve">Ursachen von Karies und Gingivitis aufgezeigt und erläutert (IP2)</w:t>
        <w:br w:type="textWrapping"/>
        <w:t xml:space="preserve">Mundhygienedefizite anhand der gemessenen Werte aufgezeigt</w:t>
        <w:br w:type="textWrapping"/>
        <w:t xml:space="preserve">Putz- und Hygienedefizite intraoral am Spiegel gezeigt</w:t>
        <w:br w:type="textWrapping"/>
        <w:t xml:space="preserve">Notwendigkeit von regelmäßigem Zähneputzen nach den Mahlzeiten erläutert</w:t>
        <w:br w:type="textWrapping"/>
        <w:t xml:space="preserve">Hinweise zur Zahnputztechnik gegeben (modifizierte Bass-Technik)</w:t>
        <w:br w:type="textWrapping"/>
        <w:t xml:space="preserve">Verwendung von Solobürsten gezeigt und empfohlen</w:t>
        <w:br w:type="textWrapping"/>
        <w:t xml:space="preserve">elektrische Zahnbürste</w:t>
        <w:br w:type="textWrapping"/>
        <w:t xml:space="preserve">Zahnpasta (RDA-Wert nicht zu hoch, keine Bleaching-/Raucher-/Aktivkohle-ZP)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h78a9gmadac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Häusliche Zahnpflege bisher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Manuell</w:t>
        <w:br w:type="textWrapping"/>
        <w:t xml:space="preserve">Elektrisch</w:t>
        <w:br w:type="textWrapping"/>
        <w:t xml:space="preserve">Oral-B (rotierend)</w:t>
        <w:br w:type="textWrapping"/>
        <w:t xml:space="preserve">Philipps SoniCare (Schall)</w:t>
        <w:br w:type="textWrapping"/>
        <w:t xml:space="preserve">weich</w:t>
        <w:br w:type="textWrapping"/>
        <w:t xml:space="preserve">mittel</w:t>
        <w:br w:type="textWrapping"/>
        <w:t xml:space="preserve">hart</w:t>
        <w:br w:type="textWrapping"/>
        <w:t xml:space="preserve">Zahnseide</w:t>
        <w:br w:type="textWrapping"/>
        <w:t xml:space="preserve">Superfloss</w:t>
        <w:br w:type="textWrapping"/>
        <w:t xml:space="preserve">IDR-Bürstchen</w:t>
        <w:br w:type="textWrapping"/>
        <w:t xml:space="preserve">Unterstützung durch Eltern/Pflege</w:t>
        <w:br w:type="textWrapping"/>
        <w:t xml:space="preserve">...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awpwlw9ainu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IDR-Bürste Empfehlung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pink</w:t>
        <w:br w:type="textWrapping"/>
        <w:t xml:space="preserve">orange</w:t>
        <w:br w:type="textWrapping"/>
        <w:t xml:space="preserve">rot</w:t>
        <w:br w:type="textWrapping"/>
        <w:t xml:space="preserve">blau</w:t>
        <w:br w:type="textWrapping"/>
        <w:t xml:space="preserve">gelb</w:t>
        <w:br w:type="textWrapping"/>
        <w:t xml:space="preserve">grün</w:t>
        <w:br w:type="textWrapping"/>
        <w:t xml:space="preserve">lila</w:t>
        <w:br w:type="textWrapping"/>
        <w:t xml:space="preserve">grau</w:t>
        <w:br w:type="textWrapping"/>
        <w:t xml:space="preserve">schwarz</w:t>
        <w:br w:type="textWrapping"/>
        <w:t xml:space="preserve">x-weich</w:t>
        <w:br w:type="textWrapping"/>
        <w:t xml:space="preserve">mit langem Griff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Sonstiges:</w:t>
        <w:br w:type="textWrapping"/>
        <w:t xml:space="preserve">Dauer</w:t>
        <w:br w:type="textWrapping"/>
        <w:t xml:space="preserve">60 Minuten</w:t>
        <w:br w:type="textWrapping"/>
        <w:t xml:space="preserve">50 Minuten</w:t>
        <w:br w:type="textWrapping"/>
        <w:t xml:space="preserve">40 Minuten</w:t>
        <w:br w:type="textWrapping"/>
        <w:t xml:space="preserve">30 Minuten</w:t>
        <w:br w:type="textWrapping"/>
        <w:t xml:space="preserve">25 Minuten</w:t>
        <w:br w:type="textWrapping"/>
        <w:t xml:space="preserve">20 Minuten</w:t>
        <w:br w:type="textWrapping"/>
        <w:t xml:space="preserve">15 Minuten</w:t>
        <w:br w:type="textWrapping"/>
        <w:t xml:space="preserve">10 Minuten</w:t>
        <w:br w:type="textWrapping"/>
        <w:t xml:space="preserve">5 Minuten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cqns1z640ab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Versiegelung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kariesfreie Fissuren und Glattflächen</w:t>
        <w:br w:type="textWrapping"/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hzgq9ae6bmk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Fluoridierung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zur Verbesserung der Zahnhartsubstanz</w:t>
        <w:br w:type="textWrapping"/>
        <w:t xml:space="preserve">Material</w:t>
        <w:br w:type="textWrapping"/>
        <w:t xml:space="preserve">Elmex Gelee</w:t>
        <w:br w:type="textWrapping"/>
        <w:t xml:space="preserve">Elmex Fluid</w:t>
        <w:br w:type="textWrapping"/>
        <w:t xml:space="preserve">Bifluorid</w:t>
        <w:br w:type="textWrapping"/>
        <w:t xml:space="preserve">Cervitec</w:t>
        <w:br w:type="textWrapping"/>
        <w:t xml:space="preserve">Duraphat</w:t>
        <w:br w:type="textWrapping"/>
        <w:t xml:space="preserve">Flairesse</w:t>
        <w:br w:type="textWrapping"/>
        <w:t xml:space="preserve">Fluor Protector</w:t>
        <w:br w:type="textWrapping"/>
        <w:t xml:space="preserve">Gluma</w:t>
        <w:br w:type="textWrapping"/>
        <w:t xml:space="preserve">Seal&amp;Protect</w:t>
        <w:br w:type="textWrapping"/>
        <w:t xml:space="preserve">Sensodyne ProSchmelz</w:t>
        <w:br w:type="textWrapping"/>
        <w:t xml:space="preserve">Shield Force</w:t>
        <w:br w:type="textWrapping"/>
        <w:t xml:space="preserve">Teeth Mate</w:t>
        <w:br w:type="textWrapping"/>
        <w:t xml:space="preserve">Telio Desensitizer</w:t>
        <w:br w:type="textWrapping"/>
        <w:t xml:space="preserve">Toothmousse</w:t>
        <w:br w:type="textWrapping"/>
        <w:t xml:space="preserve">Voco Profluorid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yygfx1o1d95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Eingliederung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aktive Platten</w:t>
        <w:br w:type="textWrapping"/>
        <w:t xml:space="preserve">VD</w:t>
        <w:br w:type="textWrapping"/>
        <w:t xml:space="preserve">Bio</w:t>
        <w:br w:type="textWrapping"/>
        <w:t xml:space="preserve">MB</w:t>
        <w:br w:type="textWrapping"/>
        <w:t xml:space="preserve">Aligner</w:t>
        <w:br w:type="textWrapping"/>
        <w:t xml:space="preserve">Retentionsplatten</w:t>
        <w:br w:type="textWrapping"/>
        <w:t xml:space="preserve">Retainer</w:t>
        <w:br w:type="textWrapping"/>
        <w:t xml:space="preserve">...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Kontrolle</w:t>
        <w:br w:type="textWrapping"/>
        <w:t xml:space="preserve">Passung kontrolliert</w:t>
        <w:br w:type="textWrapping"/>
        <w:t xml:space="preserve">Okklusion überprüft</w:t>
        <w:br w:type="textWrapping"/>
        <w:t xml:space="preserve">kein Kippeln/ Schaukeln</w:t>
        <w:br w:type="textWrapping"/>
        <w:t xml:space="preserve">ausreichend Retention</w:t>
        <w:br w:type="textWrapping"/>
        <w:t xml:space="preserve">gute Friktion</w:t>
        <w:br w:type="textWrapping"/>
        <w:t xml:space="preserve">FitChecker</w:t>
        <w:br w:type="textWrapping"/>
        <w:t xml:space="preserve">FitChecker gleichmäßig dünn</w:t>
        <w:br w:type="textWrapping"/>
        <w:t xml:space="preserve">Klammern aktiviert</w:t>
        <w:br w:type="textWrapping"/>
        <w:t xml:space="preserve">gute Retention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sulabvgesvt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KFO Eingliederung Vorgehen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 ausgeschliffen und poliert</w:t>
        <w:br w:type="textWrapping"/>
        <w:t xml:space="preserve">Klammern aktiviert</w:t>
        <w:br w:type="textWrapping"/>
        <w:t xml:space="preserve">Handhabung und Pflege erklärt und gezeigt</w:t>
        <w:br w:type="textWrapping"/>
        <w:t xml:space="preserve">Aufklärung erfolgt (Verhaltensregeln)</w:t>
        <w:br w:type="textWrapping"/>
        <w:t xml:space="preserve">KFO Patienteninfo</w:t>
        <w:br w:type="textWrapping"/>
        <w:t xml:space="preserve">Pat. mitgegeben:</w:t>
        <w:br w:type="textWrapping"/>
        <w:t xml:space="preserve">Trageanleitung</w:t>
        <w:br w:type="textWrapping"/>
        <w:t xml:space="preserve">KFO-Box</w:t>
        <w:br w:type="textWrapping"/>
        <w:t xml:space="preserve">KFO-Schlüssel</w:t>
        <w:br w:type="textWrapping"/>
        <w:t xml:space="preserve">Reinigungspulver</w:t>
        <w:br w:type="textWrapping"/>
        <w:t xml:space="preserve">Pat. soll KFO alle 4 Wochen 1x drehen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cjfzv57fx6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  <w:br w:type="textWrapping"/>
        <w:t xml:space="preserve">KFO Kontrolle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kh8megta8pj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