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bookmarkStart w:colFirst="0" w:colLast="0" w:name="_gtlrk36n6sdd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Kind: 01 Befundaufnahme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6s42uald57g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Erwachsener alleine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Kind alleine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pj0zozi24yl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Anamnese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 ist aktuell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Keine rel. Krankheiten/Medikation/Allergien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Besonderheiten Anamnese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Medikamente wie Blutverdünner und Bisphosphonate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Allergien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Rauchen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5xgsccjyez6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Extraoralbefunde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xd7z3m2z3bb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Profil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Konvex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Gerade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Konkav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arlzgo4xw33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Myofunktional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Zungenhabit beim Schlucken/Sprechen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Zungenpressen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Lippen einziehen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Mundatmung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Atmung nasal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Lippenschluss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Inkompetent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Kompetent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bookmarkStart w:colFirst="0" w:colLast="0" w:name="_ab40wihlxp68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01 Befund nach Zahnschema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lqy5zi17xbq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(bzw. 5.) Quadrant: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uig3hf5yt0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(bzw. 6.) Quadrant: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i99wok9vxn2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(bzw. 7.) Quadrant: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c0lrqmq0ob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(bzw. 8.) Quadrant: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uzs2mp1pg2b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Zahnstein/Beläge/Verfärbungen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b6amma0o9bb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Mundkrankheit / Schleimhautkontrolle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48vcudokjr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