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botban3qihr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Kind: Versiegelung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es5iw8xncf1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8oajw6o584k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xalvjcl4oma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Mehrkosten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Eltern/ges. Betreuung über Mehrkosten aufgeklärt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 wünschen nur Kassenleistungen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Zusatzversicherung empfohлен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qc218o19sfs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Vorbereitung, Reinigung, Prävention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k9px2lxyh6g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 (1,5%) - 1 Minute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CHX-Spülung (0,2%) - 30 Sekunden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ct0lgfxm4it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Reinigung mit Nupro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bfuxycpsw0n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Bisssperrer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Bisssperrer eingesetzt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5gh0ialeqpp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IP5 (Fissurenversiegelung)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Isolation &amp; Trockенlegung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Reinigung mit Bürstchen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Fluoridfreie Polierpaste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 (37% Phosphorsäure)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Fissurit, Clinpro Sealant, Helioseal F Plus, Flow, Komposit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dgdurl54nv8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IP4 (Lokale Fluoridierung)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ph55dwhbzmt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Verhalten des Kindes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Compliance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Kooperativ auf Lieге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Kooperativ mit viel Verhaltensführung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Schwierig, empfindlich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Präkooperativ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Unkooperativ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8rkhzuzutep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Einschätzung Behandlung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Schwierigkeit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-, +, ++, +++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Motorische Unruhe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Speichelfluss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Lippenpressen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Extrem zeitaufwendiges Vorgehen bei minimalinvasivem Verfahren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Umstände wegen übermäßig starker Plaqueablagerungen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Eingeschränkte Mundöffnung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Zeitaufwand durch sehr schwer zu erreichendes Gebiet bei geringer Mundöffnung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Wangenzug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 Zungenmotorik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Zeitaufwand groß - Angstpat.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Besonders erschwerte Trockенlegung der zu behandelnden Region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Aufwand bei sehr großflächiger Karies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Verwendung des Kofferdams bei sehr kurzen klinischen Kronen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Zeitaufwand bei der Farbbestimmung im Oberkiefer-Frontzahnbereich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Auffälligkeiten f. individuelle Begründungen bei Rechnungserstellung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mg88aybalvd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Aufklärung Begleitperson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Mutter, Vater, Großeltern, gesetzl. Betreuung, Dolmetscher, ...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Versiegelungen können sich auswaschen, dann erneuern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Behandlungsablauf erklärt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Remotivation Zahnseide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Verhalten nach Fluorid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Verhalten nach Injektion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Verhalten nach 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0m0q86lhjxc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Termин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Regelmäßige Kontrolle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MuHy alle 6 Monate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Behandlung mit N2O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Behandlung ohne N2O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ud4sx1mitz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