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db9ywjebdng1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BEVb: Befundevaluation nach CPT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mut2rj10krz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p3zcwui6k1c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Befundevaluation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Durchführung: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Drei bis sechs Monate nach der CPT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Messung und Dokumentation der Sondierungstiefen und -blutungen, Lockerungsgrade, Furkationsgrade, siehe PA-Status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Neuanfertigung von Röntgenaufnahmen: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Indiziert?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Knochenabbau horizontal (in %):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Knochenabbau-Index (% / Alter):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83btddq4m0o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Röntgen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Patienteninformation: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Röntgenaufnahmen: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OPG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ZF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Zahnstatus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DVT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Referenzzahn: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Rö-Befund: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Knochenabbau in Relation zum Patientenalter (%/Alter)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Knochenabbauindex &lt; 1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Knochenabbauindex &gt; 1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Wiederholbare Sektion: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6vv0bia9c8n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hcn8ppk771z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