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6"/>
          <w:szCs w:val="26"/>
        </w:rPr>
      </w:pPr>
      <w:bookmarkStart w:colFirst="0" w:colLast="0" w:name="_su2dahgvwyx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 CPT: Chirurgische Parodontitistherapie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3j284q4xk4u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bew993r020c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 Grad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UPT:</w:t>
      </w:r>
      <w:r w:rsidDel="00000000" w:rsidR="00000000" w:rsidRPr="00000000">
        <w:rPr>
          <w:rtl w:val="0"/>
        </w:rPr>
        <w:t xml:space="preserve"> 3 Monate nach BEVa || danach bei Grad A: einmal im Kalenderjahr mit einem Mindestabstand von zehn Monaten || Grad B: einmal im Kalenderhalbjahr mit einem Mindestabstand von fünf Monaten || Grad C: einmal im Kalendertertial mit einem Mindestabstand von drei Monaten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Prognose: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re3jqdmsbgg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Aufklärung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Beratung:</w:t>
        <w:br w:type="textWrapping"/>
      </w:r>
      <w:r w:rsidDel="00000000" w:rsidR="00000000" w:rsidRPr="00000000">
        <w:rPr>
          <w:rtl w:val="0"/>
        </w:rPr>
        <w:t xml:space="preserve">Information und Aufklärung über Diagnose und Behandlungsnotwendigkeit, den geplanten Ablauf, Risiken und Alternativen der empfohlenen Behandlung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Risikoaufklärung: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Sondierungstiefe persistierend ≥6mm | PA-Chirurgie | Gingivaplastik | BGT | Entfernen von störendem Gewebe | Entfernen von störender Schleimhaut | Entfernen von Granulationsgewebe | Durchtrennen von Zahnfleischfasern | Papillektomie | Kauterisation einer Zahnfleischkapuze | Exzision von Mundschleimhaut durch Kauterisation | Harmonisierung der Gingivagirlande zur Darstellung der Präparationsgrenze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jst4npo92kj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OKUK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Zahnnummern:</w:t>
        <w:br w:type="textWrapping"/>
      </w:r>
      <w:r w:rsidDel="00000000" w:rsidR="00000000" w:rsidRPr="00000000">
        <w:rPr>
          <w:rtl w:val="0"/>
        </w:rPr>
        <w:t xml:space="preserve">55, 54, 53, 52, 51,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4lcj3av3ogi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Einwilligung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Behandlungseinwilligung:</w:t>
        <w:br w:type="textWrapping"/>
      </w:r>
      <w:r w:rsidDel="00000000" w:rsidR="00000000" w:rsidRPr="00000000">
        <w:rPr>
          <w:rtl w:val="0"/>
        </w:rPr>
        <w:t xml:space="preserve">Pat. ist mit der Behandlung einverstanden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r0mwjk5dw5x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Full Mouth Desinfection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Vor Behandlung mit:</w:t>
        <w:br w:type="textWrapping"/>
      </w:r>
      <w:r w:rsidDel="00000000" w:rsidR="00000000" w:rsidRPr="00000000">
        <w:rPr>
          <w:rtl w:val="0"/>
        </w:rPr>
        <w:t xml:space="preserve">30 Sekunden | 1 Minute | CHX-Splg. (0,2%) | H2O2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fh2oypene2m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Anästhesie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Aufklärung über Risiken der Anästhesieform:</w:t>
        <w:br w:type="textWrapping"/>
      </w:r>
      <w:r w:rsidDel="00000000" w:rsidR="00000000" w:rsidRPr="00000000">
        <w:rPr>
          <w:rtl w:val="0"/>
        </w:rPr>
        <w:t xml:space="preserve">Hämatom, Nervschaden, Herzrasen, hängende Augenlider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Verfügbare Anästhesien:</w:t>
        <w:br w:type="textWrapping"/>
      </w:r>
      <w:r w:rsidDel="00000000" w:rsidR="00000000" w:rsidRPr="00000000">
        <w:rPr>
          <w:rtl w:val="0"/>
        </w:rPr>
        <w:t xml:space="preserve">Oberflächenanästhesie: Emla, Gingicain, HurriCaine, Kältespray, Oraqix, UDS, Xylocain | Infiltrationsanästhesie, Leitungsanästhesie, Intraligamentäre Anästhesie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Einstichstellen:</w:t>
        <w:br w:type="textWrapping"/>
      </w:r>
      <w:r w:rsidDel="00000000" w:rsidR="00000000" w:rsidRPr="00000000">
        <w:rPr>
          <w:rtl w:val="0"/>
        </w:rPr>
        <w:t xml:space="preserve">v, b, p, l, d, m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Anästhetika:</w:t>
        <w:br w:type="textWrapping"/>
      </w:r>
      <w:r w:rsidDel="00000000" w:rsidR="00000000" w:rsidRPr="00000000">
        <w:rPr>
          <w:rtl w:val="0"/>
        </w:rPr>
        <w:t xml:space="preserve">Ultracain D-S (1:200.000), Ultracain D-S forte (1:100.000), Artinestol, Mepivastesin 3%, Septanest, etc.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Zusätzliche Anästhesie:</w:t>
        <w:br w:type="textWrapping"/>
      </w:r>
      <w:r w:rsidDel="00000000" w:rsidR="00000000" w:rsidRPr="00000000">
        <w:rPr>
          <w:rtl w:val="0"/>
        </w:rPr>
        <w:t xml:space="preserve">Notwendig bei entzündlichen Vorgängen | Gewebeschonende Abgabe des Anästhetikums | Atypischer Nervverlauf | Besondere Schwierigkeiten bei der Anästhesie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96bszwpvegy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Wiederholbare Sektion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nx5hxmj0c7o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CPTa: Chirurgische Therapie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 einwurzelige Zähne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Verweis:</w:t>
      </w:r>
      <w:r w:rsidDel="00000000" w:rsidR="00000000" w:rsidRPr="00000000">
        <w:rPr>
          <w:rtl w:val="0"/>
        </w:rPr>
        <w:t xml:space="preserve"> s. aktuellen PA-Status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3i8vow6enu6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CPTb: Chirurgische Therapie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 mehrwurzelige Zähne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Verweis:</w:t>
      </w:r>
      <w:r w:rsidDel="00000000" w:rsidR="00000000" w:rsidRPr="00000000">
        <w:rPr>
          <w:rtl w:val="0"/>
        </w:rPr>
        <w:t xml:space="preserve"> s. aktuellen PA-Status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u1ceu81bqmg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Rezessionsdeckung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Schnittführung:</w:t>
        <w:br w:type="textWrapping"/>
      </w:r>
      <w:r w:rsidDel="00000000" w:rsidR="00000000" w:rsidRPr="00000000">
        <w:rPr>
          <w:rtl w:val="0"/>
        </w:rPr>
        <w:t xml:space="preserve">Krestal | Lateral | Marginal | Submarginal | Mit Entlastung mesial | Mit Entlastung distal | Ohne Entlastung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Präparation und Mobilisierung eines Mukoperiostlappens und Freilegung des Kieferknochens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Material:</w:t>
        <w:br w:type="textWrapping"/>
      </w:r>
      <w:r w:rsidDel="00000000" w:rsidR="00000000" w:rsidRPr="00000000">
        <w:rPr>
          <w:rtl w:val="0"/>
        </w:rPr>
        <w:t xml:space="preserve">BGT | Verschiebelappen + freies Schleimhauttransplantat (FST) + GTR | Bio-Oss | Membran | Kollagenmembran | BioGide | Jason Membran | Mem-Lok Pliable | Meso Guard | PRF-Membran | Titanverstärkte Membran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Größe der Membran:</w:t>
        <w:br w:type="textWrapping"/>
      </w:r>
      <w:r w:rsidDel="00000000" w:rsidR="00000000" w:rsidRPr="00000000">
        <w:rPr>
          <w:rtl w:val="0"/>
        </w:rPr>
        <w:t xml:space="preserve">15x20mm | 20x30mm | 30x40mm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Anzahl Zahnzwischenräume mit Transplantation:</w:t>
        <w:br w:type="textWrapping"/>
      </w:r>
      <w:r w:rsidDel="00000000" w:rsidR="00000000" w:rsidRPr="00000000">
        <w:rPr>
          <w:rtl w:val="0"/>
        </w:rPr>
        <w:t xml:space="preserve">1 | 2 | 3 | 4 | 5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Zusatzleistung:</w:t>
        <w:br w:type="textWrapping"/>
      </w:r>
      <w:r w:rsidDel="00000000" w:rsidR="00000000" w:rsidRPr="00000000">
        <w:rPr>
          <w:rtl w:val="0"/>
        </w:rPr>
        <w:t xml:space="preserve">Laser | Anwendung von Ozon | Hyaloron | Verwendung OPM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pn0b5ovp1o7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Naht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Nahtmaterial:</w:t>
        <w:br w:type="textWrapping"/>
      </w:r>
      <w:r w:rsidDel="00000000" w:rsidR="00000000" w:rsidRPr="00000000">
        <w:rPr>
          <w:rtl w:val="0"/>
        </w:rPr>
        <w:t xml:space="preserve">Resorbierbar | Nicht-resorbierbar | Nylon | Seide | Polypropylen | Monofil | Multifil | 3-0 | 4-0 | 5-0 | 6-0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Nahtart:</w:t>
        <w:br w:type="textWrapping"/>
      </w:r>
      <w:r w:rsidDel="00000000" w:rsidR="00000000" w:rsidRPr="00000000">
        <w:rPr>
          <w:rtl w:val="0"/>
        </w:rPr>
        <w:t xml:space="preserve">Einzelknopfnaht | Rückstichnaht | Rückstichnaht nach Donati und McMillen | Rückstichnaht nach Allgöwer | Horizontale Matratzennaht | Vertikale Matratzennaht | Überkreuzte Matratzennaht | Fortlaufende Naht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Anzahl Nähte:</w:t>
        <w:br w:type="textWrapping"/>
      </w:r>
      <w:r w:rsidDel="00000000" w:rsidR="00000000" w:rsidRPr="00000000">
        <w:rPr>
          <w:rtl w:val="0"/>
        </w:rPr>
        <w:t xml:space="preserve">1 | 2 | 3 | 4 | 5 | 6 | 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pjfft1chmaa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Röntgen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Pat. ist nicht schwanger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Verfügbare Röntgenarten:</w:t>
        <w:br w:type="textWrapping"/>
      </w:r>
      <w:r w:rsidDel="00000000" w:rsidR="00000000" w:rsidRPr="00000000">
        <w:rPr>
          <w:rtl w:val="0"/>
        </w:rPr>
        <w:t xml:space="preserve">OPG | ZF | Zahnstatus | DVT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Röntgen-Befund:</w:t>
        <w:br w:type="textWrapping"/>
      </w:r>
      <w:r w:rsidDel="00000000" w:rsidR="00000000" w:rsidRPr="00000000">
        <w:rPr>
          <w:rtl w:val="0"/>
        </w:rPr>
        <w:t xml:space="preserve">Angabe röntg. Knochenabbau sowie Knochenabbau in Relation zum Patientenalter (%/Alter)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j5lcy7kl2c9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Verbandsplatte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Verbandsplatte:</w:t>
        <w:br w:type="textWrapping"/>
      </w:r>
      <w:r w:rsidDel="00000000" w:rsidR="00000000" w:rsidRPr="00000000">
        <w:rPr>
          <w:rtl w:val="0"/>
        </w:rPr>
        <w:t xml:space="preserve">Gingivaverband eingebracht | Fixierung eines plastischen Wundverbandes | Verbandsplatte eingesetzt | Interims als Verbandsplatte eingesetzt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Kontrolle:</w:t>
        <w:br w:type="textWrapping"/>
      </w:r>
      <w:r w:rsidDel="00000000" w:rsidR="00000000" w:rsidRPr="00000000">
        <w:rPr>
          <w:rtl w:val="0"/>
        </w:rPr>
        <w:t xml:space="preserve">Passung kontrolliert | Okklusion überprüft | Eingeschliffen und poliert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a7q1tncrdrd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Aufklärung nach Betäubung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Hinweise:</w:t>
        <w:br w:type="textWrapping"/>
      </w:r>
      <w:r w:rsidDel="00000000" w:rsidR="00000000" w:rsidRPr="00000000">
        <w:rPr>
          <w:rtl w:val="0"/>
        </w:rPr>
        <w:t xml:space="preserve">Pat. geraten, mit dem Essen zu warten, bis die Betäubung abgeklungen ist (Verletzungsgefahr) | Hinweis zu Autofahren und Betäubungsmitteln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xvdgdk39qxx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 Reinigung:</w:t>
        <w:br w:type="textWrapping"/>
      </w:r>
      <w:r w:rsidDel="00000000" w:rsidR="00000000" w:rsidRPr="00000000">
        <w:rPr>
          <w:rtl w:val="0"/>
        </w:rPr>
        <w:t xml:space="preserve">3 Monate | 4 Monate | 6 Monate | 12 Monate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Nächster Termin: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 Behandlung:</w:t>
        <w:br w:type="textWrapping"/>
      </w:r>
      <w:r w:rsidDel="00000000" w:rsidR="00000000" w:rsidRPr="00000000">
        <w:rPr>
          <w:rtl w:val="0"/>
        </w:rPr>
        <w:t xml:space="preserve">Nahtex 7-10d post-op | Kontrolle und Spülung | UPT-Strecke mit Patient geplant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k5m4t8g5xdr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