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dbcf59hyly1i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PA Med Applikation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tuew7j6p0xr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ty1fiwks4le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Full Mouth Desinfection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Vor Behandlung mit:</w:t>
        <w:br w:type="textWrapping"/>
      </w:r>
      <w:r w:rsidDel="00000000" w:rsidR="00000000" w:rsidRPr="00000000">
        <w:rPr>
          <w:rtl w:val="0"/>
        </w:rPr>
        <w:t xml:space="preserve">30 Sekunden | 1 Minute | CHX-Splg. (0,2%) | H2O2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hs9vrufo3ee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Subgingivale Applikation antibakterieller Substanz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OKUK:</w:t>
        <w:br w:type="textWrapping"/>
      </w:r>
      <w:r w:rsidDel="00000000" w:rsidR="00000000" w:rsidRPr="00000000">
        <w:rPr>
          <w:rtl w:val="0"/>
        </w:rPr>
        <w:t xml:space="preserve">55, 54, 53, 52, 51,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lk4ecaa2pku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Supra- und Subgingivales Debridement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Entfernung supragingivaler/gingivaler Beläge und Biofilm auf Zahn- und Wurzeloberflächen:</w:t>
        <w:br w:type="textWrapping"/>
      </w:r>
      <w:r w:rsidDel="00000000" w:rsidR="00000000" w:rsidRPr="00000000">
        <w:rPr>
          <w:rtl w:val="0"/>
        </w:rPr>
        <w:t xml:space="preserve">Einschließlich Zahnzwischenraumreinigung, anschließend Oberflächenpolitur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Entfernung von Debris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Parodontalchirurgische Therapie: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Subgingivale Konkremententfernung (Deep Scaling)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Wurzelglättung (Root Planing)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Instrumentarium:</w:t>
        <w:br w:type="textWrapping"/>
      </w:r>
      <w:r w:rsidDel="00000000" w:rsidR="00000000" w:rsidRPr="00000000">
        <w:rPr>
          <w:rtl w:val="0"/>
        </w:rPr>
        <w:t xml:space="preserve">Ultraschall | Airscaler | Handinstrumente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Abschließende Politur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Taschenspülung:</w:t>
        <w:br w:type="textWrapping"/>
      </w:r>
      <w:r w:rsidDel="00000000" w:rsidR="00000000" w:rsidRPr="00000000">
        <w:rPr>
          <w:rtl w:val="0"/>
        </w:rPr>
        <w:t xml:space="preserve">CHX-Splg. (0,2%) | H2O2 | NaCl | Oxygen Fluid | PerioAid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Subgingivale medikamentöse Lokalapplikation:</w:t>
        <w:br w:type="textWrapping"/>
      </w:r>
      <w:r w:rsidDel="00000000" w:rsidR="00000000" w:rsidRPr="00000000">
        <w:rPr>
          <w:rtl w:val="0"/>
        </w:rPr>
        <w:t xml:space="preserve">CHX-Gel | Blue M Gel | Dontisolon | Dynexan | Ligosan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crwo75i4ukg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Verhalten nach PA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Medikament:</w:t>
        <w:br w:type="textWrapping"/>
      </w:r>
      <w:r w:rsidDel="00000000" w:rsidR="00000000" w:rsidRPr="00000000">
        <w:rPr>
          <w:rtl w:val="0"/>
        </w:rPr>
        <w:t xml:space="preserve">Pat. IBU 600mg gegeben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Informationsblatt mit Post-OP-Verhalten mitgegeben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Empfohlene Maßnahmen:</w:t>
        <w:br w:type="textWrapping"/>
      </w:r>
      <w:r w:rsidDel="00000000" w:rsidR="00000000" w:rsidRPr="00000000">
        <w:rPr>
          <w:rtl w:val="0"/>
        </w:rPr>
        <w:t xml:space="preserve">Termin für PA-N empfohlen | Aufklärung: bis Betäubung vorbei ist, nichts essen oder warmes trinken, Spülung (CHX) empfohlen | Zähneputzen vorsichtig, Wundgebiet aussparen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l4sp2s2urok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Nächster Termin: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lm9x222hojk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