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ouym8xp5h31q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PA Nachbehandlung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w5oa98w7sez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Nachbehandlung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ist beschwerdefrei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hat Beschwerden nach letzter Behandlung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Details Beschwerden/Symptome: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hv0vrfh9rwp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API (Approximalraum-Plaque-Index)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&lt;25%</w:t>
      </w:r>
      <w:r w:rsidDel="00000000" w:rsidR="00000000" w:rsidRPr="00000000">
        <w:rPr>
          <w:rtl w:val="0"/>
        </w:rPr>
        <w:t xml:space="preserve">, optimale Mundhygiene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25-39%</w:t>
      </w:r>
      <w:r w:rsidDel="00000000" w:rsidR="00000000" w:rsidRPr="00000000">
        <w:rPr>
          <w:rtl w:val="0"/>
        </w:rPr>
        <w:t xml:space="preserve">, gute Mundhygiene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40-69%</w:t>
      </w:r>
      <w:r w:rsidDel="00000000" w:rsidR="00000000" w:rsidRPr="00000000">
        <w:rPr>
          <w:rtl w:val="0"/>
        </w:rPr>
        <w:t xml:space="preserve">, mäßige Mundhygiene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70-100%</w:t>
      </w:r>
      <w:r w:rsidDel="00000000" w:rsidR="00000000" w:rsidRPr="00000000">
        <w:rPr>
          <w:rtl w:val="0"/>
        </w:rPr>
        <w:t xml:space="preserve">, unzureichende Mundhygiene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ozahg5mbaf8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Reinigung supra- und subgingival mit Politur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Instrumentarium:</w:t>
        <w:br w:type="textWrapping"/>
      </w:r>
      <w:r w:rsidDel="00000000" w:rsidR="00000000" w:rsidRPr="00000000">
        <w:rPr>
          <w:rtl w:val="0"/>
        </w:rPr>
        <w:t xml:space="preserve">Ultraschall | Airflow | GBT | Slimline gebogene Ansätze | Handinstrumente | Gracey-Kür. | Zahnseide | IDR-Bürstchen | Bürstchen | Polierkelch | Nupro Polish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o9nclwij6z0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Taschenspülung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Lösungen:</w:t>
        <w:br w:type="textWrapping"/>
      </w:r>
      <w:r w:rsidDel="00000000" w:rsidR="00000000" w:rsidRPr="00000000">
        <w:rPr>
          <w:rtl w:val="0"/>
        </w:rPr>
        <w:t xml:space="preserve">CHX-Splg. (0,2%) | H2O2 | NaCl | Oxygen Fluid | PerioAid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oz836qr7vuk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Subgingivale medikamentöse Lokalapplikation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Medikamente:</w:t>
        <w:br w:type="textWrapping"/>
      </w:r>
      <w:r w:rsidDel="00000000" w:rsidR="00000000" w:rsidRPr="00000000">
        <w:rPr>
          <w:rtl w:val="0"/>
        </w:rPr>
        <w:t xml:space="preserve">CHX-Gel | Blue M Gel | Dontisolon | Dynexan | Ligosan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v0iv9axakp5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Patienteninformation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Angepasstes IDR-Bürstchen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Zahnseide empfohlen und Anwendung gezeigt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Verwendung von SuperFloss gezeigt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Kontrolltermin empfohlen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Informationsblatt mitgegeben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se2hp59l2r0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m20o2ov816y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