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emgq6ip9koj4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PA Rezessionsdeckung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u5a8ha1gswo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ltaqrqi8ido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Behandlungsgebiet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OKUK:</w:t>
        <w:br w:type="textWrapping"/>
      </w:r>
      <w:r w:rsidDel="00000000" w:rsidR="00000000" w:rsidRPr="00000000">
        <w:rPr>
          <w:rtl w:val="0"/>
        </w:rPr>
        <w:t xml:space="preserve">55 | 54 | 53 | 52 | 51 | * * * | 61 | 62 | 63 | 64 | 65 | 18 | 17 | 16 | 15 | 14 | 13 | 12 | 11 | * * * | 21 | 22 | 23 | 24 | 25 | 26 | 27 | 28 | * * * | 48 | 47 | 46 | 45 | 44 | 43 | 42 | 41 | * * * | 31 | 32 | 33 | 34 | 35 | 36 | 37 | 38 | 85 | 84 | 83 | 82 | 81 | * * * | 71 | 72 | 73 | 74 | 75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02g47grdq45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Rezession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approximal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Furkationsbefall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Rechtfertigende Indikation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7ti04keicqk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Mundkrankheit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Gingivitis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Parodontitis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Rötung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Pus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Schwellung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Fistel</w:t>
      </w:r>
      <w:r w:rsidDel="00000000" w:rsidR="00000000" w:rsidRPr="00000000">
        <w:rPr>
          <w:rtl w:val="0"/>
        </w:rPr>
        <w:t xml:space="preserve"> | 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ds7f9oum0kc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Aufklärung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Beratung, Information und Aufklärung über Diagnose und Behandlungsnotwendigkeit, den geplanten Ablauf, Risiken und Alternativen der empfohlenen Behandlung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Risikoaufklärung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Gingivaplastik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BGT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Entfernen von störendem Gewebe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Entfernen von störender Schleimhaut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Entfernen von Granulationsgewebe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Durchtrennen von Zahnfleischfasern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Papillektomie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Kauterisation einer Zahnfleischkapuze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Exzision von Mundschleimhaut durch Kauterisation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Harmonisierung der Gingivagirlande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Zur Darstellung der Präparationsgrenze</w:t>
      </w:r>
      <w:r w:rsidDel="00000000" w:rsidR="00000000" w:rsidRPr="00000000">
        <w:rPr>
          <w:rtl w:val="0"/>
        </w:rPr>
        <w:t xml:space="preserve"> | 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xe4jbnx4pzs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Einwilligung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ist mit Behandlung einverstanden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et6j75d4by9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Full Mouth Desinfection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vor Behandlung mit</w:t>
        <w:br w:type="textWrapping"/>
      </w:r>
      <w:r w:rsidDel="00000000" w:rsidR="00000000" w:rsidRPr="00000000">
        <w:rPr>
          <w:rtl w:val="0"/>
        </w:rPr>
        <w:t xml:space="preserve">30 Sekunden | 1 Minute</w:t>
        <w:br w:type="textWrapping"/>
      </w:r>
      <w:r w:rsidDel="00000000" w:rsidR="00000000" w:rsidRPr="00000000">
        <w:rPr>
          <w:b w:val="1"/>
          <w:rtl w:val="0"/>
        </w:rPr>
        <w:t xml:space="preserve">CHX-Splg. (0,2%)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H2O2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3ooi3on06xh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Anästhesie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über Risiken der Anästhesieform aufgeklärt (Hämatom, Nervschaden, Herzrasen, hängende Augenlider)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Oberflächenanästhesie</w:t>
        <w:br w:type="textWrapping"/>
      </w:r>
      <w:r w:rsidDel="00000000" w:rsidR="00000000" w:rsidRPr="00000000">
        <w:rPr>
          <w:rtl w:val="0"/>
        </w:rPr>
        <w:t xml:space="preserve">Emla | Gingicain | HurriCaine | Kältespray | Oraqix | UDS | Xylocain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Infiltrationsanästhesie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Leitungsanästhesie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Intraligamentäre Anästhesie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Einstichstellen:</w:t>
      </w:r>
      <w:r w:rsidDel="00000000" w:rsidR="00000000" w:rsidRPr="00000000">
        <w:rPr>
          <w:rtl w:val="0"/>
        </w:rPr>
        <w:t xml:space="preserve"> v | b | p | l | d | m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Anästhetikum:</w:t>
        <w:br w:type="textWrapping"/>
      </w:r>
      <w:r w:rsidDel="00000000" w:rsidR="00000000" w:rsidRPr="00000000">
        <w:rPr>
          <w:rtl w:val="0"/>
        </w:rPr>
        <w:t xml:space="preserve">Ultracain D-S (1:200.000) | Ultracain D-S forte (1:100.000) | Ultracain D (ohne Adrenalin)</w:t>
        <w:br w:type="textWrapping"/>
        <w:t xml:space="preserve">Artinestol (1:100.000) | Artinestol (1:200.000) | Mepivastesin 3%</w:t>
        <w:br w:type="textWrapping"/>
        <w:t xml:space="preserve">Scandonest 3% ohne Vasokonstriktor | Septanest mit Epinephrin (1:100.000) | Septanest mit Epinephrin (1:200.000)</w:t>
        <w:br w:type="textWrapping"/>
        <w:t xml:space="preserve">Sopira blau (1:100.000) | Sopira grün (1:200.000) | Ubistesin (1:100.000)</w:t>
        <w:br w:type="textWrapping"/>
        <w:t xml:space="preserve">Ubistesin gelb (1:400.000) | Ubistesin rot (1:200.000)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Zylinder:</w:t>
        <w:br w:type="textWrapping"/>
      </w:r>
      <w:r w:rsidDel="00000000" w:rsidR="00000000" w:rsidRPr="00000000">
        <w:rPr>
          <w:rtl w:val="0"/>
        </w:rPr>
        <w:t xml:space="preserve">1 | 2 | 3 | 4 | 5 | 6 | 7 | ...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Grund für Faktorsteigerung:</w:t>
        <w:br w:type="textWrapping"/>
      </w:r>
      <w:r w:rsidDel="00000000" w:rsidR="00000000" w:rsidRPr="00000000">
        <w:rPr>
          <w:rtl w:val="0"/>
        </w:rPr>
        <w:t xml:space="preserve">Zusätzliche Infiltrationsanästhesie zur vollständigen Anästhesietiefe notwendig | Entzündliche Vorgänge | Gewebeschonende Abgabe des Anästhetikums</w:t>
        <w:br w:type="textWrapping"/>
        <w:t xml:space="preserve">Atypischer Nervverlauf | Besondere Schwierigkeiten, da ausreichende Anästhesietiefe nicht erreicht | Kompakter Knochen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30bpt94jxvu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Zahnstein entfernt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OKUK:</w:t>
        <w:br w:type="textWrapping"/>
      </w:r>
      <w:r w:rsidDel="00000000" w:rsidR="00000000" w:rsidRPr="00000000">
        <w:rPr>
          <w:rtl w:val="0"/>
        </w:rPr>
        <w:t xml:space="preserve">55 | 54 | 53 | 52 | 51 | * * * | 61 | 62 | 63 | 64 | 65 | 18 | 17 | 16 | 15 | 14 | 13 | 12 | 11 | * * * | 21 | 22 | 23 | 24 | 25 | 26 | 27 | 28 | * * * | 48 | 47 | 46 | 45 | 44 | 43 | 42 | 41 | * * * | 31 | 32 | 33 | 34 | 35 | 36 | 37 | 38 | 85 | 84 | 83 | 82 | 81 | * * * | 71 | 72 | 73 | 74 | 75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76aukafk252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Instrumentarium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Ultraschall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Airscaler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Handinstrumente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abschließende Politur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hs0wxfnlyxe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Subgingivale Reinigung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OKUK:</w:t>
        <w:br w:type="textWrapping"/>
      </w:r>
      <w:r w:rsidDel="00000000" w:rsidR="00000000" w:rsidRPr="00000000">
        <w:rPr>
          <w:rtl w:val="0"/>
        </w:rPr>
        <w:t xml:space="preserve">55 | 54 | 53 | 52 | 51 | * * * | 61 | 62 | 63 | 64 | 65 | 18 | 17 | 16 | 15 | 14 | 13 | 12 | 11 | * * * | 21 | 22 | 23 | 24 | 25 | 26 | 27 | 28 | * * * | 48 | 47 | 46 | 45 | 44 | 43 | 42 | 41 | * * * | 31 | 32 | 33 | 34 | 35 | 36 | 37 | 38 | 85 | 84 | 83 | 82 | 81 | * * * | 71 | 72 | 73 | 74 | 75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Subgingivales Debridement</w:t>
        <w:br w:type="textWrapping"/>
      </w:r>
      <w:r w:rsidDel="00000000" w:rsidR="00000000" w:rsidRPr="00000000">
        <w:rPr>
          <w:rtl w:val="0"/>
        </w:rPr>
        <w:t xml:space="preserve">Entfernung Debris | Parodontalchirurgische Therapie | Subgingivale Konkremententfernung (Deep Scaling) | Wurzelglättung (Root Planing)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Instrumentarium:</w:t>
        <w:br w:type="textWrapping"/>
      </w:r>
      <w:r w:rsidDel="00000000" w:rsidR="00000000" w:rsidRPr="00000000">
        <w:rPr>
          <w:rtl w:val="0"/>
        </w:rPr>
        <w:t xml:space="preserve">Ultraschall | Airscaler | Handinstrumente | abschließende Politur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Taschenspülung:</w:t>
        <w:br w:type="textWrapping"/>
      </w:r>
      <w:r w:rsidDel="00000000" w:rsidR="00000000" w:rsidRPr="00000000">
        <w:rPr>
          <w:rtl w:val="0"/>
        </w:rPr>
        <w:t xml:space="preserve">CHX-Splg. (0,2%) | H2O2 | NaCl | Oxygen Fluid | PerioAid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Subging. medik. Lokalapplikation:</w:t>
        <w:br w:type="textWrapping"/>
      </w:r>
      <w:r w:rsidDel="00000000" w:rsidR="00000000" w:rsidRPr="00000000">
        <w:rPr>
          <w:rtl w:val="0"/>
        </w:rPr>
        <w:t xml:space="preserve">CHX-Gel | Blue M Gel | Dontisolon | Dynexan | Ligosan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cvgc6tdl0if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Rezessionsdeckung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Schnittführung:</w:t>
        <w:br w:type="textWrapping"/>
      </w:r>
      <w:r w:rsidDel="00000000" w:rsidR="00000000" w:rsidRPr="00000000">
        <w:rPr>
          <w:rtl w:val="0"/>
        </w:rPr>
        <w:t xml:space="preserve">Krestal | lateral | marginal | submarginal | mit Entlastung mesial | mit Entlastung distal | ohne Entlastung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Präparation und Mobilisierung eines Mukoperiostlappens und Freilegung des Kieferknochens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Material:</w:t>
        <w:br w:type="textWrapping"/>
      </w:r>
      <w:r w:rsidDel="00000000" w:rsidR="00000000" w:rsidRPr="00000000">
        <w:rPr>
          <w:rtl w:val="0"/>
        </w:rPr>
        <w:t xml:space="preserve">BGT | Verschiebelappen + freies Schleimhauttransplantat (FST) + GTR | Bio-Oss | Membran | Kollagenmembran | BioGide | Jason Membran | Mem-Lok Pliable | Meso Guard | PRF-Membran | Titanverstärkte Membran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Größe der Membran:</w:t>
        <w:br w:type="textWrapping"/>
      </w:r>
      <w:r w:rsidDel="00000000" w:rsidR="00000000" w:rsidRPr="00000000">
        <w:rPr>
          <w:rtl w:val="0"/>
        </w:rPr>
        <w:t xml:space="preserve">15x20mm | 20x30mm | 30x40mm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Zahnzwischenräume mit Transplantation:</w:t>
        <w:br w:type="textWrapping"/>
      </w:r>
      <w:r w:rsidDel="00000000" w:rsidR="00000000" w:rsidRPr="00000000">
        <w:rPr>
          <w:rtl w:val="0"/>
        </w:rPr>
        <w:t xml:space="preserve">1 | 2 | 3 | 4 | 5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Zusatzleistung:</w:t>
        <w:br w:type="textWrapping"/>
      </w:r>
      <w:r w:rsidDel="00000000" w:rsidR="00000000" w:rsidRPr="00000000">
        <w:rPr>
          <w:rtl w:val="0"/>
        </w:rPr>
        <w:t xml:space="preserve">Laser | Anwendung von Ozon | Hyaloron | Verwendung OPM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b1shlx3ziks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Schwierige Hautlappenplastik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Spaltlappen (Split-Flap-Lappen)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Lateraler Verschiebelappen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Schwenklappen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Rotationslappen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Papillenrekonstruktionslappen</w:t>
        <w:br w:type="textWrapping"/>
        <w:t xml:space="preserve">Semilunarlappen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V-Y-Plastik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Z-Plastik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Verschiebelappen + Membrantechnik (GTR)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Verschiebelappen + freies Schleimhauttransplantat (FST) + GTR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Verschiebelappen + Subepithel. Bindegewebstranspl. (SBT)</w:t>
        <w:br w:type="textWrapping"/>
        <w:t xml:space="preserve">Verschiebelappen + SBT + GTR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Papillenaufbauplastik + SBT</w:t>
      </w:r>
      <w:r w:rsidDel="00000000" w:rsidR="00000000" w:rsidRPr="00000000">
        <w:rPr>
          <w:rtl w:val="0"/>
        </w:rPr>
        <w:t xml:space="preserve"> | 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e7wt7vas2m9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Umfangreicher Wundverschluss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Apikalen Verschiebelappens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Koronalen Verschiebelappens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Schwenklappens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Mobilisationslappen (Unterminierungsplastik)</w:t>
        <w:br w:type="textWrapping"/>
        <w:t xml:space="preserve">Stiellappen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Rolllappen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Vestibulumplastik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Modellierung neuer Papille distal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Modellierung neuer Papille mesial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(Tür-)Flügellappen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Indikation:</w:t>
        <w:br w:type="textWrapping"/>
      </w:r>
      <w:r w:rsidDel="00000000" w:rsidR="00000000" w:rsidRPr="00000000">
        <w:rPr>
          <w:rtl w:val="0"/>
        </w:rPr>
        <w:t xml:space="preserve">Spannungsfreie Wunddeckung zur Vermeidung von Dehiszenzen und Wundinfekten | Ausreichend Angebot an fixierter Schleimhaut und ausreichend Schleimhautdicke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18qj83c4ytz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Naht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Nahtmaterial:</w:t>
        <w:br w:type="textWrapping"/>
      </w:r>
      <w:r w:rsidDel="00000000" w:rsidR="00000000" w:rsidRPr="00000000">
        <w:rPr>
          <w:rtl w:val="0"/>
        </w:rPr>
        <w:t xml:space="preserve">resorbierbar | nicht-resorbierbar | Nylon | Seide | Polypropylen | monofil | multifil | 3-0 | 4-0 | 5-0 | 6-0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Nahtart:</w:t>
        <w:br w:type="textWrapping"/>
      </w:r>
      <w:r w:rsidDel="00000000" w:rsidR="00000000" w:rsidRPr="00000000">
        <w:rPr>
          <w:rtl w:val="0"/>
        </w:rPr>
        <w:t xml:space="preserve">Einzelknopfnaht | Rückstichnaht | Rückstichnaht nach Donati und McMillen | Rückstichnaht nach Allgöwer | Horizontale Matratzennaht | Vertikale Matratzennaht | Überkreuzte Matratzennaht | fortlaufende Naht | ...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Nähte:</w:t>
        <w:br w:type="textWrapping"/>
      </w:r>
      <w:r w:rsidDel="00000000" w:rsidR="00000000" w:rsidRPr="00000000">
        <w:rPr>
          <w:rtl w:val="0"/>
        </w:rPr>
        <w:t xml:space="preserve">1 | 2 | 3 | 4 | 5 | 6 | 7 | 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m9u0vsujzqd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Verbandsplatte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Verbandsplatte:</w:t>
        <w:br w:type="textWrapping"/>
      </w:r>
      <w:r w:rsidDel="00000000" w:rsidR="00000000" w:rsidRPr="00000000">
        <w:rPr>
          <w:rtl w:val="0"/>
        </w:rPr>
        <w:t xml:space="preserve">Gingivaverband eingebracht | Fixierung eines plastischen Wundverbandes | Verbandsplatte eingesetzt | Interims als Verbandsplatte eingesetzt</w:t>
        <w:br w:type="textWrapping"/>
      </w:r>
      <w:r w:rsidDel="00000000" w:rsidR="00000000" w:rsidRPr="00000000">
        <w:rPr>
          <w:b w:val="1"/>
          <w:rtl w:val="0"/>
        </w:rPr>
        <w:t xml:space="preserve">Kontrolle:</w:t>
      </w:r>
      <w:r w:rsidDel="00000000" w:rsidR="00000000" w:rsidRPr="00000000">
        <w:rPr>
          <w:rtl w:val="0"/>
        </w:rPr>
        <w:t xml:space="preserve"> Passung kontrolliert | Okklusion überprüft | Eingeschliffen und poliert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8ly2vp28103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Post-OP-Verhalten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Verhaltensregeln:</w:t>
        <w:br w:type="textWrapping"/>
      </w:r>
      <w:r w:rsidDel="00000000" w:rsidR="00000000" w:rsidRPr="00000000">
        <w:rPr>
          <w:rtl w:val="0"/>
        </w:rPr>
        <w:t xml:space="preserve">Tupfer für 20 Minuten auf Wunde belassen | Keine starke körperliche Belastung, kein Kaffeekonsum, kein Rauchen, kein Alkohol, Kühlen, eingeschränkte Fahrtüchtigkeit | 12h post-op nicht ausspülen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  <w:br w:type="textWrapping"/>
      </w:r>
      <w:r w:rsidDel="00000000" w:rsidR="00000000" w:rsidRPr="00000000">
        <w:rPr>
          <w:rtl w:val="0"/>
        </w:rPr>
        <w:t xml:space="preserve">Informationsblatt mitgegeben | Pat. blutungsfrei und mit stabilem Kreislauf entlassen | In Begleitung nach Analgosedierung | Kühlpack mitgegeben | Sterile Tupfer mitgegeben | CHX-Splg. empfohlen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p7ip2n7j7zb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ist zufrieden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Nächster Termin:</w:t>
        <w:br w:type="textWrapping"/>
      </w:r>
      <w:r w:rsidDel="00000000" w:rsidR="00000000" w:rsidRPr="00000000">
        <w:rPr>
          <w:rtl w:val="0"/>
        </w:rPr>
        <w:t xml:space="preserve">Kontrolle und Spülung | Wundkontrolle 2d post op | Kontrolle 3d post op | Nahtex 7d post op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r7w9j1ko9yo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