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32"/>
          <w:szCs w:val="32"/>
        </w:rPr>
      </w:pPr>
      <w:bookmarkStart w:colFirst="0" w:colLast="0" w:name="_equ1ew6n0xw6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PA-Status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n9ymu6adqa8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PA-spezifische Anamnese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Besonderheiten Anamnese:</w:t>
        <w:br w:type="textWrapping"/>
        <w:t xml:space="preserve">Medikamente wie Blutverdünner und Bisphosphonate, Allergien, Rauchen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Diabetes mellitus</w:t>
        <w:br w:type="textWrapping"/>
        <w:t xml:space="preserve">Pat. hat Diabetes mellitus</w:t>
        <w:br w:type="textWrapping"/>
        <w:t xml:space="preserve">Kein Diabetes</w:t>
        <w:br w:type="textWrapping"/>
        <w:t xml:space="preserve">HbA1c-Wert: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Tabakkonsum</w:t>
        <w:br w:type="textWrapping"/>
        <w:t xml:space="preserve">Pat. sei Nicht-Raucher</w:t>
        <w:br w:type="textWrapping"/>
        <w:t xml:space="preserve">Pat. raucht</w:t>
        <w:br w:type="textWrapping"/>
        <w:t xml:space="preserve">&lt;10 Zigaretten/Tag</w:t>
        <w:br w:type="textWrapping"/>
        <w:t xml:space="preserve">≥10 Zigaretten/Tag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Frühere PAR-Therapie:</w:t>
        <w:br w:type="textWrapping"/>
        <w:t xml:space="preserve">Jahr der letzten Therapie: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fm2af7on43j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PA-Status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PA-Status erhoben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3iiesn48i2a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Sondierungstiefen und -blutung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erfolgt und dokumentiert</w:t>
        <w:br w:type="textWrapping"/>
        <w:t xml:space="preserve">BOP (in %)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a8vhtkw00zr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Zahnlockerung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LG I (0,2-1mm):</w:t>
        <w:br w:type="textWrapping"/>
        <w:t xml:space="preserve">18 17 16 15 14 13 12 11 21 22 23 24 25 26 27 28 48 47 46 45 44 43 42 41 31 32 33 34 35 36 37 38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LG II (&gt;1mm):</w:t>
        <w:br w:type="textWrapping"/>
        <w:t xml:space="preserve">18 17 16 15 14 13 12 11 21 22 23 24 25 26 27 28 48 47 46 45 44 43 42 41 31 32 33 34 35 36 37 38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LG III (&gt;2mm):</w:t>
        <w:br w:type="textWrapping"/>
        <w:t xml:space="preserve">18 17 16 15 14 13 12 11 21 22 23 24 25 26 27 28 48 47 46 45 44 43 42 41 31 32 33 34 35 36 37 38</w:t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s9zi3l97olt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Furkationsbefall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 I (bis 3mm):</w:t>
        <w:br w:type="textWrapping"/>
        <w:t xml:space="preserve">18 17 16 15 14 13 12 11 21 22 23 24 25 26 27 28 48 47 46 45 44 43 42 41 31 32 33 34 35 36 37 38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 II (&gt;3mm, nicht durchg. sondierbar):</w:t>
        <w:br w:type="textWrapping"/>
        <w:t xml:space="preserve">18 17 16 15 14 13 12 11 21 22 23 24 25 26 27 28 48 47 46 45 44 43 42 41 31 32 33 34 35 36 37 38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 III (durchg. sondierbar):</w:t>
        <w:br w:type="textWrapping"/>
        <w:t xml:space="preserve">18 17 16 15 14 13 12 11 21 22 23 24 25 26 27 28 48 47 46 45 44 43 42 41 31 32 33 34 35 36 37 38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9vy07ggcqmi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Rezessionen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erfolgt und dokumentiert</w:t>
        <w:br w:type="textWrapping"/>
        <w:t xml:space="preserve">Zahnangabe und Millimeter:</w:t>
        <w:br w:type="textWrapping"/>
        <w:t xml:space="preserve">Zahnfleischrezessionen. Zahn [mm]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zlgbr50shym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Zahnverlust aufgrund von Parodontitis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55 54 53 52 51 61 62 63 64 65 18 17 16 15 14 13 12 11 21 22 23 24 25 26 27 28 48 47 46 45 44 43 42 41 31 32 33 34 35 36 37 38 85 84 83 82 81 71 72 73 74 75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gakkrhv82aa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Röntgenbefund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ist nicht schwanger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OPG</w:t>
        <w:br w:type="textWrapping"/>
        <w:t xml:space="preserve">Zahnstatus</w:t>
        <w:br w:type="textWrapping"/>
        <w:t xml:space="preserve">ZF</w:t>
        <w:br w:type="textWrapping"/>
        <w:t xml:space="preserve">Befund röntgenologischer Knochenabbau (%):</w:t>
        <w:br w:type="textWrapping"/>
        <w:t xml:space="preserve">Knochenabbau-Index (% / Alter):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grovgpwiq79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wk1uud525ns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Planung:</w:t>
        <w:br w:type="textWrapping"/>
        <w:t xml:space="preserve">Sonstiges: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