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8"/>
          <w:szCs w:val="28"/>
        </w:rPr>
      </w:pPr>
      <w:bookmarkStart w:colFirst="0" w:colLast="0" w:name="_izfursmn9nvl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ZE Kontrolle (FZE)</w:t>
      </w:r>
    </w:p>
    <w:p w:rsidR="00000000" w:rsidDel="00000000" w:rsidP="00000000" w:rsidRDefault="00000000" w:rsidRPr="00000000" w14:paraId="0000000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smekjr7ueb1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Patientengespräch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ij465lx5c96k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Behandlungsgebiet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 UK</w:t>
        <w:br w:type="textWrapping"/>
        <w:t xml:space="preserve">55 54 53 52 51 * * * 61 62 63 64 65 18 17 16 15 14 13 12 11 * * * 21 22 23 24 25 26 27 28 * * * 48 47 46 45 44 43 42 41 * * * 31 32 33 34 35 36 37 38 85 84 83 82 81 * * * 71 72 73 74 75</w:t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9n1lwsv733bt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Art der Versorgung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Brücke</w:t>
        <w:br w:type="textWrapping"/>
        <w:t xml:space="preserve">Krone</w:t>
        <w:br w:type="textWrapping"/>
        <w:t xml:space="preserve">Teilkrone</w:t>
        <w:br w:type="textWrapping"/>
        <w:t xml:space="preserve">Inlay</w:t>
        <w:br w:type="textWrapping"/>
        <w:t xml:space="preserve">Adhäsivbrücke</w:t>
        <w:br w:type="textWrapping"/>
        <w:t xml:space="preserve">Cerec</w:t>
        <w:br w:type="textWrapping"/>
        <w:t xml:space="preserve">Zirkon Katana</w:t>
        <w:br w:type="textWrapping"/>
        <w:t xml:space="preserve">Zirkon keramisch verblendet</w:t>
        <w:br w:type="textWrapping"/>
        <w:t xml:space="preserve">VMK</w:t>
        <w:br w:type="textWrapping"/>
        <w:t xml:space="preserve">Emax</w:t>
        <w:br w:type="textWrapping"/>
        <w:t xml:space="preserve">Monolithisch</w:t>
        <w:br w:type="textWrapping"/>
        <w:t xml:space="preserve">NEM</w:t>
        <w:br w:type="textWrapping"/>
        <w:t xml:space="preserve">EM</w:t>
        <w:br w:type="textWrapping"/>
        <w:t xml:space="preserve">Implantatgetragen</w:t>
        <w:br w:type="textWrapping"/>
        <w:t xml:space="preserve">Suprakonstruktion</w:t>
        <w:br w:type="textWrapping"/>
        <w:t xml:space="preserve">Teleskopprothese</w:t>
        <w:br w:type="textWrapping"/>
        <w:t xml:space="preserve">MGP</w:t>
        <w:br w:type="textWrapping"/>
        <w:t xml:space="preserve">Interimsversorgung</w:t>
        <w:br w:type="textWrapping"/>
        <w:t xml:space="preserve">Totale</w:t>
        <w:br w:type="textWrapping"/>
        <w:t xml:space="preserve">All on 4</w:t>
        <w:br w:type="textWrapping"/>
        <w:t xml:space="preserve">All on 6</w:t>
        <w:br w:type="textWrapping"/>
        <w:t xml:space="preserve">LZP</w:t>
        <w:br w:type="textWrapping"/>
        <w:t xml:space="preserve">...</w:t>
      </w:r>
    </w:p>
    <w:p w:rsidR="00000000" w:rsidDel="00000000" w:rsidP="00000000" w:rsidRDefault="00000000" w:rsidRPr="00000000" w14:paraId="0000000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4azph45qj6dh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Labor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Eigenlabor</w:t>
        <w:br w:type="textWrapping"/>
        <w:t xml:space="preserve">Fremdlabor</w:t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xvzf1a6lymh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Angaben zum ZE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(Art der Versorgung, Material, Labor)</w:t>
      </w:r>
    </w:p>
    <w:p w:rsidR="00000000" w:rsidDel="00000000" w:rsidP="00000000" w:rsidRDefault="00000000" w:rsidRPr="00000000" w14:paraId="0000000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8spbv5zynsr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Beschwerden / Symptome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Pat. ist beschwerdefrei</w:t>
        <w:br w:type="textWrapping"/>
        <w:t xml:space="preserve">Pat. hat Beschwerden nach letzter Behandlung</w:t>
        <w:br w:type="textWrapping"/>
        <w:t xml:space="preserve">Details Beschwerden/Symptome:</w:t>
      </w:r>
    </w:p>
    <w:p w:rsidR="00000000" w:rsidDel="00000000" w:rsidP="00000000" w:rsidRDefault="00000000" w:rsidRPr="00000000" w14:paraId="0000000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l25kaf3a7e64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Full Mouth Desinfection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vor Behandlung mit</w:t>
        <w:br w:type="textWrapping"/>
        <w:t xml:space="preserve">30 Sekunden</w:t>
        <w:br w:type="textWrapping"/>
        <w:t xml:space="preserve">1 Minute</w:t>
        <w:br w:type="textWrapping"/>
        <w:t xml:space="preserve">CHX-Splg. (0,2%)</w:t>
        <w:br w:type="textWrapping"/>
        <w:t xml:space="preserve">H2O2</w:t>
      </w:r>
    </w:p>
    <w:p w:rsidR="00000000" w:rsidDel="00000000" w:rsidP="00000000" w:rsidRDefault="00000000" w:rsidRPr="00000000" w14:paraId="0000001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xhwi2bfsigco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ViPr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OKUK</w:t>
        <w:br w:type="textWrapping"/>
        <w:t xml:space="preserve">55 54 53 52 51 * * * 61 62 63 64 65 18 17 16 15 14 13 12 11 * * * 21 22 23 24 25 26 27 28 * * * 48 47 46 45 44 43 42 41 * * * 31 32 33 34 35 36 37 38 85 84 83 82 81 * * * 71 72 73 74 75</w:t>
      </w:r>
    </w:p>
    <w:p w:rsidR="00000000" w:rsidDel="00000000" w:rsidP="00000000" w:rsidRDefault="00000000" w:rsidRPr="00000000" w14:paraId="0000001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rbhpvqt0jir9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Testverfahren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Kältespray</w:t>
        <w:br w:type="textWrapping"/>
        <w:t xml:space="preserve">Luft</w:t>
        <w:br w:type="textWrapping"/>
        <w:t xml:space="preserve">Wärme</w:t>
      </w:r>
    </w:p>
    <w:p w:rsidR="00000000" w:rsidDel="00000000" w:rsidP="00000000" w:rsidRDefault="00000000" w:rsidRPr="00000000" w14:paraId="0000001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4q03lhajujqp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Ergebnis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++</w:t>
        <w:br w:type="textWrapping"/>
        <w:t xml:space="preserve">+</w:t>
        <w:br w:type="textWrapping"/>
        <w:t xml:space="preserve">-</w:t>
        <w:br w:type="textWrapping"/>
        <w:t xml:space="preserve">+/-</w:t>
        <w:br w:type="textWrapping"/>
        <w:t xml:space="preserve">verzögert</w:t>
      </w:r>
    </w:p>
    <w:p w:rsidR="00000000" w:rsidDel="00000000" w:rsidP="00000000" w:rsidRDefault="00000000" w:rsidRPr="00000000" w14:paraId="0000001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40a5ww8ul31d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Wiederholbare Sektion</w:t>
      </w:r>
    </w:p>
    <w:p w:rsidR="00000000" w:rsidDel="00000000" w:rsidP="00000000" w:rsidRDefault="00000000" w:rsidRPr="00000000" w14:paraId="0000001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d3sj27ckdw52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Gnathologisches Einschleifen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Okklusionskontrolle</w:t>
        <w:br w:type="textWrapping"/>
        <w:t xml:space="preserve">Okklusion überprüft</w:t>
        <w:br w:type="textWrapping"/>
        <w:t xml:space="preserve">eingeschliffen und poliert</w:t>
        <w:br w:type="textWrapping"/>
        <w:t xml:space="preserve">OKUK</w:t>
        <w:br w:type="textWrapping"/>
        <w:t xml:space="preserve">55 54 53 52 51 * * * 61 62 63 64 65 18 17 16 15 14 13 12 11 * * * 21 22 23 24 25 26 27 28 * * * 48 47 46 45 44 43 42 41 * * * 31 32 33 34 35 36 37 38 85 84 83 82 81 * * * 71 72 73 74 75</w:t>
      </w:r>
    </w:p>
    <w:p w:rsidR="00000000" w:rsidDel="00000000" w:rsidP="00000000" w:rsidRDefault="00000000" w:rsidRPr="00000000" w14:paraId="0000001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btx6c34tp4o4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Nachfinieren / Politur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einer bestehenden Restauration</w:t>
        <w:br w:type="textWrapping"/>
        <w:t xml:space="preserve">OKUK</w:t>
        <w:br w:type="textWrapping"/>
        <w:t xml:space="preserve">55 54 53 52 51 * * * 61 62 63 64 65 18 17 16 15 14 13 12 11 * * * 21 22 23 24 25 26 27 28 * * * 48 47 46 45 44 43 42 41 * * * 31 32 33 34 35 36 37 38 85 84 83 82 81 * * * 71 72 73 74 75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 o d v l p z i</w:t>
      </w:r>
    </w:p>
    <w:p w:rsidR="00000000" w:rsidDel="00000000" w:rsidP="00000000" w:rsidRDefault="00000000" w:rsidRPr="00000000" w14:paraId="0000001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3p95yneatbr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Restaurationsart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Amalgam</w:t>
        <w:br w:type="textWrapping"/>
        <w:t xml:space="preserve">Komposit</w:t>
        <w:br w:type="textWrapping"/>
        <w:t xml:space="preserve">GIZ</w:t>
        <w:br w:type="textWrapping"/>
        <w:t xml:space="preserve">Zement</w:t>
        <w:br w:type="textWrapping"/>
        <w:t xml:space="preserve">Keramik</w:t>
      </w:r>
    </w:p>
    <w:p w:rsidR="00000000" w:rsidDel="00000000" w:rsidP="00000000" w:rsidRDefault="00000000" w:rsidRPr="00000000" w14:paraId="0000001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ccoldv1g75pa" w:id="15"/>
      <w:bookmarkEnd w:id="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Indikation</w:t>
      </w:r>
    </w:p>
    <w:p w:rsidR="00000000" w:rsidDel="00000000" w:rsidP="00000000" w:rsidRDefault="00000000" w:rsidRPr="00000000" w14:paraId="0000001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d5lg5r20xpjm" w:id="16"/>
      <w:bookmarkEnd w:id="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Wiederholbare Sektion</w:t>
      </w:r>
    </w:p>
    <w:p w:rsidR="00000000" w:rsidDel="00000000" w:rsidP="00000000" w:rsidRDefault="00000000" w:rsidRPr="00000000" w14:paraId="0000002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gf6zdh7pz3n" w:id="17"/>
      <w:bookmarkEnd w:id="1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Kleberreste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Kleberreste entfernt</w:t>
      </w:r>
    </w:p>
    <w:p w:rsidR="00000000" w:rsidDel="00000000" w:rsidP="00000000" w:rsidRDefault="00000000" w:rsidRPr="00000000" w14:paraId="0000002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6fz21np5n3n2" w:id="18"/>
      <w:bookmarkEnd w:id="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üZ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OKUK</w:t>
        <w:br w:type="textWrapping"/>
        <w:t xml:space="preserve">55 54 53 52 51 * * * 61 62 63 64 65 18 17 16 15 14 13 12 11 * * * 21 22 23 24 25 26 27 28 * * * 48 47 46 45 44 43 42 41 * * * 31 32 33 34 35 36 37 38 85 84 83 82 81 * * * 71 72 73 74 75</w:t>
      </w:r>
    </w:p>
    <w:p w:rsidR="00000000" w:rsidDel="00000000" w:rsidP="00000000" w:rsidRDefault="00000000" w:rsidRPr="00000000" w14:paraId="0000002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d190khnv3b2" w:id="19"/>
      <w:bookmarkEnd w:id="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Material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Elmex Gelee</w:t>
        <w:br w:type="textWrapping"/>
        <w:t xml:space="preserve">Elmex Fluid</w:t>
        <w:br w:type="textWrapping"/>
        <w:t xml:space="preserve">Bifluorid</w:t>
        <w:br w:type="textWrapping"/>
        <w:t xml:space="preserve">Cervitec</w:t>
        <w:br w:type="textWrapping"/>
        <w:t xml:space="preserve">Duraphat</w:t>
        <w:br w:type="textWrapping"/>
        <w:t xml:space="preserve">Flairesse</w:t>
        <w:br w:type="textWrapping"/>
        <w:t xml:space="preserve">Fluor Protector</w:t>
        <w:br w:type="textWrapping"/>
        <w:t xml:space="preserve">Gluma</w:t>
        <w:br w:type="textWrapping"/>
        <w:t xml:space="preserve">Seal&amp;Protect</w:t>
        <w:br w:type="textWrapping"/>
        <w:t xml:space="preserve">Sensodyne ProSchmelz</w:t>
        <w:br w:type="textWrapping"/>
        <w:t xml:space="preserve">Shield Force</w:t>
        <w:br w:type="textWrapping"/>
        <w:t xml:space="preserve">Teeth Mate</w:t>
        <w:br w:type="textWrapping"/>
        <w:t xml:space="preserve">Telio Desensitizer</w:t>
        <w:br w:type="textWrapping"/>
        <w:t xml:space="preserve">Toothmousse</w:t>
        <w:br w:type="textWrapping"/>
        <w:t xml:space="preserve">Voco Profluorid</w:t>
      </w:r>
    </w:p>
    <w:p w:rsidR="00000000" w:rsidDel="00000000" w:rsidP="00000000" w:rsidRDefault="00000000" w:rsidRPr="00000000" w14:paraId="0000002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ncd5t475icrx" w:id="20"/>
      <w:bookmarkEnd w:id="2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Wiederholbare Sektion</w:t>
      </w:r>
    </w:p>
    <w:p w:rsidR="00000000" w:rsidDel="00000000" w:rsidP="00000000" w:rsidRDefault="00000000" w:rsidRPr="00000000" w14:paraId="0000002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gh0cqb0smy0" w:id="21"/>
      <w:bookmarkEnd w:id="2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Mu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OKUK</w:t>
        <w:br w:type="textWrapping"/>
        <w:t xml:space="preserve">55 54 53 52 51 * * * 61 62 63 64 65 18 17 16 15 14 13 12 11 * * * 21 22 23 24 25 26 27 28 * * * 48 47 46 45 44 43 42 41 * * * 31 32 33 34 35 36 37 38 85 84 83 82 81 * * * 71 72 73 74 75</w:t>
      </w:r>
    </w:p>
    <w:p w:rsidR="00000000" w:rsidDel="00000000" w:rsidP="00000000" w:rsidRDefault="00000000" w:rsidRPr="00000000" w14:paraId="0000002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sqnk7lfwk9bq" w:id="22"/>
      <w:bookmarkEnd w:id="2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Lokale Entzündung aufgrund von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Plaque</w:t>
        <w:br w:type="textWrapping"/>
        <w:t xml:space="preserve">Zahnstein</w:t>
        <w:br w:type="textWrapping"/>
        <w:t xml:space="preserve">überstehender Füllungsrand</w:t>
        <w:br w:type="textWrapping"/>
        <w:t xml:space="preserve">Konkremente</w:t>
        <w:br w:type="textWrapping"/>
        <w:t xml:space="preserve">Prothesenrand</w:t>
        <w:br w:type="textWrapping"/>
        <w:t xml:space="preserve">...</w:t>
      </w:r>
    </w:p>
    <w:p w:rsidR="00000000" w:rsidDel="00000000" w:rsidP="00000000" w:rsidRDefault="00000000" w:rsidRPr="00000000" w14:paraId="0000002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jwb4fkxx6jm7" w:id="23"/>
      <w:bookmarkEnd w:id="2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Andere Mundschleimhauterkrankungen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Druckstelle</w:t>
        <w:br w:type="textWrapping"/>
        <w:t xml:space="preserve">Verletzung</w:t>
        <w:br w:type="textWrapping"/>
        <w:t xml:space="preserve">Zahnfleischtrauma bei Präp</w:t>
        <w:br w:type="textWrapping"/>
        <w:t xml:space="preserve">Dentitio difficilis</w:t>
        <w:br w:type="textWrapping"/>
        <w:t xml:space="preserve">Aphte</w:t>
        <w:br w:type="textWrapping"/>
        <w:t xml:space="preserve">ulzeröser Gingivitis</w:t>
        <w:br w:type="textWrapping"/>
        <w:t xml:space="preserve">...</w:t>
      </w:r>
    </w:p>
    <w:p w:rsidR="00000000" w:rsidDel="00000000" w:rsidP="00000000" w:rsidRDefault="00000000" w:rsidRPr="00000000" w14:paraId="0000002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vbvm31ed6p5" w:id="24"/>
      <w:bookmarkEnd w:id="2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Subgingivale Applikation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subgingivale med. antibakt. Lokalapplikation</w:t>
      </w:r>
    </w:p>
    <w:p w:rsidR="00000000" w:rsidDel="00000000" w:rsidP="00000000" w:rsidRDefault="00000000" w:rsidRPr="00000000" w14:paraId="0000002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9cjbq8z6vvci" w:id="25"/>
      <w:bookmarkEnd w:id="2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Medikament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CHX Gel (1%)</w:t>
        <w:br w:type="textWrapping"/>
        <w:t xml:space="preserve">CHX Spülung (0,2%)</w:t>
        <w:br w:type="textWrapping"/>
        <w:t xml:space="preserve">Aureomycin</w:t>
        <w:br w:type="textWrapping"/>
        <w:t xml:space="preserve">Blue M Gel</w:t>
        <w:br w:type="textWrapping"/>
        <w:t xml:space="preserve">Cervitec</w:t>
        <w:br w:type="textWrapping"/>
        <w:t xml:space="preserve">Dontisolon</w:t>
        <w:br w:type="textWrapping"/>
        <w:t xml:space="preserve">Ligosan</w:t>
        <w:br w:type="textWrapping"/>
        <w:t xml:space="preserve">Socketol</w:t>
        <w:br w:type="textWrapping"/>
        <w:t xml:space="preserve">Volon A</w:t>
      </w:r>
    </w:p>
    <w:p w:rsidR="00000000" w:rsidDel="00000000" w:rsidP="00000000" w:rsidRDefault="00000000" w:rsidRPr="00000000" w14:paraId="0000003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41jt7lwksvkf" w:id="26"/>
      <w:bookmarkEnd w:id="2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Wiederholbare Sektion</w:t>
      </w:r>
    </w:p>
    <w:p w:rsidR="00000000" w:rsidDel="00000000" w:rsidP="00000000" w:rsidRDefault="00000000" w:rsidRPr="00000000" w14:paraId="0000003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9kldptzeibva" w:id="27"/>
      <w:bookmarkEnd w:id="2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Patienteninformation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IDR-Bürstchen angepasst</w:t>
        <w:br w:type="textWrapping"/>
        <w:t xml:space="preserve">Zahnseide empfohlen und Verw. gezeigt</w:t>
        <w:br w:type="textWrapping"/>
        <w:t xml:space="preserve">Verwendung SuperFloss gezeigt</w:t>
        <w:br w:type="textWrapping"/>
        <w:t xml:space="preserve">Kontrolltermin empfohlen</w:t>
        <w:br w:type="textWrapping"/>
        <w:t xml:space="preserve">...</w:t>
        <w:br w:type="textWrapping"/>
        <w:t xml:space="preserve">Informationsblatt mitgegeben</w:t>
      </w:r>
    </w:p>
    <w:p w:rsidR="00000000" w:rsidDel="00000000" w:rsidP="00000000" w:rsidRDefault="00000000" w:rsidRPr="00000000" w14:paraId="0000003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2voui4ww0ml" w:id="28"/>
      <w:bookmarkEnd w:id="2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Wie geht es weiter?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Nächster Termin:</w:t>
      </w:r>
    </w:p>
    <w:p w:rsidR="00000000" w:rsidDel="00000000" w:rsidP="00000000" w:rsidRDefault="00000000" w:rsidRPr="00000000" w14:paraId="0000003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5jvnlm11ey1b" w:id="29"/>
      <w:bookmarkEnd w:id="2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Planung und Sonstiges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Planung:</w:t>
        <w:br w:type="textWrapping"/>
        <w:t xml:space="preserve">Sonstiges: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