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15u7pqllrn3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ZE Reparatur/Unterfütterung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6an68xpa2a1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72xumfyiyrf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Beratungsdauer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Beginn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Uhrzeit Ende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 gesamt: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b40j25rszw0s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 mit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pt8kw3pnkmq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Zahnstein entfernt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nbficd0cso4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Instrumentarium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mk2jwyx8dixt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Abformung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ohne diagnostische Auswertung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8sfp2150jq7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Kiefer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Oberkiefer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Unterkiefer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Gegenkiefer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ix7hxni2ptv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Abformung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Alginat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Ausblockwachs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qzmnmmf9vyi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Löffelgröße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XL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XXL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5e7d1vtj82z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Abformung für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Bruchreparatur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Unterfütterung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Verblendreparatur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vollverbl.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teilverbl.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Sprungreparatur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Klammerreparatur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 Unterfütterung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Erweiterung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Metallbereich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Kunststoffbereich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Austausch Prothesenzähне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x50djgsdmfw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pkgm0wqihoc3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Bissnahme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 Scan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FutarD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Greenbite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HardBite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Kanibite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Luxabite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Metalbite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Occlufast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Omnibite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Quetschbiss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StoneBite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fjd0xcxxxg3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Behandlungsgebiet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rbtpre3zmsm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Angaben zum ZE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(Art der Versorgung, Labor, ...)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v13mp93d2ww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Unterfütterung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Kiefer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Oberkiefer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Unterkiefer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8jcw1tea90m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Art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Unterfütterung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Direkte Unterfütterung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Weichbleibende Unterfütterung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vollständig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partiell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Randgestaltung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ohne Randgestaltung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x5e61kjgeg8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Material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hart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weichbleibend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oxyi5207o0j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Bruchreparatur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Kiefer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Oberkiefer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Unterkiefer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14jfx8yj00x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Reparatur ZE direkt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provisorisch mittels Kleber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extraorale Wiederherstellung ZE (Ausarbeitung, Oberflächenbehandlung und Politur)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Kleberreste entfernt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 vorhandener Restauration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3gstw3v1r1d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Reparatur ZE im Fremdlabor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v50sxv52zpb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guvwez2fpom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Lokale Entzündung aufgrund von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0fpcxn3hjg8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Zahnfleischtраuma bei Präp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tlf091ybyol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Subgingivale Applikation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nx3z930lcvv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Medikament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ctzy3l4f5rh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ji0ej0nga8um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Nächster Termin: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Eingliederung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Nachkontrolле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c5qf2hr78nn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