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3ECF"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Concept Stage Report</w:t>
      </w:r>
    </w:p>
    <w:p w14:paraId="5F917C44"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Michael Dreiling</w:t>
      </w:r>
      <w:r w:rsidRPr="00CF740D">
        <w:rPr>
          <w:rFonts w:ascii="Times New Roman" w:eastAsiaTheme="majorEastAsia" w:hAnsi="Times New Roman" w:cs="Times New Roman"/>
          <w:sz w:val="24"/>
          <w:szCs w:val="24"/>
        </w:rPr>
        <w:br/>
        <w:t>INLS 625 – Information Analytics</w:t>
      </w:r>
      <w:r w:rsidRPr="00CF740D">
        <w:rPr>
          <w:rFonts w:ascii="Times New Roman" w:eastAsiaTheme="majorEastAsia" w:hAnsi="Times New Roman" w:cs="Times New Roman"/>
          <w:sz w:val="24"/>
          <w:szCs w:val="24"/>
        </w:rPr>
        <w:br/>
        <w:t>Date: 9/19/2025</w:t>
      </w:r>
    </w:p>
    <w:p w14:paraId="6B591A36"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Problem Definition</w:t>
      </w:r>
    </w:p>
    <w:p w14:paraId="544F7DD4"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Hospital readmissions within 30 days of discharge are a key quality metric in U.S. healthcare, linked to both cost and patient outcomes. The Centers for Medicare &amp; Medicaid Services (CMS) penalizes hospitals with excessive readmissions through the Hospital Readmissions Reduction Program (HRRP). This project addresses whether hospital-level process-of-care measures, reflecting timeliness and effectiveness of treatment, can predict and explain differences in readmission outcomes across hospitals nationwide. By applying data mining techniques, the study will uncover patterns in hospital performance and assess how care practices influence readmission risk.</w:t>
      </w:r>
    </w:p>
    <w:p w14:paraId="089B23BB"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Data Understanding</w:t>
      </w:r>
    </w:p>
    <w:p w14:paraId="42B67E1F"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Two hospital-level datasets from CMS will be used. The FY 2025 HRRP dataset provides readmission outcomes, including excess readmission ratios for conditions such as heart failure, pneumonia, COPD, CABG, and joint replacement. This dataset offers the dependent variables for the study. The Timely and Effective Care dataset contains quality-of-care measures such as the percentage of patients receiving recommended treatments within appropriate time frames. Both datasets are keyed by the CMS Certification Number (CCN), enabling them to be merged for analysis. Together they provide thousands of records covering U.S. hospitals, sufficient for advanced analytics.</w:t>
      </w:r>
    </w:p>
    <w:p w14:paraId="6E114626"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Data Preparation</w:t>
      </w:r>
    </w:p>
    <w:p w14:paraId="27BD064F"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The datasets will be merged by CCN to align readmission outcomes with quality-of-care measures. Readmission ratios will serve as outcome variables and process-of-care measures as predictors. Data preparation will involve handling missing values, normalizing percentages, and creating composite or categorical features. Exploratory analysis will be conducted to assess distributions and correlations before modeling.</w:t>
      </w:r>
    </w:p>
    <w:p w14:paraId="19A7CAC3"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Modeling</w:t>
      </w:r>
    </w:p>
    <w:p w14:paraId="551A47F2"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Modeling will be implemented using R, KNIME, and RapidMiner, allowing both statistical and machine learning approaches as well as flexible workflows for data integration and visualization. Four algorithms will be compared: multiple linear regression for baseline analysis, random forests to capture non-linear interactions, gradient boosting (</w:t>
      </w:r>
      <w:proofErr w:type="spellStart"/>
      <w:r w:rsidRPr="00CF740D">
        <w:rPr>
          <w:rFonts w:ascii="Times New Roman" w:eastAsiaTheme="majorEastAsia" w:hAnsi="Times New Roman" w:cs="Times New Roman"/>
          <w:sz w:val="24"/>
          <w:szCs w:val="24"/>
        </w:rPr>
        <w:t>XGBoost</w:t>
      </w:r>
      <w:proofErr w:type="spellEnd"/>
      <w:r w:rsidRPr="00CF740D">
        <w:rPr>
          <w:rFonts w:ascii="Times New Roman" w:eastAsiaTheme="majorEastAsia" w:hAnsi="Times New Roman" w:cs="Times New Roman"/>
          <w:sz w:val="24"/>
          <w:szCs w:val="24"/>
        </w:rPr>
        <w:t xml:space="preserve">) to enhance predictive accuracy, and clustering to group hospitals based on care practices. This combination ensures both predictive and </w:t>
      </w:r>
      <w:r w:rsidRPr="00CF740D">
        <w:rPr>
          <w:rFonts w:ascii="Times New Roman" w:eastAsiaTheme="majorEastAsia" w:hAnsi="Times New Roman" w:cs="Times New Roman"/>
          <w:sz w:val="24"/>
          <w:szCs w:val="24"/>
        </w:rPr>
        <w:lastRenderedPageBreak/>
        <w:t>exploratory insights while also providing a comparative understanding of the performance of different modeling approaches.</w:t>
      </w:r>
    </w:p>
    <w:p w14:paraId="6C46F617"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Evaluation &amp; Deployment</w:t>
      </w:r>
    </w:p>
    <w:p w14:paraId="795BAEC3"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Models will be evaluated with cross-validation, R-squared and RMSE for regression, and accuracy or AUC if classification is used. The outcome will be a predictive framework showing how care practices affect readmissions, along with visualizations such as feature importance rankings and cluster heatmaps. These findings could guide hospitals in benchmarking their performance and identifying improvement areas. Results will be presented in the required final video demonstration.</w:t>
      </w:r>
    </w:p>
    <w:p w14:paraId="4D4C69F2" w14:textId="77777777"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Risk Mitigation</w:t>
      </w:r>
    </w:p>
    <w:p w14:paraId="0789538A" w14:textId="77777777" w:rsidR="00CF740D" w:rsidRPr="00CF740D" w:rsidRDefault="00CF740D" w:rsidP="00CF740D">
      <w:pPr>
        <w:rPr>
          <w:rFonts w:ascii="Times New Roman" w:eastAsiaTheme="majorEastAsia" w:hAnsi="Times New Roman" w:cs="Times New Roman"/>
          <w:sz w:val="24"/>
          <w:szCs w:val="24"/>
        </w:rPr>
      </w:pPr>
      <w:r w:rsidRPr="00CF740D">
        <w:rPr>
          <w:rFonts w:ascii="Times New Roman" w:eastAsiaTheme="majorEastAsia" w:hAnsi="Times New Roman" w:cs="Times New Roman"/>
          <w:sz w:val="24"/>
          <w:szCs w:val="24"/>
        </w:rPr>
        <w:t>Risks include missing or inconsistent hospital data, which will be mitigated through imputation or sensitivity analyses. Because correlation does not imply causation, results will be framed carefully to avoid overstating causal relationships. Overfitting will be addressed using cross-validation and regularization. Potential challenges with dataset merging will be managed by using CMS crosswalks for hospital identifiers. These strategies will ensure that the project remains feasible and produces reliable findings.</w:t>
      </w:r>
    </w:p>
    <w:p w14:paraId="496D0605" w14:textId="77777777" w:rsidR="00CF740D" w:rsidRPr="00432E84" w:rsidRDefault="00CF740D" w:rsidP="00CF740D">
      <w:pPr>
        <w:rPr>
          <w:rFonts w:ascii="Times New Roman" w:eastAsiaTheme="majorEastAsia" w:hAnsi="Times New Roman" w:cs="Times New Roman"/>
          <w:b/>
          <w:bCs/>
          <w:sz w:val="24"/>
          <w:szCs w:val="24"/>
        </w:rPr>
      </w:pPr>
    </w:p>
    <w:p w14:paraId="3A569AD1" w14:textId="13FC198E" w:rsidR="00CF740D" w:rsidRPr="00CF740D" w:rsidRDefault="00CF740D" w:rsidP="00CF740D">
      <w:pPr>
        <w:rPr>
          <w:rFonts w:ascii="Times New Roman" w:eastAsiaTheme="majorEastAsia" w:hAnsi="Times New Roman" w:cs="Times New Roman"/>
          <w:b/>
          <w:bCs/>
          <w:sz w:val="24"/>
          <w:szCs w:val="24"/>
        </w:rPr>
      </w:pPr>
      <w:r w:rsidRPr="00CF740D">
        <w:rPr>
          <w:rFonts w:ascii="Times New Roman" w:eastAsiaTheme="majorEastAsia" w:hAnsi="Times New Roman" w:cs="Times New Roman"/>
          <w:b/>
          <w:bCs/>
          <w:sz w:val="24"/>
          <w:szCs w:val="24"/>
        </w:rPr>
        <w:t>References/Data Sources</w:t>
      </w:r>
    </w:p>
    <w:p w14:paraId="277E1AEB" w14:textId="77777777" w:rsidR="00CF740D" w:rsidRPr="00CF740D" w:rsidRDefault="00CF740D" w:rsidP="00CF740D">
      <w:pPr>
        <w:rPr>
          <w:rFonts w:ascii="Times New Roman" w:eastAsiaTheme="majorEastAsia" w:hAnsi="Times New Roman" w:cs="Times New Roman"/>
          <w:sz w:val="24"/>
          <w:szCs w:val="24"/>
        </w:rPr>
      </w:pPr>
      <w:proofErr w:type="spellStart"/>
      <w:r w:rsidRPr="00CF740D">
        <w:rPr>
          <w:rFonts w:ascii="Times New Roman" w:eastAsiaTheme="majorEastAsia" w:hAnsi="Times New Roman" w:cs="Times New Roman"/>
          <w:sz w:val="24"/>
          <w:szCs w:val="24"/>
        </w:rPr>
        <w:t>Pqdc</w:t>
      </w:r>
      <w:proofErr w:type="spellEnd"/>
      <w:r w:rsidRPr="00CF740D">
        <w:rPr>
          <w:rFonts w:ascii="Times New Roman" w:eastAsiaTheme="majorEastAsia" w:hAnsi="Times New Roman" w:cs="Times New Roman"/>
          <w:sz w:val="24"/>
          <w:szCs w:val="24"/>
        </w:rPr>
        <w:t xml:space="preserve">. (n.d.-a). Retrieved September 19, 2025, from </w:t>
      </w:r>
      <w:hyperlink r:id="rId6" w:tgtFrame="_new" w:history="1">
        <w:r w:rsidRPr="00CF740D">
          <w:rPr>
            <w:rStyle w:val="Hyperlink"/>
            <w:rFonts w:ascii="Times New Roman" w:eastAsiaTheme="majorEastAsia" w:hAnsi="Times New Roman" w:cs="Times New Roman"/>
            <w:sz w:val="24"/>
            <w:szCs w:val="24"/>
          </w:rPr>
          <w:t>https://data.cms.gov/provider-data/dataset/yv7e-xc69</w:t>
        </w:r>
      </w:hyperlink>
      <w:r w:rsidRPr="00CF740D">
        <w:rPr>
          <w:rFonts w:ascii="Times New Roman" w:eastAsiaTheme="majorEastAsia" w:hAnsi="Times New Roman" w:cs="Times New Roman"/>
          <w:sz w:val="24"/>
          <w:szCs w:val="24"/>
        </w:rPr>
        <w:br/>
      </w:r>
      <w:proofErr w:type="spellStart"/>
      <w:r w:rsidRPr="00CF740D">
        <w:rPr>
          <w:rFonts w:ascii="Times New Roman" w:eastAsiaTheme="majorEastAsia" w:hAnsi="Times New Roman" w:cs="Times New Roman"/>
          <w:sz w:val="24"/>
          <w:szCs w:val="24"/>
        </w:rPr>
        <w:t>Pqdc</w:t>
      </w:r>
      <w:proofErr w:type="spellEnd"/>
      <w:r w:rsidRPr="00CF740D">
        <w:rPr>
          <w:rFonts w:ascii="Times New Roman" w:eastAsiaTheme="majorEastAsia" w:hAnsi="Times New Roman" w:cs="Times New Roman"/>
          <w:sz w:val="24"/>
          <w:szCs w:val="24"/>
        </w:rPr>
        <w:t xml:space="preserve">. (n.d.-b). Retrieved September 19, 2025, from </w:t>
      </w:r>
      <w:hyperlink r:id="rId7" w:anchor="data-table" w:tgtFrame="_new" w:history="1">
        <w:r w:rsidRPr="00CF740D">
          <w:rPr>
            <w:rStyle w:val="Hyperlink"/>
            <w:rFonts w:ascii="Times New Roman" w:eastAsiaTheme="majorEastAsia" w:hAnsi="Times New Roman" w:cs="Times New Roman"/>
            <w:sz w:val="24"/>
            <w:szCs w:val="24"/>
          </w:rPr>
          <w:t>https://data.cms.gov/provider-data/dataset/9n3s-kdb3#data-table</w:t>
        </w:r>
      </w:hyperlink>
    </w:p>
    <w:p w14:paraId="22D524E7" w14:textId="77777777" w:rsidR="0074677F" w:rsidRPr="00432E84" w:rsidRDefault="0074677F">
      <w:pPr>
        <w:rPr>
          <w:rFonts w:ascii="Times New Roman" w:hAnsi="Times New Roman" w:cs="Times New Roman"/>
        </w:rPr>
      </w:pPr>
    </w:p>
    <w:sectPr w:rsidR="0074677F" w:rsidRPr="00432E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916075">
    <w:abstractNumId w:val="8"/>
  </w:num>
  <w:num w:numId="2" w16cid:durableId="173037695">
    <w:abstractNumId w:val="6"/>
  </w:num>
  <w:num w:numId="3" w16cid:durableId="2118212876">
    <w:abstractNumId w:val="5"/>
  </w:num>
  <w:num w:numId="4" w16cid:durableId="126314760">
    <w:abstractNumId w:val="4"/>
  </w:num>
  <w:num w:numId="5" w16cid:durableId="1065645154">
    <w:abstractNumId w:val="7"/>
  </w:num>
  <w:num w:numId="6" w16cid:durableId="2013945044">
    <w:abstractNumId w:val="3"/>
  </w:num>
  <w:num w:numId="7" w16cid:durableId="1440221938">
    <w:abstractNumId w:val="2"/>
  </w:num>
  <w:num w:numId="8" w16cid:durableId="768088374">
    <w:abstractNumId w:val="1"/>
  </w:num>
  <w:num w:numId="9" w16cid:durableId="16044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E84"/>
    <w:rsid w:val="0074677F"/>
    <w:rsid w:val="00AA1D8D"/>
    <w:rsid w:val="00B47730"/>
    <w:rsid w:val="00BD5531"/>
    <w:rsid w:val="00CB0664"/>
    <w:rsid w:val="00CF740D"/>
    <w:rsid w:val="00FC693F"/>
    <w:rsid w:val="00FF40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881BE"/>
  <w14:defaultImageDpi w14:val="300"/>
  <w15:docId w15:val="{78A57646-4265-45E8-BA2C-C5C6D47C0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740D"/>
    <w:rPr>
      <w:color w:val="0000FF" w:themeColor="hyperlink"/>
      <w:u w:val="single"/>
    </w:rPr>
  </w:style>
  <w:style w:type="character" w:styleId="UnresolvedMention">
    <w:name w:val="Unresolved Mention"/>
    <w:basedOn w:val="DefaultParagraphFont"/>
    <w:uiPriority w:val="99"/>
    <w:semiHidden/>
    <w:unhideWhenUsed/>
    <w:rsid w:val="00CF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ata.cms.gov/provider-data/dataset/9n3s-kdb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cms.gov/provider-data/dataset/yv7e-xc6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Dreiling</cp:lastModifiedBy>
  <cp:revision>3</cp:revision>
  <dcterms:created xsi:type="dcterms:W3CDTF">2025-09-20T02:39:00Z</dcterms:created>
  <dcterms:modified xsi:type="dcterms:W3CDTF">2025-09-20T02:39:00Z</dcterms:modified>
  <cp:category/>
</cp:coreProperties>
</file>