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4732" w14:textId="77777777" w:rsidR="00426F37" w:rsidRPr="00426F37" w:rsidRDefault="00426F37" w:rsidP="00426F37">
      <w:pPr>
        <w:rPr>
          <w:lang w:val="fr-FR"/>
        </w:rPr>
      </w:pPr>
      <w:r w:rsidRPr="00426F37">
        <w:rPr>
          <w:lang w:val="fr-FR"/>
        </w:rPr>
        <w:t>Ingénieur DevOps - Aperçu des compétences</w:t>
      </w:r>
    </w:p>
    <w:p w14:paraId="5957F82B" w14:textId="77777777" w:rsidR="00426F37" w:rsidRPr="00426F37" w:rsidRDefault="00426F37" w:rsidP="00426F37">
      <w:pPr>
        <w:rPr>
          <w:lang w:val="fr-FR"/>
        </w:rPr>
      </w:pPr>
    </w:p>
    <w:p w14:paraId="1EEA30FD" w14:textId="2461AFD2" w:rsidR="00426F37" w:rsidRPr="00426F37" w:rsidRDefault="00426F37" w:rsidP="00426F37">
      <w:pPr>
        <w:jc w:val="center"/>
        <w:rPr>
          <w:lang w:val="fr-FR"/>
        </w:rPr>
      </w:pPr>
      <w:r w:rsidRPr="00426F37">
        <w:rPr>
          <w:lang w:val="fr-FR"/>
        </w:rPr>
        <w:fldChar w:fldCharType="begin"/>
      </w:r>
      <w:r w:rsidRPr="00426F37">
        <w:rPr>
          <w:lang w:val="fr-FR"/>
        </w:rPr>
        <w:instrText xml:space="preserve"> INCLUDEPICTURE "https://www.mikadolabs.com/wp-content/uploads/2023/02/article2.png" \* MERGEFORMATINET </w:instrText>
      </w:r>
      <w:r w:rsidRPr="00426F37">
        <w:rPr>
          <w:lang w:val="fr-FR"/>
        </w:rPr>
        <w:fldChar w:fldCharType="separate"/>
      </w:r>
      <w:r w:rsidRPr="00426F37">
        <w:rPr>
          <w:noProof/>
          <w:lang w:val="fr-FR"/>
        </w:rPr>
        <w:drawing>
          <wp:inline distT="0" distB="0" distL="0" distR="0" wp14:anchorId="1DE91111" wp14:editId="4594DB88">
            <wp:extent cx="3606317" cy="1620000"/>
            <wp:effectExtent l="0" t="0" r="0" b="5715"/>
            <wp:docPr id="974978359" name="Picture 1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78359" name="Picture 1" descr="A diagram of a proc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8" b="5543"/>
                    <a:stretch/>
                  </pic:blipFill>
                  <pic:spPr bwMode="auto">
                    <a:xfrm>
                      <a:off x="0" y="0"/>
                      <a:ext cx="360631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6F37">
        <w:rPr>
          <w:lang w:val="fr-FR"/>
        </w:rPr>
        <w:fldChar w:fldCharType="end"/>
      </w:r>
    </w:p>
    <w:p w14:paraId="7C6411E4" w14:textId="77777777" w:rsidR="00426F37" w:rsidRPr="00426F37" w:rsidRDefault="00426F37" w:rsidP="00426F37">
      <w:pPr>
        <w:rPr>
          <w:lang w:val="fr-FR"/>
        </w:rPr>
      </w:pPr>
    </w:p>
    <w:p w14:paraId="3DE02181" w14:textId="77777777" w:rsidR="00426F37" w:rsidRPr="00426F37" w:rsidRDefault="00426F37" w:rsidP="00426F37">
      <w:pPr>
        <w:rPr>
          <w:lang w:val="fr-FR"/>
        </w:rPr>
      </w:pPr>
      <w:r w:rsidRPr="00426F37">
        <w:rPr>
          <w:lang w:val="fr-FR"/>
        </w:rPr>
        <w:t>Infrastructure as Code (</w:t>
      </w:r>
      <w:proofErr w:type="spellStart"/>
      <w:r w:rsidRPr="00426F37">
        <w:rPr>
          <w:lang w:val="fr-FR"/>
        </w:rPr>
        <w:t>IaC</w:t>
      </w:r>
      <w:proofErr w:type="spellEnd"/>
      <w:r w:rsidRPr="00426F37">
        <w:rPr>
          <w:lang w:val="fr-FR"/>
        </w:rPr>
        <w:t>)</w:t>
      </w:r>
    </w:p>
    <w:p w14:paraId="5A72319F" w14:textId="77777777" w:rsidR="00426F37" w:rsidRPr="00426F37" w:rsidRDefault="00426F37" w:rsidP="00426F37">
      <w:pPr>
        <w:rPr>
          <w:lang w:val="fr-FR"/>
        </w:rPr>
      </w:pPr>
    </w:p>
    <w:p w14:paraId="41DDCF9F" w14:textId="7572EB50" w:rsidR="00426F37" w:rsidRPr="00426F37" w:rsidRDefault="00426F37" w:rsidP="00426F37">
      <w:pPr>
        <w:ind w:firstLine="720"/>
        <w:jc w:val="both"/>
        <w:rPr>
          <w:lang w:val="fr-FR"/>
        </w:rPr>
      </w:pPr>
      <w:r w:rsidRPr="00426F37">
        <w:rPr>
          <w:lang w:val="fr-FR"/>
        </w:rPr>
        <w:t>Infrastructure as Code (</w:t>
      </w:r>
      <w:proofErr w:type="spellStart"/>
      <w:r w:rsidRPr="00426F37">
        <w:rPr>
          <w:lang w:val="fr-FR"/>
        </w:rPr>
        <w:t>IaC</w:t>
      </w:r>
      <w:proofErr w:type="spellEnd"/>
      <w:r w:rsidRPr="00426F37">
        <w:rPr>
          <w:lang w:val="fr-FR"/>
        </w:rPr>
        <w:t xml:space="preserve">) est un concept fondamental dans les pratiques modernes de DevOps. Il s'agit de gérer et de provisionner l'infrastructure informatique à travers des fichiers de définition lisibles par machine, plutôt que par une configuration matérielle physique ou des outils de configuration interactifs. Avec </w:t>
      </w:r>
      <w:proofErr w:type="spellStart"/>
      <w:r w:rsidRPr="00426F37">
        <w:rPr>
          <w:lang w:val="fr-FR"/>
        </w:rPr>
        <w:t>IaC</w:t>
      </w:r>
      <w:proofErr w:type="spellEnd"/>
      <w:r w:rsidRPr="00426F37">
        <w:rPr>
          <w:lang w:val="fr-FR"/>
        </w:rPr>
        <w:t xml:space="preserve">, vous pouvez automatiser le déploiement de l'infrastructure, garantissant ainsi la cohérence et la reproductibilité dans différents environnements. Les principaux outils incluent </w:t>
      </w:r>
      <w:r w:rsidRPr="00426F37">
        <w:rPr>
          <w:lang w:val="fr-FR"/>
        </w:rPr>
        <w:t xml:space="preserve">des solutions comme </w:t>
      </w:r>
      <w:proofErr w:type="spellStart"/>
      <w:r w:rsidRPr="00426F37">
        <w:rPr>
          <w:lang w:val="fr-FR"/>
        </w:rPr>
        <w:t>Terraform</w:t>
      </w:r>
      <w:proofErr w:type="spellEnd"/>
      <w:r w:rsidRPr="00426F37">
        <w:rPr>
          <w:lang w:val="fr-FR"/>
        </w:rPr>
        <w:t xml:space="preserve">, AWS </w:t>
      </w:r>
      <w:proofErr w:type="spellStart"/>
      <w:r w:rsidRPr="00426F37">
        <w:rPr>
          <w:lang w:val="fr-FR"/>
        </w:rPr>
        <w:t>CloudFormation</w:t>
      </w:r>
      <w:proofErr w:type="spellEnd"/>
      <w:r w:rsidRPr="00426F37">
        <w:rPr>
          <w:lang w:val="fr-FR"/>
        </w:rPr>
        <w:t>.</w:t>
      </w:r>
    </w:p>
    <w:p w14:paraId="0B13BE3B" w14:textId="77777777" w:rsidR="00426F37" w:rsidRPr="00426F37" w:rsidRDefault="00426F37" w:rsidP="00426F37">
      <w:pPr>
        <w:jc w:val="both"/>
        <w:rPr>
          <w:lang w:val="fr-FR"/>
        </w:rPr>
      </w:pPr>
    </w:p>
    <w:p w14:paraId="6393EB6E" w14:textId="29C244BE" w:rsidR="00426F37" w:rsidRPr="00426F37" w:rsidRDefault="00426F37" w:rsidP="00426F37">
      <w:pPr>
        <w:pStyle w:val="ListParagraph"/>
        <w:numPr>
          <w:ilvl w:val="0"/>
          <w:numId w:val="1"/>
        </w:numPr>
        <w:rPr>
          <w:lang w:val="fr-FR"/>
        </w:rPr>
      </w:pPr>
      <w:r w:rsidRPr="00426F37">
        <w:rPr>
          <w:lang w:val="fr-FR"/>
        </w:rPr>
        <w:t>Principaux avantages :</w:t>
      </w:r>
    </w:p>
    <w:p w14:paraId="6CA174F4" w14:textId="77777777" w:rsidR="00426F37" w:rsidRPr="00426F37" w:rsidRDefault="00426F37" w:rsidP="00426F37">
      <w:pPr>
        <w:pStyle w:val="ListParagraph"/>
        <w:numPr>
          <w:ilvl w:val="1"/>
          <w:numId w:val="1"/>
        </w:numPr>
        <w:rPr>
          <w:lang w:val="fr-FR"/>
        </w:rPr>
      </w:pPr>
    </w:p>
    <w:p w14:paraId="1617A819" w14:textId="77777777" w:rsidR="00426F37" w:rsidRPr="00426F37" w:rsidRDefault="00426F37" w:rsidP="00426F37">
      <w:pPr>
        <w:rPr>
          <w:lang w:val="fr-FR"/>
        </w:rPr>
      </w:pPr>
    </w:p>
    <w:p w14:paraId="075DC03D" w14:textId="77777777" w:rsidR="00426F37" w:rsidRPr="00426F37" w:rsidRDefault="00426F37" w:rsidP="00426F37">
      <w:pPr>
        <w:rPr>
          <w:lang w:val="fr-FR"/>
        </w:rPr>
      </w:pPr>
    </w:p>
    <w:p w14:paraId="46757622" w14:textId="77777777" w:rsidR="00426F37" w:rsidRPr="00426F37" w:rsidRDefault="00426F37" w:rsidP="00426F37">
      <w:pPr>
        <w:rPr>
          <w:lang w:val="fr-FR"/>
        </w:rPr>
      </w:pPr>
      <w:r w:rsidRPr="00426F37">
        <w:rPr>
          <w:lang w:val="fr-FR"/>
        </w:rPr>
        <w:t>Intégration Continue/Livraison Continue (CI/CD)</w:t>
      </w:r>
    </w:p>
    <w:p w14:paraId="2341DECE" w14:textId="77777777" w:rsidR="00426F37" w:rsidRPr="00426F37" w:rsidRDefault="00426F37" w:rsidP="00426F37">
      <w:pPr>
        <w:rPr>
          <w:lang w:val="fr-FR"/>
        </w:rPr>
      </w:pPr>
    </w:p>
    <w:p w14:paraId="7FE1E18D" w14:textId="77777777" w:rsidR="00A41938" w:rsidRDefault="00426F37" w:rsidP="00426F37">
      <w:pPr>
        <w:ind w:firstLine="720"/>
        <w:jc w:val="both"/>
        <w:rPr>
          <w:lang w:val="fr-FR"/>
        </w:rPr>
      </w:pPr>
      <w:r w:rsidRPr="00426F37">
        <w:rPr>
          <w:lang w:val="fr-FR"/>
        </w:rPr>
        <w:t xml:space="preserve">CI/CD est un ensemble de pratiques qui automatisent le processus d'intégration des modifications de code et leur livraison aux environnements de production de manière fréquente et fiable. </w:t>
      </w:r>
    </w:p>
    <w:p w14:paraId="6924AE85" w14:textId="05CBB732" w:rsidR="00A41938" w:rsidRPr="00A41938" w:rsidRDefault="00426F37" w:rsidP="00A41938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A41938">
        <w:rPr>
          <w:lang w:val="fr-FR"/>
        </w:rPr>
        <w:t>L'Intégration Continue implique la construction et le test automatiques des modifications de code chaque fois qu'elles sont validées dans un référentiel de contrôle de version.</w:t>
      </w:r>
    </w:p>
    <w:p w14:paraId="310D4041" w14:textId="77985FF9" w:rsidR="00426F37" w:rsidRPr="00A41938" w:rsidRDefault="00426F37" w:rsidP="00A41938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A41938">
        <w:rPr>
          <w:lang w:val="fr-FR"/>
        </w:rPr>
        <w:t>La Livraison Continue étend cela en automatisant le déploiement des modifications de code dans divers environnements, tels que le développement, le test et la production</w:t>
      </w:r>
      <w:r w:rsidRPr="00A41938">
        <w:rPr>
          <w:lang w:val="fr-FR"/>
        </w:rPr>
        <w:t>.</w:t>
      </w:r>
    </w:p>
    <w:p w14:paraId="6466D906" w14:textId="77777777" w:rsidR="00426F37" w:rsidRPr="00426F37" w:rsidRDefault="00426F37" w:rsidP="00426F37">
      <w:pPr>
        <w:rPr>
          <w:lang w:val="fr-FR"/>
        </w:rPr>
      </w:pPr>
    </w:p>
    <w:p w14:paraId="592BF0A9" w14:textId="1B5DA415" w:rsidR="00426F37" w:rsidRPr="00426F37" w:rsidRDefault="00426F37" w:rsidP="00426F37">
      <w:pPr>
        <w:jc w:val="center"/>
        <w:rPr>
          <w:lang w:val="fr-FR"/>
        </w:rPr>
      </w:pPr>
      <w:r w:rsidRPr="00426F37">
        <w:rPr>
          <w:lang w:val="fr-FR"/>
        </w:rPr>
        <w:fldChar w:fldCharType="begin"/>
      </w:r>
      <w:r w:rsidRPr="00426F37">
        <w:rPr>
          <w:lang w:val="fr-FR"/>
        </w:rPr>
        <w:instrText xml:space="preserve"> INCLUDEPICTURE "https://magenta-cloud.pan-net.cloud/images/cicd.png" \* MERGEFORMATINET </w:instrText>
      </w:r>
      <w:r w:rsidRPr="00426F37">
        <w:rPr>
          <w:lang w:val="fr-FR"/>
        </w:rPr>
        <w:fldChar w:fldCharType="separate"/>
      </w:r>
      <w:r w:rsidRPr="00426F37">
        <w:rPr>
          <w:noProof/>
          <w:lang w:val="fr-FR"/>
        </w:rPr>
        <w:drawing>
          <wp:inline distT="0" distB="0" distL="0" distR="0" wp14:anchorId="5CEA30A5" wp14:editId="4AA8B782">
            <wp:extent cx="3269705" cy="1620000"/>
            <wp:effectExtent l="0" t="0" r="0" b="5715"/>
            <wp:docPr id="875785450" name="Picture 3" descr="Magenta Cloud CI/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nta Cloud CI/C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05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37">
        <w:rPr>
          <w:lang w:val="fr-FR"/>
        </w:rPr>
        <w:fldChar w:fldCharType="end"/>
      </w:r>
    </w:p>
    <w:p w14:paraId="295C956C" w14:textId="7014F17A" w:rsidR="00426F37" w:rsidRPr="00426F37" w:rsidRDefault="00426F37" w:rsidP="00426F37">
      <w:pPr>
        <w:rPr>
          <w:lang w:val="fr-FR"/>
        </w:rPr>
      </w:pPr>
      <w:r w:rsidRPr="00426F37">
        <w:rPr>
          <w:lang w:val="fr-FR"/>
        </w:rPr>
        <w:br w:type="page"/>
      </w:r>
    </w:p>
    <w:p w14:paraId="6E80D5BF" w14:textId="77777777" w:rsidR="00426F37" w:rsidRPr="00426F37" w:rsidRDefault="00426F37" w:rsidP="00426F37">
      <w:pPr>
        <w:jc w:val="center"/>
        <w:rPr>
          <w:lang w:val="fr-FR"/>
        </w:rPr>
      </w:pPr>
    </w:p>
    <w:p w14:paraId="58A0AC18" w14:textId="0DF8067A" w:rsidR="00426F37" w:rsidRPr="00426F37" w:rsidRDefault="00426F37" w:rsidP="00426F37">
      <w:pPr>
        <w:rPr>
          <w:lang w:val="fr-FR"/>
        </w:rPr>
      </w:pPr>
      <w:r w:rsidRPr="00426F37">
        <w:rPr>
          <w:lang w:val="fr-FR"/>
        </w:rPr>
        <w:t xml:space="preserve">Monitoring </w:t>
      </w:r>
      <w:r w:rsidRPr="00426F37">
        <w:rPr>
          <w:lang w:val="fr-FR"/>
        </w:rPr>
        <w:t>(</w:t>
      </w:r>
      <w:proofErr w:type="spellStart"/>
      <w:r w:rsidRPr="00426F37">
        <w:rPr>
          <w:lang w:val="fr-FR"/>
        </w:rPr>
        <w:t>WhiteBox</w:t>
      </w:r>
      <w:proofErr w:type="spellEnd"/>
      <w:r w:rsidRPr="00426F37">
        <w:rPr>
          <w:lang w:val="fr-FR"/>
        </w:rPr>
        <w:t>/</w:t>
      </w:r>
      <w:proofErr w:type="spellStart"/>
      <w:r w:rsidRPr="00426F37">
        <w:rPr>
          <w:lang w:val="fr-FR"/>
        </w:rPr>
        <w:t>BlackBox</w:t>
      </w:r>
      <w:proofErr w:type="spellEnd"/>
      <w:r w:rsidRPr="00426F37">
        <w:rPr>
          <w:lang w:val="fr-FR"/>
        </w:rPr>
        <w:t>)</w:t>
      </w:r>
    </w:p>
    <w:p w14:paraId="26F70AA8" w14:textId="77777777" w:rsidR="00426F37" w:rsidRPr="00426F37" w:rsidRDefault="00426F37" w:rsidP="00426F37">
      <w:pPr>
        <w:rPr>
          <w:lang w:val="fr-FR"/>
        </w:rPr>
      </w:pPr>
    </w:p>
    <w:p w14:paraId="421A6B07" w14:textId="77777777" w:rsidR="00A41938" w:rsidRDefault="00426F37" w:rsidP="00426F37">
      <w:pPr>
        <w:ind w:firstLine="720"/>
        <w:jc w:val="both"/>
        <w:rPr>
          <w:lang w:val="fr-FR"/>
        </w:rPr>
      </w:pPr>
      <w:r>
        <w:rPr>
          <w:lang w:val="fr-FR"/>
        </w:rPr>
        <w:t>Le ‘monitoring’</w:t>
      </w:r>
      <w:r w:rsidRPr="00426F37">
        <w:rPr>
          <w:lang w:val="fr-FR"/>
        </w:rPr>
        <w:t xml:space="preserve"> est essentiel pour garantir la santé, les performances et la disponibilité des systèmes et des applications dans les environnements de production.</w:t>
      </w:r>
      <w:r>
        <w:rPr>
          <w:lang w:val="fr-FR"/>
        </w:rPr>
        <w:t xml:space="preserve"> On identifie deux </w:t>
      </w:r>
      <w:r w:rsidR="00A41938">
        <w:rPr>
          <w:lang w:val="fr-FR"/>
        </w:rPr>
        <w:t>principales méthodes :</w:t>
      </w:r>
    </w:p>
    <w:p w14:paraId="6A51804E" w14:textId="684BE745" w:rsidR="00A41938" w:rsidRPr="00A41938" w:rsidRDefault="00426F37" w:rsidP="00A41938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A41938">
        <w:rPr>
          <w:lang w:val="fr-FR"/>
        </w:rPr>
        <w:t xml:space="preserve">La surveillance </w:t>
      </w:r>
      <w:proofErr w:type="spellStart"/>
      <w:r w:rsidRPr="00A41938">
        <w:rPr>
          <w:lang w:val="fr-FR"/>
        </w:rPr>
        <w:t>WhiteBox</w:t>
      </w:r>
      <w:proofErr w:type="spellEnd"/>
      <w:r w:rsidRPr="00A41938">
        <w:rPr>
          <w:lang w:val="fr-FR"/>
        </w:rPr>
        <w:t xml:space="preserve"> </w:t>
      </w:r>
      <w:r w:rsidR="00A41938">
        <w:rPr>
          <w:lang w:val="fr-FR"/>
        </w:rPr>
        <w:t xml:space="preserve">qui </w:t>
      </w:r>
      <w:r w:rsidRPr="00A41938">
        <w:rPr>
          <w:lang w:val="fr-FR"/>
        </w:rPr>
        <w:t>implique la collecte de métriques internes à partir du système, telles que l'utilisation du CPU, l'utilisation de la mémoire et les temps de réponse</w:t>
      </w:r>
      <w:r w:rsidR="00A41938">
        <w:rPr>
          <w:lang w:val="fr-FR"/>
        </w:rPr>
        <w:t>.</w:t>
      </w:r>
      <w:r w:rsidR="00A41938" w:rsidRPr="00A41938">
        <w:rPr>
          <w:lang w:val="fr-FR"/>
        </w:rPr>
        <w:t xml:space="preserve"> </w:t>
      </w:r>
      <w:proofErr w:type="gramStart"/>
      <w:r w:rsidR="00A41938" w:rsidRPr="00A41938">
        <w:rPr>
          <w:lang w:val="fr-FR"/>
        </w:rPr>
        <w:t>on</w:t>
      </w:r>
      <w:proofErr w:type="gramEnd"/>
      <w:r w:rsidR="00A41938" w:rsidRPr="00A41938">
        <w:rPr>
          <w:lang w:val="fr-FR"/>
        </w:rPr>
        <w:t xml:space="preserve"> identifie essentiellement les erreurs hardware/ scalable (la solution est connue)</w:t>
      </w:r>
      <w:r w:rsidRPr="00A41938">
        <w:rPr>
          <w:lang w:val="fr-FR"/>
        </w:rPr>
        <w:t xml:space="preserve">. </w:t>
      </w:r>
    </w:p>
    <w:p w14:paraId="3EFF7A9D" w14:textId="71A5A1DF" w:rsidR="00A41938" w:rsidRPr="00A41938" w:rsidRDefault="00426F37" w:rsidP="00A41938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A41938">
        <w:rPr>
          <w:lang w:val="fr-FR"/>
        </w:rPr>
        <w:t xml:space="preserve">La surveillance </w:t>
      </w:r>
      <w:proofErr w:type="spellStart"/>
      <w:r w:rsidRPr="00A41938">
        <w:rPr>
          <w:lang w:val="fr-FR"/>
        </w:rPr>
        <w:t>BlackBox</w:t>
      </w:r>
      <w:proofErr w:type="spellEnd"/>
      <w:r w:rsidR="00A41938">
        <w:rPr>
          <w:lang w:val="fr-FR"/>
        </w:rPr>
        <w:t xml:space="preserve"> qui</w:t>
      </w:r>
      <w:r w:rsidRPr="00A41938">
        <w:rPr>
          <w:lang w:val="fr-FR"/>
        </w:rPr>
        <w:t xml:space="preserve"> implique la simulation des interactions utilisateur avec le système et la surveillance du comportement externe, tel que les codes d'état HTTP et les temps de </w:t>
      </w:r>
      <w:r w:rsidR="00A41938" w:rsidRPr="00A41938">
        <w:rPr>
          <w:lang w:val="fr-FR"/>
        </w:rPr>
        <w:t xml:space="preserve">réponse. </w:t>
      </w:r>
      <w:r w:rsidR="00A41938">
        <w:rPr>
          <w:lang w:val="fr-FR"/>
        </w:rPr>
        <w:t>O</w:t>
      </w:r>
      <w:r w:rsidR="00A41938" w:rsidRPr="00A41938">
        <w:rPr>
          <w:lang w:val="fr-FR"/>
        </w:rPr>
        <w:t>n identifie essentiellement les erreurs logicielles via cette méthode</w:t>
      </w:r>
      <w:r w:rsidRPr="00A41938">
        <w:rPr>
          <w:lang w:val="fr-FR"/>
        </w:rPr>
        <w:t xml:space="preserve">. </w:t>
      </w:r>
    </w:p>
    <w:p w14:paraId="5EDE0DA2" w14:textId="53B417BC" w:rsidR="00D0297B" w:rsidRDefault="00426F37" w:rsidP="00A41938">
      <w:pPr>
        <w:jc w:val="both"/>
      </w:pPr>
      <w:r w:rsidRPr="00A41938">
        <w:rPr>
          <w:lang w:val="fr-FR"/>
        </w:rPr>
        <w:t xml:space="preserve">Les configurations de surveillance complètes incluent souvent les deux approches, fournissant des informations à la fois sur les internes du système et les expériences utilisateur. Les principaux outils incluent </w:t>
      </w:r>
      <w:proofErr w:type="spellStart"/>
      <w:r w:rsidRPr="00A41938">
        <w:rPr>
          <w:lang w:val="fr-FR"/>
        </w:rPr>
        <w:t>Grafana</w:t>
      </w:r>
      <w:proofErr w:type="spellEnd"/>
      <w:r w:rsidRPr="00A41938">
        <w:rPr>
          <w:lang w:val="fr-FR"/>
        </w:rPr>
        <w:t xml:space="preserve"> </w:t>
      </w:r>
      <w:r w:rsidRPr="00A41938">
        <w:rPr>
          <w:lang w:val="fr-FR"/>
        </w:rPr>
        <w:t>ou</w:t>
      </w:r>
      <w:r w:rsidRPr="00A41938">
        <w:rPr>
          <w:lang w:val="fr-FR"/>
        </w:rPr>
        <w:t xml:space="preserve"> Nagios</w:t>
      </w:r>
      <w:r>
        <w:t>.</w:t>
      </w:r>
    </w:p>
    <w:sectPr w:rsidR="00D0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2736"/>
    <w:multiLevelType w:val="hybridMultilevel"/>
    <w:tmpl w:val="7F80E490"/>
    <w:lvl w:ilvl="0" w:tplc="F97CBE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37"/>
    <w:rsid w:val="00426F37"/>
    <w:rsid w:val="0047566D"/>
    <w:rsid w:val="00A41938"/>
    <w:rsid w:val="00D0297B"/>
    <w:rsid w:val="00D9772C"/>
    <w:rsid w:val="00F1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1739A5"/>
  <w15:chartTrackingRefBased/>
  <w15:docId w15:val="{3CFC5829-1C43-BD4B-9468-EC9F3B16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26F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26F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26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26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 Gars</dc:creator>
  <cp:keywords/>
  <dc:description/>
  <cp:lastModifiedBy>Maxime Le Gars</cp:lastModifiedBy>
  <cp:revision>1</cp:revision>
  <dcterms:created xsi:type="dcterms:W3CDTF">2024-04-05T12:55:00Z</dcterms:created>
  <dcterms:modified xsi:type="dcterms:W3CDTF">2024-04-05T14:24:00Z</dcterms:modified>
</cp:coreProperties>
</file>