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3304" w:rsidRPr="00693304" w:rsidRDefault="00693304" w:rsidP="00693304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inherit" w:eastAsia="Times New Roman" w:hAnsi="inherit" w:cs="Arial"/>
          <w:b/>
          <w:bCs/>
          <w:color w:val="404041"/>
          <w:sz w:val="24"/>
          <w:szCs w:val="24"/>
          <w:bdr w:val="none" w:sz="0" w:space="0" w:color="auto" w:frame="1"/>
        </w:rPr>
        <w:t>What’s the right algorithm for the task? Our visual primer shows the most common ones in use and the business problems they solve.</w:t>
      </w:r>
    </w:p>
    <w:p w:rsidR="00693304" w:rsidRPr="00693304" w:rsidRDefault="00693304" w:rsidP="00693304">
      <w:pPr>
        <w:shd w:val="clear" w:color="auto" w:fill="FFFFFF"/>
        <w:spacing w:after="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color w:val="404041"/>
          <w:sz w:val="24"/>
          <w:szCs w:val="24"/>
        </w:rPr>
        <w:t>Artificial intelligence (AI) and machine learning are a hot topic in the enterprise, with company leaders having high hopes for how they can be used to improve and automate business processes. In fact, some 54% of organizations are making substantial investments in AI today, and that number jumps to 63% in three years, according to our </w:t>
      </w:r>
      <w:hyperlink r:id="rId6" w:tgtFrame="_blank" w:history="1">
        <w:r w:rsidRPr="00693304">
          <w:rPr>
            <w:rFonts w:ascii="inherit" w:eastAsia="Times New Roman" w:hAnsi="inherit" w:cs="Arial"/>
            <w:i/>
            <w:iCs/>
            <w:color w:val="80766E"/>
            <w:sz w:val="24"/>
            <w:szCs w:val="24"/>
            <w:bdr w:val="none" w:sz="0" w:space="0" w:color="auto" w:frame="1"/>
          </w:rPr>
          <w:t>2017 Global Digital IQ Survey</w:t>
        </w:r>
      </w:hyperlink>
      <w:r w:rsidRPr="00693304">
        <w:rPr>
          <w:rFonts w:ascii="Arial" w:eastAsia="Times New Roman" w:hAnsi="Arial" w:cs="Arial"/>
          <w:color w:val="404041"/>
          <w:sz w:val="24"/>
          <w:szCs w:val="24"/>
        </w:rPr>
        <w:t>.</w:t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color w:val="404041"/>
          <w:sz w:val="24"/>
          <w:szCs w:val="24"/>
        </w:rPr>
        <w:t>So how will AI solve business problems, like helping you figure out why you’re losing customers or assessing the risk of a credit applicant? It depends on a number of factors, especially the data you are working with and the type of training that will be required. Learn about the most common algorithms and their uses cases below.</w:t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bookmarkStart w:id="0" w:name="_GoBack"/>
      <w:bookmarkEnd w:id="0"/>
      <w:r w:rsidRPr="00693304">
        <w:rPr>
          <w:rFonts w:ascii="Arial" w:eastAsia="Times New Roman" w:hAnsi="Arial" w:cs="Arial"/>
          <w:noProof/>
          <w:color w:val="404041"/>
          <w:sz w:val="24"/>
          <w:szCs w:val="24"/>
        </w:rPr>
        <w:drawing>
          <wp:inline distT="0" distB="0" distL="0" distR="0">
            <wp:extent cx="6275104" cy="5539740"/>
            <wp:effectExtent l="0" t="0" r="0" b="3810"/>
            <wp:docPr id="5" name="Picture 5" descr="http://usblogs.pwc.com/emerging-technology/wp-content/uploads/2017/04/machine-learning-method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sblogs.pwc.com/emerging-technology/wp-content/uploads/2017/04/machine-learning-methods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898" cy="554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noProof/>
          <w:color w:val="404041"/>
          <w:sz w:val="24"/>
          <w:szCs w:val="24"/>
        </w:rPr>
        <w:lastRenderedPageBreak/>
        <w:drawing>
          <wp:inline distT="0" distB="0" distL="0" distR="0">
            <wp:extent cx="6547181" cy="5501451"/>
            <wp:effectExtent l="0" t="0" r="6350" b="4445"/>
            <wp:docPr id="4" name="Picture 4" descr="http://usblogs.pwc.com/emerging-technology/wp-content/uploads/2017/04/machine-learning-method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sblogs.pwc.com/emerging-technology/wp-content/uploads/2017/04/machine-learning-methods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786" cy="552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noProof/>
          <w:color w:val="404041"/>
          <w:sz w:val="24"/>
          <w:szCs w:val="24"/>
        </w:rPr>
        <w:lastRenderedPageBreak/>
        <w:drawing>
          <wp:inline distT="0" distB="0" distL="0" distR="0">
            <wp:extent cx="6525070" cy="9181543"/>
            <wp:effectExtent l="0" t="0" r="9525" b="635"/>
            <wp:docPr id="3" name="Picture 3" descr="http://usblogs.pwc.com/emerging-technology/wp-content/uploads/2017/04/machine-learning-method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sblogs.pwc.com/emerging-technology/wp-content/uploads/2017/04/machine-learning-methods-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79" cy="920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noProof/>
          <w:color w:val="404041"/>
          <w:sz w:val="24"/>
          <w:szCs w:val="24"/>
        </w:rPr>
        <w:lastRenderedPageBreak/>
        <w:drawing>
          <wp:inline distT="0" distB="0" distL="0" distR="0">
            <wp:extent cx="6574420" cy="8115300"/>
            <wp:effectExtent l="0" t="0" r="0" b="0"/>
            <wp:docPr id="2" name="Picture 2" descr="http://usblogs.pwc.com/emerging-technology/wp-content/uploads/2017/04/machine-learning-methods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sblogs.pwc.com/emerging-technology/wp-content/uploads/2017/04/machine-learning-methods-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378" cy="812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304" w:rsidRPr="00693304" w:rsidRDefault="00693304" w:rsidP="00693304">
      <w:pPr>
        <w:shd w:val="clear" w:color="auto" w:fill="FFFFFF"/>
        <w:spacing w:after="150" w:line="360" w:lineRule="atLeast"/>
        <w:textAlignment w:val="baseline"/>
        <w:rPr>
          <w:rFonts w:ascii="Arial" w:eastAsia="Times New Roman" w:hAnsi="Arial" w:cs="Arial"/>
          <w:color w:val="404041"/>
          <w:sz w:val="24"/>
          <w:szCs w:val="24"/>
        </w:rPr>
      </w:pPr>
      <w:r w:rsidRPr="00693304">
        <w:rPr>
          <w:rFonts w:ascii="Arial" w:eastAsia="Times New Roman" w:hAnsi="Arial" w:cs="Arial"/>
          <w:noProof/>
          <w:color w:val="404041"/>
          <w:sz w:val="24"/>
          <w:szCs w:val="24"/>
        </w:rPr>
        <w:lastRenderedPageBreak/>
        <w:drawing>
          <wp:inline distT="0" distB="0" distL="0" distR="0">
            <wp:extent cx="6545016" cy="8061960"/>
            <wp:effectExtent l="0" t="0" r="8255" b="0"/>
            <wp:docPr id="1" name="Picture 1" descr="http://usblogs.pwc.com/emerging-technology/wp-content/uploads/2017/04/machine-learning-methods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usblogs.pwc.com/emerging-technology/wp-content/uploads/2017/04/machine-learning-methods-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323" cy="8082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22D" w:rsidRDefault="007A222D"/>
    <w:sectPr w:rsidR="007A222D" w:rsidSect="00693304">
      <w:footerReference w:type="default" r:id="rId12"/>
      <w:pgSz w:w="12240" w:h="15840"/>
      <w:pgMar w:top="720" w:right="63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60BA" w:rsidRDefault="000D60BA" w:rsidP="00437CCD">
      <w:pPr>
        <w:spacing w:after="0" w:line="240" w:lineRule="auto"/>
      </w:pPr>
      <w:r>
        <w:separator/>
      </w:r>
    </w:p>
  </w:endnote>
  <w:endnote w:type="continuationSeparator" w:id="0">
    <w:p w:rsidR="000D60BA" w:rsidRDefault="000D60BA" w:rsidP="0043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83227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37CCD" w:rsidRDefault="00437C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43A1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437CCD" w:rsidRDefault="00437C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60BA" w:rsidRDefault="000D60BA" w:rsidP="00437CCD">
      <w:pPr>
        <w:spacing w:after="0" w:line="240" w:lineRule="auto"/>
      </w:pPr>
      <w:r>
        <w:separator/>
      </w:r>
    </w:p>
  </w:footnote>
  <w:footnote w:type="continuationSeparator" w:id="0">
    <w:p w:rsidR="000D60BA" w:rsidRDefault="000D60BA" w:rsidP="00437C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304"/>
    <w:rsid w:val="000D60BA"/>
    <w:rsid w:val="00437CCD"/>
    <w:rsid w:val="00693304"/>
    <w:rsid w:val="007A222D"/>
    <w:rsid w:val="00A43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E3C9BA-2E08-4BBB-AE74-3534909DB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3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93304"/>
    <w:rPr>
      <w:b/>
      <w:bCs/>
    </w:rPr>
  </w:style>
  <w:style w:type="character" w:customStyle="1" w:styleId="apple-converted-space">
    <w:name w:val="apple-converted-space"/>
    <w:basedOn w:val="DefaultParagraphFont"/>
    <w:rsid w:val="00693304"/>
  </w:style>
  <w:style w:type="character" w:styleId="Hyperlink">
    <w:name w:val="Hyperlink"/>
    <w:basedOn w:val="DefaultParagraphFont"/>
    <w:uiPriority w:val="99"/>
    <w:semiHidden/>
    <w:unhideWhenUsed/>
    <w:rsid w:val="0069330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9330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37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CD"/>
  </w:style>
  <w:style w:type="paragraph" w:styleId="Footer">
    <w:name w:val="footer"/>
    <w:basedOn w:val="Normal"/>
    <w:link w:val="FooterChar"/>
    <w:uiPriority w:val="99"/>
    <w:unhideWhenUsed/>
    <w:rsid w:val="00437C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CD"/>
  </w:style>
  <w:style w:type="paragraph" w:styleId="BalloonText">
    <w:name w:val="Balloon Text"/>
    <w:basedOn w:val="Normal"/>
    <w:link w:val="BalloonTextChar"/>
    <w:uiPriority w:val="99"/>
    <w:semiHidden/>
    <w:unhideWhenUsed/>
    <w:rsid w:val="00437C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C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3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pwc.com/us/en/advisory-services/digital-iq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Samsung Research America</Company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Luong</dc:creator>
  <cp:keywords/>
  <dc:description/>
  <cp:lastModifiedBy>Hiep Luong</cp:lastModifiedBy>
  <cp:revision>2</cp:revision>
  <cp:lastPrinted>2017-06-08T21:49:00Z</cp:lastPrinted>
  <dcterms:created xsi:type="dcterms:W3CDTF">2017-06-08T21:32:00Z</dcterms:created>
  <dcterms:modified xsi:type="dcterms:W3CDTF">2017-06-08T21:53:00Z</dcterms:modified>
</cp:coreProperties>
</file>