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title: "adr_journal"</w:t>
      </w:r>
    </w:p>
    <w:p>
      <w:r>
        <w:rPr>
          <w:b/>
          <w:sz w:val="20"/>
        </w:rPr>
        <w:t>id: "adr_journal"</w:t>
      </w:r>
    </w:p>
    <w:p>
      <w:r>
        <w:rPr>
          <w:b/>
          <w:sz w:val="20"/>
        </w:rPr>
        <w:t>status: "draft — живой журнал, пополняется по мере принятия новых решений"</w:t>
      </w:r>
    </w:p>
    <w:p>
      <w:r>
        <w:rPr>
          <w:b/>
          <w:sz w:val="20"/>
        </w:rPr>
        <w:t>version: "1.0"</w:t>
      </w:r>
    </w:p>
    <w:p>
      <w:r>
        <w:rPr>
          <w:b/>
          <w:sz w:val="20"/>
        </w:rPr>
        <w:t>last_updated: "2026-08-11"</w:t>
      </w:r>
    </w:p>
    <w:p>
      <w:r>
        <w:rPr>
          <w:b/>
          <w:sz w:val="20"/>
        </w:rPr>
        <w:t>audience: ["human", "dev_agent", "rag_assistant"]</w:t>
      </w:r>
    </w:p>
    <w:p>
      <w:r>
        <w:rPr>
          <w:b/>
          <w:sz w:val="20"/>
        </w:rPr>
        <w:t>related: ["01_main", "03_architecture", "04_philosophy", "07_testing_and_performance", "glossary"]</w:t>
      </w:r>
    </w:p>
    <w:p>
      <w:r>
        <w:rPr>
          <w:b/>
          <w:sz w:val="20"/>
        </w:rPr>
        <w:t>supersedes: []</w:t>
      </w:r>
    </w:p>
    <w:p/>
    <w:p>
      <w:pPr>
        <w:pStyle w:val="Heading1"/>
      </w:pPr>
      <w:r>
        <w:t>ADR-журнал: реестр архитектурных решений</w:t>
      </w:r>
    </w:p>
    <w:p>
      <w:pPr>
        <w:pStyle w:val="Heading2"/>
      </w:pPr>
      <w:r>
        <w:t>Краткое описание</w:t>
      </w:r>
    </w:p>
    <w:p>
      <w:r>
        <w:rPr>
          <w:b w:val="0"/>
          <w:i w:val="0"/>
        </w:rPr>
        <w:t>ADR (Architecture Decision Record) — короткая атомарная запись формата «выбрали X вместо Y, потому что Z», фиксирующая одно архитектурное решение отдельно от нарративных статей серии документации. В отличие от статей 01-07, которые описывают контекст и рассуждение развёрнуто, ADR — предельно сжатый и структурированный формат для быстрого поиска: почему в проекте принято именно такое, а не другое техническое решение. Журнал ведётся параллельно со всей серией документации, начиная с первого архитектурного решения, и пополняется каждым новым выбором.</w:t>
      </w:r>
    </w:p>
    <w:p>
      <w:r>
        <w:rPr>
          <w:b w:val="0"/>
          <w:i w:val="0"/>
        </w:rPr>
        <w:t>[DECISION] Формат одной записи фиксирован: Статус, Контекст, Решение, Альтернативы и почему отклонены, Последствия, Источник (статья, откуда извлечено решение). Все ADR нумеруются сквозным трёхзначным номером в порядке появления, без пропусков.</w:t>
      </w:r>
    </w:p>
    <w:p>
      <w:pPr>
        <w:pStyle w:val="Heading2"/>
      </w:pPr>
      <w:r>
        <w:t>Правила ведения журнала</w:t>
      </w:r>
    </w:p>
    <w:p>
      <w:pPr>
        <w:pStyle w:val="ListBullet"/>
      </w:pPr>
      <w:r>
        <w:t>Один ADR — одно решение. Если решение имеет несколько независимых аспектов, оно разбивается на несколько ADR.</w:t>
      </w:r>
    </w:p>
    <w:p>
      <w:pPr>
        <w:pStyle w:val="ListBullet"/>
      </w:pPr>
      <w:r>
        <w:t>Статус ADR: predлагается / принят / отклонён / заменён (с указанием номера заменяющего ADR). Принятое решение не редактируется задним числом — при пересмотре создаётся новый ADR со статусом «заменяет N».</w:t>
      </w:r>
    </w:p>
    <w:p>
      <w:pPr>
        <w:pStyle w:val="ListBullet"/>
      </w:pPr>
      <w:r>
        <w:t>ADR создаётся сразу после того, как решение зафиксировано тегом [DECISION] в любой статье серии, а не отдельно от неё.</w:t>
      </w:r>
    </w:p>
    <w:p>
      <w:pPr>
        <w:pStyle w:val="ListBullet"/>
      </w:pPr>
      <w:r>
        <w:t>Нумерация ADR сквозная и не привязана к номеру статьи серии, из которой решение извлечено.</w:t>
      </w:r>
    </w:p>
    <w:p>
      <w:pPr>
        <w:pStyle w:val="Heading2"/>
      </w:pPr>
      <w:r>
        <w:t>Реестр ADR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Название</w:t>
            </w:r>
          </w:p>
        </w:tc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Статус</w:t>
            </w:r>
          </w:p>
        </w:tc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Источник</w:t>
            </w:r>
          </w:p>
        </w:tc>
      </w:tr>
      <w:tr>
        <w:tc>
          <w:tcPr>
            <w:tcW w:type="dxa" w:w="2160"/>
          </w:tcPr>
          <w:p>
            <w:r>
              <w:t>001</w:t>
            </w:r>
          </w:p>
        </w:tc>
        <w:tc>
          <w:tcPr>
            <w:tcW w:type="dxa" w:w="2160"/>
          </w:tcPr>
          <w:p>
            <w:r>
              <w:t>python_everywhere</w:t>
            </w:r>
          </w:p>
        </w:tc>
        <w:tc>
          <w:tcPr>
            <w:tcW w:type="dxa" w:w="2160"/>
          </w:tcPr>
          <w:p>
            <w:r>
              <w:t>предлагается</w:t>
            </w:r>
          </w:p>
        </w:tc>
        <w:tc>
          <w:tcPr>
            <w:tcW w:type="dxa" w:w="2160"/>
          </w:tcPr>
          <w:p>
            <w:r>
              <w:t>01_main</w:t>
            </w:r>
          </w:p>
        </w:tc>
      </w:tr>
      <w:tr>
        <w:tc>
          <w:tcPr>
            <w:tcW w:type="dxa" w:w="2160"/>
          </w:tcPr>
          <w:p>
            <w:r>
              <w:t>002</w:t>
            </w:r>
          </w:p>
        </w:tc>
        <w:tc>
          <w:tcPr>
            <w:tcW w:type="dxa" w:w="2160"/>
          </w:tcPr>
          <w:p>
            <w:r>
              <w:t>llm_agent_development</w:t>
            </w:r>
          </w:p>
        </w:tc>
        <w:tc>
          <w:tcPr>
            <w:tcW w:type="dxa" w:w="2160"/>
          </w:tcPr>
          <w:p>
            <w:r>
              <w:t>предлагается</w:t>
            </w:r>
          </w:p>
        </w:tc>
        <w:tc>
          <w:tcPr>
            <w:tcW w:type="dxa" w:w="2160"/>
          </w:tcPr>
          <w:p>
            <w:r>
              <w:t>01_main</w:t>
            </w:r>
          </w:p>
        </w:tc>
      </w:tr>
      <w:tr>
        <w:tc>
          <w:tcPr>
            <w:tcW w:type="dxa" w:w="2160"/>
          </w:tcPr>
          <w:p>
            <w:r>
              <w:t>003</w:t>
            </w:r>
          </w:p>
        </w:tc>
        <w:tc>
          <w:tcPr>
            <w:tcW w:type="dxa" w:w="2160"/>
          </w:tcPr>
          <w:p>
            <w:r>
              <w:t>storage_architecture</w:t>
            </w:r>
          </w:p>
        </w:tc>
        <w:tc>
          <w:tcPr>
            <w:tcW w:type="dxa" w:w="2160"/>
          </w:tcPr>
          <w:p>
            <w:r>
              <w:t>принят</w:t>
            </w:r>
          </w:p>
        </w:tc>
        <w:tc>
          <w:tcPr>
            <w:tcW w:type="dxa" w:w="2160"/>
          </w:tcPr>
          <w:p>
            <w:r>
              <w:t>BACKEND, 03_architecture</w:t>
            </w:r>
          </w:p>
        </w:tc>
      </w:tr>
      <w:tr>
        <w:tc>
          <w:tcPr>
            <w:tcW w:type="dxa" w:w="2160"/>
          </w:tcPr>
          <w:p>
            <w:r>
              <w:t>004</w:t>
            </w:r>
          </w:p>
        </w:tc>
        <w:tc>
          <w:tcPr>
            <w:tcW w:type="dxa" w:w="2160"/>
          </w:tcPr>
          <w:p>
            <w:r>
              <w:t>node_execution_model</w:t>
            </w:r>
          </w:p>
        </w:tc>
        <w:tc>
          <w:tcPr>
            <w:tcW w:type="dxa" w:w="2160"/>
          </w:tcPr>
          <w:p>
            <w:r>
              <w:t>принят</w:t>
            </w:r>
          </w:p>
        </w:tc>
        <w:tc>
          <w:tcPr>
            <w:tcW w:type="dxa" w:w="2160"/>
          </w:tcPr>
          <w:p>
            <w:r>
              <w:t>03_architecture</w:t>
            </w:r>
          </w:p>
        </w:tc>
      </w:tr>
      <w:tr>
        <w:tc>
          <w:tcPr>
            <w:tcW w:type="dxa" w:w="2160"/>
          </w:tcPr>
          <w:p>
            <w:r>
              <w:t>005</w:t>
            </w:r>
          </w:p>
        </w:tc>
        <w:tc>
          <w:tcPr>
            <w:tcW w:type="dxa" w:w="2160"/>
          </w:tcPr>
          <w:p>
            <w:r>
              <w:t>gpu_vram_dispatching</w:t>
            </w:r>
          </w:p>
        </w:tc>
        <w:tc>
          <w:tcPr>
            <w:tcW w:type="dxa" w:w="2160"/>
          </w:tcPr>
          <w:p>
            <w:r>
              <w:t>принят</w:t>
            </w:r>
          </w:p>
        </w:tc>
        <w:tc>
          <w:tcPr>
            <w:tcW w:type="dxa" w:w="2160"/>
          </w:tcPr>
          <w:p>
            <w:r>
              <w:t>03_architecture</w:t>
            </w:r>
          </w:p>
        </w:tc>
      </w:tr>
      <w:tr>
        <w:tc>
          <w:tcPr>
            <w:tcW w:type="dxa" w:w="2160"/>
          </w:tcPr>
          <w:p>
            <w:r>
              <w:t>006</w:t>
            </w:r>
          </w:p>
        </w:tc>
        <w:tc>
          <w:tcPr>
            <w:tcW w:type="dxa" w:w="2160"/>
          </w:tcPr>
          <w:p>
            <w:r>
              <w:t>node_schema_versioning</w:t>
            </w:r>
          </w:p>
        </w:tc>
        <w:tc>
          <w:tcPr>
            <w:tcW w:type="dxa" w:w="2160"/>
          </w:tcPr>
          <w:p>
            <w:r>
              <w:t>принят</w:t>
            </w:r>
          </w:p>
        </w:tc>
        <w:tc>
          <w:tcPr>
            <w:tcW w:type="dxa" w:w="2160"/>
          </w:tcPr>
          <w:p>
            <w:r>
              <w:t>03_architecture</w:t>
            </w:r>
          </w:p>
        </w:tc>
      </w:tr>
      <w:tr>
        <w:tc>
          <w:tcPr>
            <w:tcW w:type="dxa" w:w="2160"/>
          </w:tcPr>
          <w:p>
            <w:r>
              <w:t>007</w:t>
            </w:r>
          </w:p>
        </w:tc>
        <w:tc>
          <w:tcPr>
            <w:tcW w:type="dxa" w:w="2160"/>
          </w:tcPr>
          <w:p>
            <w:r>
              <w:t>processing_nodes_isolation</w:t>
            </w:r>
          </w:p>
        </w:tc>
        <w:tc>
          <w:tcPr>
            <w:tcW w:type="dxa" w:w="2160"/>
          </w:tcPr>
          <w:p>
            <w:r>
              <w:t>предлагается</w:t>
            </w:r>
          </w:p>
        </w:tc>
        <w:tc>
          <w:tcPr>
            <w:tcW w:type="dxa" w:w="2160"/>
          </w:tcPr>
          <w:p>
            <w:r>
              <w:t>03_architecture</w:t>
            </w:r>
          </w:p>
        </w:tc>
      </w:tr>
      <w:tr>
        <w:tc>
          <w:tcPr>
            <w:tcW w:type="dxa" w:w="2160"/>
          </w:tcPr>
          <w:p>
            <w:r>
              <w:t>008</w:t>
            </w:r>
          </w:p>
        </w:tc>
        <w:tc>
          <w:tcPr>
            <w:tcW w:type="dxa" w:w="2160"/>
          </w:tcPr>
          <w:p>
            <w:r>
              <w:t>cicd_pipeline_structure</w:t>
            </w:r>
          </w:p>
        </w:tc>
        <w:tc>
          <w:tcPr>
            <w:tcW w:type="dxa" w:w="2160"/>
          </w:tcPr>
          <w:p>
            <w:r>
              <w:t>принят</w:t>
            </w:r>
          </w:p>
        </w:tc>
        <w:tc>
          <w:tcPr>
            <w:tcW w:type="dxa" w:w="2160"/>
          </w:tcPr>
          <w:p>
            <w:r>
              <w:t>07_testing_and_performance</w:t>
            </w:r>
          </w:p>
        </w:tc>
      </w:tr>
    </w:tbl>
    <w:p>
      <w:pPr>
        <w:pStyle w:val="Heading1"/>
      </w:pPr>
      <w:r>
        <w:t>ADR-001: python_everywhere</w:t>
      </w:r>
    </w:p>
    <w:p>
      <w:r>
        <w:rPr>
          <w:b/>
          <w:i w:val="0"/>
        </w:rPr>
        <w:t>Статус: предлагается</w:t>
      </w:r>
    </w:p>
    <w:p>
      <w:r>
        <w:rPr>
          <w:b/>
          <w:i w:val="0"/>
        </w:rPr>
        <w:t>Контекст:</w:t>
      </w:r>
    </w:p>
    <w:p>
      <w:r>
        <w:rPr>
          <w:b w:val="0"/>
          <w:i w:val="0"/>
        </w:rPr>
        <w:t>Проект разрабатывается практически без бюджета на команду разработчиков, силами LLM-агентов под управлением одного человека. Нужен язык, который агенты хорошо знают, с низким порогом входа для чтения кода, и с богатой экосистемой библиотек для научных вычислений.</w:t>
      </w:r>
    </w:p>
    <w:p>
      <w:r>
        <w:rPr>
          <w:b/>
          <w:i w:val="0"/>
        </w:rPr>
        <w:t>Решение:</w:t>
      </w:r>
    </w:p>
    <w:p>
      <w:r>
        <w:rPr>
          <w:b w:val="0"/>
          <w:i w:val="0"/>
        </w:rPr>
        <w:t>Разработка ведётся на языке Python версии 3.13, включая вычислительное ядро, интерфейс и серверную часть — единый язык для всего проекта.</w:t>
      </w:r>
    </w:p>
    <w:p>
      <w:r>
        <w:rPr>
          <w:b/>
          <w:i w:val="0"/>
        </w:rPr>
        <w:t>Альтернативы и почему отклонены:</w:t>
      </w:r>
    </w:p>
    <w:p>
      <w:pPr>
        <w:pStyle w:val="ListBullet"/>
      </w:pPr>
      <w:r>
        <w:t>C++/Fortran для вычислительного ядра — выше производительность, но выше порог входа для агентов и человека, дороже поддержка.</w:t>
      </w:r>
    </w:p>
    <w:p>
      <w:pPr>
        <w:pStyle w:val="ListBullet"/>
      </w:pPr>
      <w:r>
        <w:t>Rust для критичных по скорости модулей — незрелая экосистема для сейсмических вычислений, выше порог входа.</w:t>
      </w:r>
    </w:p>
    <w:p>
      <w:r>
        <w:rPr>
          <w:b/>
          <w:i w:val="0"/>
        </w:rPr>
        <w:t>Последствия:</w:t>
      </w:r>
    </w:p>
    <w:p>
      <w:r>
        <w:rPr>
          <w:b w:val="0"/>
          <w:i w:val="0"/>
        </w:rPr>
        <w:t>Ожидается более низкая производительность расчётов по сравнению с референсными отраслевыми ПО на C/C++/Fortran (см. Риск 1, 01_main). Компенсируется через CuPy/GPU-ускорение и оптимизации из 07_testing_and_performance.</w:t>
      </w:r>
    </w:p>
    <w:p>
      <w:r>
        <w:rPr>
          <w:b w:val="0"/>
          <w:i/>
        </w:rPr>
        <w:t>Источник: 01_main, раздел «Фундаментальные решения разработки»</w:t>
      </w:r>
    </w:p>
    <w:p>
      <w:pPr>
        <w:pStyle w:val="Heading1"/>
      </w:pPr>
      <w:r>
        <w:t>ADR-002: llm_agent_development</w:t>
      </w:r>
    </w:p>
    <w:p>
      <w:r>
        <w:rPr>
          <w:b/>
          <w:i w:val="0"/>
        </w:rPr>
        <w:t>Статус: предлагается</w:t>
      </w:r>
    </w:p>
    <w:p>
      <w:r>
        <w:rPr>
          <w:b/>
          <w:i w:val="0"/>
        </w:rPr>
        <w:t>Контекст:</w:t>
      </w:r>
    </w:p>
    <w:p>
      <w:r>
        <w:rPr>
          <w:b w:val="0"/>
          <w:i w:val="0"/>
        </w:rPr>
        <w:t>Традиционная команда разработчиков недоступна по бюджету. Нужна модель разработки, определяющая границы ответственности между человеком и ИИ-агентами.</w:t>
      </w:r>
    </w:p>
    <w:p>
      <w:r>
        <w:rPr>
          <w:b/>
          <w:i w:val="0"/>
        </w:rPr>
        <w:t>Решение:</w:t>
      </w:r>
    </w:p>
    <w:p>
      <w:r>
        <w:rPr>
          <w:b w:val="0"/>
          <w:i w:val="0"/>
        </w:rPr>
        <w:t>Модель разработки построена на связке «человек-разработчик + LLM-агенты», где человек выполняет функции архитектора и оркестратора, а агенты — основного исполнителя кода. Полная методология зафиксирована в 04_philosophy: агент отвечает за факты, человек — за решения.</w:t>
      </w:r>
    </w:p>
    <w:p>
      <w:r>
        <w:rPr>
          <w:b/>
          <w:i w:val="0"/>
        </w:rPr>
        <w:t>Альтернативы и почему отклонены:</w:t>
      </w:r>
    </w:p>
    <w:p>
      <w:pPr>
        <w:pStyle w:val="ListBullet"/>
      </w:pPr>
      <w:r>
        <w:t>Полная автономность агентов без ревью человека — отклонено: агент домысливает решения при размытых требованиях (04_philosophy, раздел 1).</w:t>
      </w:r>
    </w:p>
    <w:p>
      <w:pPr>
        <w:pStyle w:val="ListBullet"/>
      </w:pPr>
      <w:r>
        <w:t>Традиционная найм-модель команды — отклонено по бюджетным ограничениям (01_main).</w:t>
      </w:r>
    </w:p>
    <w:p>
      <w:r>
        <w:rPr>
          <w:b/>
          <w:i w:val="0"/>
        </w:rPr>
        <w:t>Последствия:</w:t>
      </w:r>
    </w:p>
    <w:p>
      <w:r>
        <w:rPr>
          <w:b w:val="0"/>
          <w:i w:val="0"/>
        </w:rPr>
        <w:t>Требует формализованного пайплайна (гриллинг, спецификация, тикеты — 04_philosophy), иначе качество результата непредсказуемо. Повышенная нагрузка на человека как единственную точку принятия решений.</w:t>
      </w:r>
    </w:p>
    <w:p>
      <w:r>
        <w:rPr>
          <w:b w:val="0"/>
          <w:i/>
        </w:rPr>
        <w:t>Источник: 01_main, раздел «Фундаментальные решения разработки»; 04_philosophy</w:t>
      </w:r>
    </w:p>
    <w:p>
      <w:pPr>
        <w:pStyle w:val="Heading1"/>
      </w:pPr>
      <w:r>
        <w:t>ADR-003: storage_architecture</w:t>
      </w:r>
    </w:p>
    <w:p>
      <w:r>
        <w:rPr>
          <w:b/>
          <w:i w:val="0"/>
        </w:rPr>
        <w:t>Статус: принят</w:t>
      </w:r>
    </w:p>
    <w:p>
      <w:r>
        <w:rPr>
          <w:b/>
          <w:i w:val="0"/>
        </w:rPr>
        <w:t>Контекст:</w:t>
      </w:r>
    </w:p>
    <w:p>
      <w:r>
        <w:rPr>
          <w:b w:val="0"/>
          <w:i w:val="0"/>
        </w:rPr>
        <w:t>Проект работает с тяжёлыми сейсмическими массивами (сотни ГБ — единицы ТБ), для которых нужна модель хранения, разделяющая активные и архивные данные, и обеспечивающая быстрый выборочный доступ без загрузки всего массива в память.</w:t>
      </w:r>
    </w:p>
    <w:p>
      <w:r>
        <w:rPr>
          <w:b/>
          <w:i w:val="0"/>
        </w:rPr>
        <w:t>Решение:</w:t>
      </w:r>
    </w:p>
    <w:p>
      <w:r>
        <w:rPr>
          <w:b w:val="0"/>
          <w:i w:val="0"/>
        </w:rPr>
        <w:t>Двухслойная модель хранения: warm-слой — локальный Zarr-store с директориями raw/processed/cache/exports и метаданными в PostgreSQL; cold-слой — Zstd-сжатый контейнер для архивных данных. В облачном варианте — классы хранения Standard/Cold/Ice у единого провайдера с вычислениями (см. ADR-005 и 07_infrastructure_costs, раздел 2.6-2.7) для исключения межпровайдерного трафика.</w:t>
      </w:r>
    </w:p>
    <w:p>
      <w:r>
        <w:rPr>
          <w:b/>
          <w:i w:val="0"/>
        </w:rPr>
        <w:t>Альтернативы и почему отклонены:</w:t>
      </w:r>
    </w:p>
    <w:p>
      <w:pPr>
        <w:pStyle w:val="ListBullet"/>
      </w:pPr>
      <w:r>
        <w:t>Хранение всех данных в единой БД (например, PostgreSQL BLOB) — отклонено: непригодно для массивов такого объёма, теряется эффективность chunk-based доступа.</w:t>
      </w:r>
    </w:p>
    <w:p>
      <w:pPr>
        <w:pStyle w:val="ListBullet"/>
      </w:pPr>
      <w:r>
        <w:t>Вычисления и хранение у разных облачных провайдеров ради цены — отклонено после анализа трафика: межпровайдерный egress-трафик и латентность делают экономию цены иллюзорной при итеративном чтении (07_infrastructure_costs, раздел 2.6).</w:t>
      </w:r>
    </w:p>
    <w:p>
      <w:r>
        <w:rPr>
          <w:b/>
          <w:i w:val="0"/>
        </w:rPr>
        <w:t>Последствия:</w:t>
      </w:r>
    </w:p>
    <w:p>
      <w:r>
        <w:rPr>
          <w:b w:val="0"/>
          <w:i w:val="0"/>
        </w:rPr>
        <w:t>Метаданные и амплитуды физически разделены — требует синхронизации при удалении/перемещении файлов. Cold-хранение подразумевает более высокую задержку доступа при необходимости вернуться к архивным данным.</w:t>
      </w:r>
    </w:p>
    <w:p>
      <w:r>
        <w:rPr>
          <w:b w:val="0"/>
          <w:i/>
        </w:rPr>
        <w:t>Источник: BACKEND.docx; 07_infrastructure_costs, разделы 2.6-2.7</w:t>
      </w:r>
    </w:p>
    <w:p>
      <w:pPr>
        <w:pStyle w:val="Heading1"/>
      </w:pPr>
      <w:r>
        <w:t>ADR-004: node_execution_model</w:t>
      </w:r>
    </w:p>
    <w:p>
      <w:r>
        <w:rPr>
          <w:b/>
          <w:i w:val="0"/>
        </w:rPr>
        <w:t>Статус: принят</w:t>
      </w:r>
    </w:p>
    <w:p>
      <w:r>
        <w:rPr>
          <w:b/>
          <w:i w:val="0"/>
        </w:rPr>
        <w:t>Контекст:</w:t>
      </w:r>
    </w:p>
    <w:p>
      <w:r>
        <w:rPr>
          <w:b w:val="0"/>
          <w:i w:val="0"/>
        </w:rPr>
        <w:t>Node-based архитектура (по образцу ComfyUI) требует чёткого разделения представлений графа обработки для интерфейса и для выполнения, иначе тяжёлые данные попадают в объекты, предназначенные для UI, и наоборот, что усложняет поддержку и производительность.</w:t>
      </w:r>
    </w:p>
    <w:p>
      <w:r>
        <w:rPr>
          <w:b/>
          <w:i w:val="0"/>
        </w:rPr>
        <w:t>Решение:</w:t>
      </w:r>
    </w:p>
    <w:p>
      <w:r>
        <w:rPr>
          <w:b w:val="0"/>
          <w:i w:val="0"/>
        </w:rPr>
        <w:t>Введены четыре раздельных представления одного процесса: WorkflowDocument (для редактора), ComputeGraph (нормализованный граф для исполнения), NodeSchema (контракт узла: типы входов/выходов, версия), JobStatusView (агрегированное состояние для интерфейса, производное, а не отдельное хранилище). Выполнение — через topological executor с поддержкой ленивых входов и частичного выполнения графа по целевому узлу.</w:t>
      </w:r>
    </w:p>
    <w:p>
      <w:r>
        <w:rPr>
          <w:b/>
          <w:i w:val="0"/>
        </w:rPr>
        <w:t>Альтернативы и почему отклонены:</w:t>
      </w:r>
    </w:p>
    <w:p>
      <w:pPr>
        <w:pStyle w:val="ListBullet"/>
      </w:pPr>
      <w:r>
        <w:t>Единая универсальная структура графа для UI и исполнения одновременно — отклонено по образцу разбора архитектуры ComfyUI: смешение представлений — источник основной сложности при чтении и поддержке подобных систем (03_architecture, раздел 3).</w:t>
      </w:r>
    </w:p>
    <w:p>
      <w:r>
        <w:rPr>
          <w:b/>
          <w:i w:val="0"/>
        </w:rPr>
        <w:t>Последствия:</w:t>
      </w:r>
    </w:p>
    <w:p>
      <w:r>
        <w:rPr>
          <w:b w:val="0"/>
          <w:i w:val="0"/>
        </w:rPr>
        <w:t>Требует поддержки согласованности между четырьмя представлениями при изменении схемы узла (см. ADR-006). Даёт возможность headless-исполнения ComputeGraph без зависимости от интерфейса — важно для облачного/серверного режима работы.</w:t>
      </w:r>
    </w:p>
    <w:p>
      <w:r>
        <w:rPr>
          <w:b w:val="0"/>
          <w:i/>
        </w:rPr>
        <w:t>Источник: 03_architecture, разделы 3-4</w:t>
      </w:r>
    </w:p>
    <w:p>
      <w:pPr>
        <w:pStyle w:val="Heading1"/>
      </w:pPr>
      <w:r>
        <w:t>ADR-005: gpu_vram_dispatching</w:t>
      </w:r>
    </w:p>
    <w:p>
      <w:r>
        <w:rPr>
          <w:b/>
          <w:i w:val="0"/>
        </w:rPr>
        <w:t>Статус: принят</w:t>
      </w:r>
    </w:p>
    <w:p>
      <w:r>
        <w:rPr>
          <w:b/>
          <w:i w:val="0"/>
        </w:rPr>
        <w:t>Контекст:</w:t>
      </w:r>
    </w:p>
    <w:p>
      <w:r>
        <w:rPr>
          <w:b w:val="0"/>
          <w:i w:val="0"/>
        </w:rPr>
        <w:t>FDTD-моделирование и обучение нейросетей (например, U-Net для деноизинга) на сейсмических кубах данных могут не помещаться в VRAM целиком, особенно на минимальной сборке (см. 07_infrastructure_costs). Нужен механизм, определяющий, обрабатывать ли данные целиком, чанками или делегировать расчёт на CPU.</w:t>
      </w:r>
    </w:p>
    <w:p>
      <w:r>
        <w:rPr>
          <w:b/>
          <w:i w:val="0"/>
        </w:rPr>
        <w:t>Решение:</w:t>
      </w:r>
    </w:p>
    <w:p>
      <w:r>
        <w:rPr>
          <w:b w:val="0"/>
          <w:i w:val="0"/>
        </w:rPr>
        <w:t>Реализуется аналог VRAMState из ComfyUI и chunked-загрузка данных: вычислительный узел объявляет требуемый объём VRAM, диспетчер принимает решение (целиком / чанками / CPU) на основе доступной памяти устройства и режима нагрузки (Light/Normal/Hard из BACKEND.docx).</w:t>
      </w:r>
    </w:p>
    <w:p>
      <w:r>
        <w:rPr>
          <w:b/>
          <w:i w:val="0"/>
        </w:rPr>
        <w:t>Альтернативы и почему отклонены:</w:t>
      </w:r>
    </w:p>
    <w:p>
      <w:pPr>
        <w:pStyle w:val="ListBullet"/>
      </w:pPr>
      <w:r>
        <w:t>Фиксированный chunk size для всех конфигураций железа — отклонено: не учитывает разницу между минимальной сборкой (RTX 4090, 24 ГБ VRAM) и оптимальной (A100 80GB) — приводит либо к неэффективному использованию ресурсов, либо к OOM.</w:t>
      </w:r>
    </w:p>
    <w:p>
      <w:pPr>
        <w:pStyle w:val="ListBullet"/>
      </w:pPr>
      <w:r>
        <w:t>Обязательное требование к пользователю указывать объём VRAM вручную — отклонено, противоречит принципу adaptive автоматического ограничения нагрузки уже принятому в BACKEND.docx.</w:t>
      </w:r>
    </w:p>
    <w:p>
      <w:r>
        <w:rPr>
          <w:b/>
          <w:i w:val="0"/>
        </w:rPr>
        <w:t>Последствия:</w:t>
      </w:r>
    </w:p>
    <w:p>
      <w:r>
        <w:rPr>
          <w:b w:val="0"/>
          <w:i w:val="0"/>
        </w:rPr>
        <w:t>Усложняет реализацию узла обработки — каждый вычислительный узел должен объявлять требования к VRAM в NodeSchema (см. ADR-004). Даёт единообразную адаптацию под минимальную и оптимальную сборку без отдельных веток кода под каждую конфигурацию.</w:t>
      </w:r>
    </w:p>
    <w:p>
      <w:r>
        <w:rPr>
          <w:b w:val="0"/>
          <w:i/>
        </w:rPr>
        <w:t>Источник: 03_architecture, раздел 7; BACKEND.docx (режимы Light/Normal/Hard)</w:t>
      </w:r>
    </w:p>
    <w:p>
      <w:pPr>
        <w:pStyle w:val="Heading1"/>
      </w:pPr>
      <w:r>
        <w:t>ADR-006: node_schema_versioning</w:t>
      </w:r>
    </w:p>
    <w:p>
      <w:r>
        <w:rPr>
          <w:b/>
          <w:i w:val="0"/>
        </w:rPr>
        <w:t>Статус: принят</w:t>
      </w:r>
    </w:p>
    <w:p>
      <w:r>
        <w:rPr>
          <w:b/>
          <w:i w:val="0"/>
        </w:rPr>
        <w:t>Контекст:</w:t>
      </w:r>
    </w:p>
    <w:p>
      <w:r>
        <w:rPr>
          <w:b w:val="0"/>
          <w:i w:val="0"/>
        </w:rPr>
        <w:t>Алгоритмы обработки сейсмики будут дорабатываться после релиза. Изменение контракта узла (добавление параметра, смена типа входа) может сломать уже сохранённые пользователями workflow, если не предусмотрено версионирование.</w:t>
      </w:r>
    </w:p>
    <w:p>
      <w:r>
        <w:rPr>
          <w:b/>
          <w:i w:val="0"/>
        </w:rPr>
        <w:t>Решение:</w:t>
      </w:r>
    </w:p>
    <w:p>
      <w:r>
        <w:rPr>
          <w:b w:val="0"/>
          <w:i w:val="0"/>
        </w:rPr>
        <w:t>Каждая NodeSchema имеет версию. При загрузке сохранённого workflow с устаревшей версией схемы узла NodeVersionManager (см. application shell, 03_architecture раздел 8) применяет миграцию или предупреждает пользователя о несовместимости, вместо тихого падения или неявного изменения поведения.</w:t>
      </w:r>
    </w:p>
    <w:p>
      <w:r>
        <w:rPr>
          <w:b/>
          <w:i w:val="0"/>
        </w:rPr>
        <w:t>Альтернативы и почему отклонены:</w:t>
      </w:r>
    </w:p>
    <w:p>
      <w:pPr>
        <w:pStyle w:val="ListBullet"/>
      </w:pPr>
      <w:r>
        <w:t>Отсутствие версионирования, обратная совместимость "как получится" — отклонено по образцу выявленного технического долга ComfyUI (сосуществование V1/V3 API как следствие отсутствия версионирования с самого начала, см. 03_architecture, раздел 12, риск 1).</w:t>
      </w:r>
    </w:p>
    <w:p>
      <w:pPr>
        <w:pStyle w:val="ListBullet"/>
      </w:pPr>
      <w:r>
        <w:t>Жёсткая политика "ломающие изменения запрещены навсегда" — отклонено, чрезмерно ограничивает развитие алгоритмов обработки на раннем этапе проекта.</w:t>
      </w:r>
    </w:p>
    <w:p>
      <w:r>
        <w:rPr>
          <w:b/>
          <w:i w:val="0"/>
        </w:rPr>
        <w:t>Последствия:</w:t>
      </w:r>
    </w:p>
    <w:p>
      <w:r>
        <w:rPr>
          <w:b w:val="0"/>
          <w:i w:val="0"/>
        </w:rPr>
        <w:t>Требует отдельного процесса миграции сохранённых workflow (открытый вопрос, вынесен в TODO 03_architecture). Увеличивает сложность NodeSchema на старте, но снижает стоимость последующих изменений.</w:t>
      </w:r>
    </w:p>
    <w:p>
      <w:r>
        <w:rPr>
          <w:b w:val="0"/>
          <w:i/>
        </w:rPr>
        <w:t>Источник: 03_architecture, разделы 6, 8, 12</w:t>
      </w:r>
    </w:p>
    <w:p>
      <w:pPr>
        <w:pStyle w:val="Heading1"/>
      </w:pPr>
      <w:r>
        <w:t>ADR-007: processing_nodes_isolation</w:t>
      </w:r>
    </w:p>
    <w:p>
      <w:r>
        <w:rPr>
          <w:b/>
          <w:i w:val="0"/>
        </w:rPr>
        <w:t>Статус: предлагается</w:t>
      </w:r>
    </w:p>
    <w:p>
      <w:r>
        <w:rPr>
          <w:b/>
          <w:i w:val="0"/>
        </w:rPr>
        <w:t>Контекст:</w:t>
      </w:r>
    </w:p>
    <w:p>
      <w:r>
        <w:rPr>
          <w:b w:val="0"/>
          <w:i w:val="0"/>
        </w:rPr>
        <w:t>Проект поддерживает расширяемость через сторонние модули обработки (processing_nodes/, по аналогии с custom_nodes/ ComfyUI). Сторонние модули выполняют произвольный код, что создаёт риск для целостности runtime и, в облачном режиме, для безопасности удалённого сервера.</w:t>
      </w:r>
    </w:p>
    <w:p>
      <w:r>
        <w:rPr>
          <w:b/>
          <w:i w:val="0"/>
        </w:rPr>
        <w:t>Решение:</w:t>
      </w:r>
    </w:p>
    <w:p>
      <w:r>
        <w:rPr>
          <w:b w:val="0"/>
          <w:i w:val="0"/>
        </w:rPr>
        <w:t>[ASSUMPTION] Требуется решение по уровню изоляции сторонних модулей обработки: как минимум — защитные механизмы уровня runtime (аналог hook breaker и origin-only middleware из ComfyUI); как максимум — выполнение в отдельном процессе или контейнере. Окончательное решение не принято — статус "предлагается" до дополнительной проработки.</w:t>
      </w:r>
    </w:p>
    <w:p>
      <w:r>
        <w:rPr>
          <w:b/>
          <w:i w:val="0"/>
        </w:rPr>
        <w:t>Альтернативы и почему отклонены:</w:t>
      </w:r>
    </w:p>
    <w:p>
      <w:pPr>
        <w:pStyle w:val="ListBullet"/>
      </w:pPr>
      <w:r>
        <w:t>Полное доверие сторонним модулям без изоляции — отклонено из-за рисков безопасности облачного режима работы.</w:t>
      </w:r>
    </w:p>
    <w:p>
      <w:pPr>
        <w:pStyle w:val="ListBullet"/>
      </w:pPr>
      <w:r>
        <w:t>Полная контейнеризация каждого модуля — не отклонено, но отложено: может быть избыточным усложнением на раннем этапе, пока сообщество модулей не сформировано.</w:t>
      </w:r>
    </w:p>
    <w:p>
      <w:r>
        <w:rPr>
          <w:b/>
          <w:i w:val="0"/>
        </w:rPr>
        <w:t>Последствия:</w:t>
      </w:r>
    </w:p>
    <w:p>
      <w:r>
        <w:rPr>
          <w:b w:val="0"/>
          <w:i w:val="0"/>
        </w:rPr>
        <w:t>Открытый вопрос до принятия окончательного решения. Влияет на архитектуру application shell и на процесс подключения сторонних модулей сообществом (см. 01_main, раздел «Популяризация»).</w:t>
      </w:r>
    </w:p>
    <w:p>
      <w:r>
        <w:rPr>
          <w:b w:val="0"/>
          <w:i/>
        </w:rPr>
        <w:t>Источник: 03_architecture, раздел 6, TODO</w:t>
      </w:r>
    </w:p>
    <w:p>
      <w:pPr>
        <w:pStyle w:val="Heading1"/>
      </w:pPr>
      <w:r>
        <w:t>ADR-008: cicd_pipeline_structure</w:t>
      </w:r>
    </w:p>
    <w:p>
      <w:r>
        <w:rPr>
          <w:b/>
          <w:i w:val="0"/>
        </w:rPr>
        <w:t>Статус: принят</w:t>
      </w:r>
    </w:p>
    <w:p>
      <w:r>
        <w:rPr>
          <w:b/>
          <w:i w:val="0"/>
        </w:rPr>
        <w:t>Контекст:</w:t>
      </w:r>
    </w:p>
    <w:p>
      <w:r>
        <w:rPr>
          <w:b w:val="0"/>
          <w:i w:val="0"/>
        </w:rPr>
        <w:t>Проект нуждается в автоматизированной проверке качества кода и производительности при работе с тяжёлыми бинарными массивами, включая GPU-зависимые регрессионные тесты, которые не поддерживаются стандартными облачными раннерами GitHub Actions.</w:t>
      </w:r>
    </w:p>
    <w:p>
      <w:r>
        <w:rPr>
          <w:b/>
          <w:i w:val="0"/>
        </w:rPr>
        <w:t>Решение:</w:t>
      </w:r>
    </w:p>
    <w:p>
      <w:r>
        <w:rPr>
          <w:b w:val="0"/>
          <w:i w:val="0"/>
        </w:rPr>
        <w:t>CI/CD пайплайн на GitHub Actions разбит на последовательные этапы (lint → unit → integration → regression-quality → nightly benchmark), где каждый следующий этап блокируется при провале предыдущего. GPU-зависимые тесты выполняются на self-hosted раннере, развёрнутом на минимальной облачной сборке (см. 07_infrastructure_costs). Регрессия производительности отслеживается через ASV с порогом блокировки merge (10-15%, требует калибровки).</w:t>
      </w:r>
    </w:p>
    <w:p>
      <w:r>
        <w:rPr>
          <w:b/>
          <w:i w:val="0"/>
        </w:rPr>
        <w:t>Альтернативы и почему отклонены:</w:t>
      </w:r>
    </w:p>
    <w:p>
      <w:pPr>
        <w:pStyle w:val="ListBullet"/>
      </w:pPr>
      <w:r>
        <w:t>Единый монолитный пайплайн без разделения на этапы — отклонено: расходует платные GPU-раннеры на проверки, которые могли быть отсеяны быстрым и дешёвым lint-этапом.</w:t>
      </w:r>
    </w:p>
    <w:p>
      <w:pPr>
        <w:pStyle w:val="ListBullet"/>
      </w:pPr>
      <w:r>
        <w:t>Использование только облачных раннеров GitHub Actions — отклонено: не поддерживают GPU, необходимый для regression и benchmark-тестов.</w:t>
      </w:r>
    </w:p>
    <w:p>
      <w:r>
        <w:rPr>
          <w:b/>
          <w:i w:val="0"/>
        </w:rPr>
        <w:t>Последствия:</w:t>
      </w:r>
    </w:p>
    <w:p>
      <w:r>
        <w:rPr>
          <w:b w:val="0"/>
          <w:i w:val="0"/>
        </w:rPr>
        <w:t>Добавляет постоянную (или периодическую) статью расходов на self-hosted GPU-раннер (риск 2, 07_testing_and_performance). Требует калибровки порога регрессии для избежания false positive из-за вариативности облачного железа.</w:t>
      </w:r>
    </w:p>
    <w:p>
      <w:r>
        <w:rPr>
          <w:b w:val="0"/>
          <w:i/>
        </w:rPr>
        <w:t>Источник: 07_testing_and_performance, разделы 2, 6</w:t>
      </w:r>
    </w:p>
    <w:p>
      <w:pPr>
        <w:pStyle w:val="Heading1"/>
      </w:pPr>
      <w:r>
        <w:t>Открытые вопросы / TODO</w:t>
      </w:r>
    </w:p>
    <w:p>
      <w:pPr>
        <w:pStyle w:val="ListBullet"/>
      </w:pPr>
      <w:r>
        <w:t>ADR-001 и ADR-002 остаются в статусе «предлагается» — требуют формального перевода в «принят» с полным текстом обоснования (сейчас они лишь анонсированы в 01_main как «статья ещё не написана»).</w:t>
      </w:r>
    </w:p>
    <w:p>
      <w:pPr>
        <w:pStyle w:val="ListBullet"/>
      </w:pPr>
      <w:r>
        <w:t>ADR-007 (изоляция сторонних модулей) требует дополнительной проработки перед принятием окончательного решения.</w:t>
      </w:r>
    </w:p>
    <w:p>
      <w:pPr>
        <w:pStyle w:val="ListBullet"/>
      </w:pPr>
      <w:r>
        <w:t>Не заведён процесс регулярного аудита журнала — предлагается сверять реестр со статьями серии при каждой ревизии документации (аналогично ревизии реестра статей от 10.08.2026).</w:t>
      </w:r>
    </w:p>
    <w:p>
      <w:pPr>
        <w:pStyle w:val="ListBullet"/>
      </w:pPr>
      <w:r>
        <w:t>По мере написания 05_build и 06_notes ожидается появление новых ADR — нумерация продолжается сквозным счётом от 009.</w:t>
      </w:r>
    </w:p>
    <w:p>
      <w:pPr>
        <w:pStyle w:val="Heading1"/>
      </w:pPr>
      <w:r>
        <w:t>Связанные документы</w:t>
      </w:r>
    </w:p>
    <w:p>
      <w:r>
        <w:rPr>
          <w:b w:val="0"/>
          <w:i w:val="0"/>
        </w:rPr>
        <w:t>Каждый ADR в этом журнале извлечён из решения [DECISION], зафиксированного в одной из статей серии: 01_main, 03_architecture, 04_philosophy, BACKEND, 07_infrastructure_costs, 07_testing_and_performance. Журнал не заменяет эти статьи, а служит их быстрым, атомарным индексом по конкретным техническим решениям.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