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B3" w:rsidRDefault="002C6DB3" w:rsidP="002C6DB3">
      <w:pPr>
        <w:pStyle w:val="Default"/>
      </w:pPr>
    </w:p>
    <w:p w:rsidR="002C6DB3" w:rsidRDefault="002C6DB3" w:rsidP="002C6DB3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Tips for controls: </w:t>
      </w:r>
    </w:p>
    <w:p w:rsidR="00005FDE" w:rsidRDefault="00005FDE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Both scales and blocks can be moved.</w:t>
      </w:r>
      <w:bookmarkStart w:id="0" w:name="_GoBack"/>
      <w:bookmarkEnd w:id="0"/>
      <w:r>
        <w:rPr>
          <w:color w:val="auto"/>
          <w:sz w:val="23"/>
          <w:szCs w:val="23"/>
        </w:rPr>
        <w:t xml:space="preserve"> 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You can put the blocks in the water. If an object floats, you can hold it under water to measure its volume. 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Use the scale and the volume of water displaced to calculate the density of the mystery objects. 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Select same mass, volume, or density to compare and contrast the buoyancy of two blocks.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Turn on the forces and drag the object below the surface to see how the buoyancy force changes.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You can switch from water to oil using the b</w:t>
      </w:r>
      <w:r w:rsidR="007E6112">
        <w:rPr>
          <w:color w:val="auto"/>
          <w:sz w:val="23"/>
          <w:szCs w:val="23"/>
        </w:rPr>
        <w:t>uttons at the bottom of the Intro tab. In Buoyancy Playground tab, there is a continuous slider for fluid density.</w:t>
      </w:r>
    </w:p>
    <w:p w:rsidR="00005FDE" w:rsidRDefault="00005FDE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scale in the fluid can be moved</w:t>
      </w:r>
    </w:p>
    <w:p w:rsidR="002C6DB3" w:rsidRDefault="002C6DB3" w:rsidP="002C6DB3">
      <w:pPr>
        <w:pStyle w:val="Default"/>
        <w:numPr>
          <w:ilvl w:val="0"/>
          <w:numId w:val="1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There are more controls in the “Buoyancy Playground” tab.</w:t>
      </w:r>
    </w:p>
    <w:p w:rsidR="002C6DB3" w:rsidRDefault="002C6DB3" w:rsidP="002C6DB3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If you are doing a lecture demonstration, set your screen resolution to 1024x768 so the simulation will fill the screen and be seen easily. </w:t>
      </w:r>
    </w:p>
    <w:p w:rsidR="002C6DB3" w:rsidRDefault="002C6DB3" w:rsidP="002C6DB3">
      <w:pPr>
        <w:pStyle w:val="Default"/>
        <w:rPr>
          <w:color w:val="auto"/>
          <w:sz w:val="23"/>
          <w:szCs w:val="23"/>
        </w:rPr>
      </w:pPr>
    </w:p>
    <w:p w:rsidR="002C6DB3" w:rsidRDefault="002C6DB3" w:rsidP="007E6112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Important modeling notes / simplifications: </w:t>
      </w:r>
    </w:p>
    <w:p w:rsidR="002C6DB3" w:rsidRDefault="002C6DB3" w:rsidP="002C6DB3">
      <w:pPr>
        <w:pStyle w:val="Default"/>
        <w:numPr>
          <w:ilvl w:val="0"/>
          <w:numId w:val="2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For named objects in the drop-down menu, mass changes volume to keep density constant; for "My Block", mass changes density.</w:t>
      </w:r>
    </w:p>
    <w:p w:rsidR="007E6112" w:rsidRDefault="007E6112" w:rsidP="002C6DB3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There is a drag force when the block is moving through the water, but we do not show it. It is confusing to students and is not necessary for understanding buoyancy.</w:t>
      </w:r>
    </w:p>
    <w:p w:rsidR="002C6DB3" w:rsidRDefault="002C6DB3" w:rsidP="002C6DB3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We purposely left out the density of water on the slider, since we saw that it caused students to engage more with the </w:t>
      </w:r>
      <w:proofErr w:type="spellStart"/>
      <w:r>
        <w:rPr>
          <w:color w:val="auto"/>
          <w:sz w:val="23"/>
          <w:szCs w:val="23"/>
        </w:rPr>
        <w:t>sim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2C6DB3" w:rsidRDefault="002C6DB3" w:rsidP="002C6DB3">
      <w:pPr>
        <w:pStyle w:val="Default"/>
        <w:rPr>
          <w:color w:val="auto"/>
          <w:sz w:val="23"/>
          <w:szCs w:val="23"/>
        </w:rPr>
      </w:pPr>
    </w:p>
    <w:p w:rsidR="002C6DB3" w:rsidRDefault="002C6DB3" w:rsidP="002C6DB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Insights into student use / thinking: </w:t>
      </w:r>
    </w:p>
    <w:p w:rsidR="002C6DB3" w:rsidRPr="00A57C08" w:rsidRDefault="002C6DB3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Students do not need to be told to put the block in the water; it is often their first move. </w:t>
      </w:r>
    </w:p>
    <w:p w:rsidR="00A57C08" w:rsidRDefault="00A57C08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>Students notice that the buoyant force equals the block’s weight when the object is floating.</w:t>
      </w:r>
    </w:p>
    <w:p w:rsidR="00A57C08" w:rsidRPr="00A57C08" w:rsidRDefault="00A57C08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Comparing two blocks at a time helps students notice the important ideas about buoyancy.</w:t>
      </w:r>
    </w:p>
    <w:p w:rsidR="002C6DB3" w:rsidRPr="00A57C08" w:rsidRDefault="002C6DB3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Some students notice that when objects float, they displace their mass, but when objects sink, they displace their volume. </w:t>
      </w:r>
    </w:p>
    <w:p w:rsidR="002C6DB3" w:rsidRPr="00A57C08" w:rsidRDefault="002C6DB3" w:rsidP="007E6112">
      <w:pPr>
        <w:pStyle w:val="Default"/>
        <w:numPr>
          <w:ilvl w:val="0"/>
          <w:numId w:val="3"/>
        </w:numPr>
        <w:spacing w:after="48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Students learn that density is what determines whether an object sinks or floats. </w:t>
      </w:r>
    </w:p>
    <w:p w:rsidR="002C6DB3" w:rsidRPr="007E6112" w:rsidRDefault="002C6DB3" w:rsidP="002C6DB3">
      <w:pPr>
        <w:pStyle w:val="Default"/>
        <w:rPr>
          <w:color w:val="auto"/>
          <w:sz w:val="23"/>
          <w:szCs w:val="23"/>
          <w:highlight w:val="yellow"/>
        </w:rPr>
      </w:pPr>
    </w:p>
    <w:p w:rsidR="002C6DB3" w:rsidRPr="00A57C08" w:rsidRDefault="002C6DB3" w:rsidP="002C6DB3">
      <w:pPr>
        <w:pStyle w:val="Default"/>
        <w:rPr>
          <w:color w:val="auto"/>
          <w:sz w:val="23"/>
          <w:szCs w:val="23"/>
        </w:rPr>
      </w:pPr>
      <w:r w:rsidRPr="00A57C08">
        <w:rPr>
          <w:b/>
          <w:bCs/>
          <w:color w:val="auto"/>
          <w:sz w:val="23"/>
          <w:szCs w:val="23"/>
        </w:rPr>
        <w:t xml:space="preserve">Suggestions for </w:t>
      </w:r>
      <w:proofErr w:type="spellStart"/>
      <w:r w:rsidRPr="00A57C08">
        <w:rPr>
          <w:b/>
          <w:bCs/>
          <w:color w:val="auto"/>
          <w:sz w:val="23"/>
          <w:szCs w:val="23"/>
        </w:rPr>
        <w:t>sim</w:t>
      </w:r>
      <w:proofErr w:type="spellEnd"/>
      <w:r w:rsidRPr="00A57C08">
        <w:rPr>
          <w:b/>
          <w:bCs/>
          <w:color w:val="auto"/>
          <w:sz w:val="23"/>
          <w:szCs w:val="23"/>
        </w:rPr>
        <w:t xml:space="preserve"> use: </w:t>
      </w:r>
    </w:p>
    <w:p w:rsidR="002C6DB3" w:rsidRPr="00A57C08" w:rsidRDefault="002C6DB3" w:rsidP="00A57C08">
      <w:pPr>
        <w:pStyle w:val="Default"/>
        <w:numPr>
          <w:ilvl w:val="0"/>
          <w:numId w:val="4"/>
        </w:numPr>
        <w:spacing w:after="34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For tips on using PhET </w:t>
      </w:r>
      <w:proofErr w:type="gramStart"/>
      <w:r w:rsidRPr="00A57C08">
        <w:rPr>
          <w:color w:val="auto"/>
          <w:sz w:val="23"/>
          <w:szCs w:val="23"/>
        </w:rPr>
        <w:t>sims</w:t>
      </w:r>
      <w:proofErr w:type="gramEnd"/>
      <w:r w:rsidRPr="00A57C08">
        <w:rPr>
          <w:color w:val="auto"/>
          <w:sz w:val="23"/>
          <w:szCs w:val="23"/>
        </w:rPr>
        <w:t xml:space="preserve"> with your students, see: </w:t>
      </w:r>
      <w:hyperlink r:id="rId8" w:history="1">
        <w:r w:rsidRPr="00A57C08">
          <w:rPr>
            <w:rStyle w:val="Hyperlink"/>
            <w:b/>
            <w:bCs/>
            <w:sz w:val="23"/>
            <w:szCs w:val="23"/>
          </w:rPr>
          <w:t>Guidelines for Inquiry Contributions</w:t>
        </w:r>
      </w:hyperlink>
      <w:r w:rsidRPr="00A57C08">
        <w:rPr>
          <w:b/>
          <w:bCs/>
          <w:color w:val="auto"/>
          <w:sz w:val="23"/>
          <w:szCs w:val="23"/>
        </w:rPr>
        <w:t xml:space="preserve"> </w:t>
      </w:r>
      <w:r w:rsidRPr="00A57C08">
        <w:rPr>
          <w:color w:val="auto"/>
          <w:sz w:val="23"/>
          <w:szCs w:val="23"/>
        </w:rPr>
        <w:t xml:space="preserve">and </w:t>
      </w:r>
      <w:hyperlink r:id="rId9" w:history="1">
        <w:r w:rsidRPr="00A57C08">
          <w:rPr>
            <w:rStyle w:val="Hyperlink"/>
            <w:b/>
            <w:bCs/>
            <w:sz w:val="23"/>
            <w:szCs w:val="23"/>
          </w:rPr>
          <w:t>Using PhET Sims</w:t>
        </w:r>
      </w:hyperlink>
      <w:r w:rsidRPr="00A57C08">
        <w:rPr>
          <w:color w:val="auto"/>
          <w:sz w:val="23"/>
          <w:szCs w:val="23"/>
        </w:rPr>
        <w:t xml:space="preserve">. </w:t>
      </w:r>
    </w:p>
    <w:p w:rsidR="002C6DB3" w:rsidRPr="00A57C08" w:rsidRDefault="002C6DB3" w:rsidP="00A57C08">
      <w:pPr>
        <w:pStyle w:val="Default"/>
        <w:numPr>
          <w:ilvl w:val="0"/>
          <w:numId w:val="4"/>
        </w:numPr>
        <w:spacing w:after="34"/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The simulations have been used successfully with homework, lectures, in-class activities, or lab activities. Use them for introduction to concepts, learning new concepts, reinforcement of concepts, as visual aids for interactive demonstrations, or with in-class clicker questions. To read more, see: </w:t>
      </w:r>
      <w:hyperlink r:id="rId10" w:history="1">
        <w:r w:rsidRPr="00A57C08">
          <w:rPr>
            <w:rStyle w:val="Hyperlink"/>
            <w:b/>
            <w:bCs/>
            <w:sz w:val="23"/>
            <w:szCs w:val="23"/>
          </w:rPr>
          <w:t>Teaching Physics using PhET Simulations</w:t>
        </w:r>
      </w:hyperlink>
      <w:r w:rsidRPr="00A57C08">
        <w:rPr>
          <w:color w:val="auto"/>
          <w:sz w:val="23"/>
          <w:szCs w:val="23"/>
        </w:rPr>
        <w:t xml:space="preserve">. </w:t>
      </w:r>
    </w:p>
    <w:p w:rsidR="002C6DB3" w:rsidRDefault="002C6DB3" w:rsidP="00A57C08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A57C08">
        <w:rPr>
          <w:color w:val="auto"/>
          <w:sz w:val="23"/>
          <w:szCs w:val="23"/>
        </w:rPr>
        <w:t xml:space="preserve">For activities and lesson plans written by the PhET team and other teachers, see: </w:t>
      </w:r>
      <w:hyperlink r:id="rId11" w:history="1">
        <w:r w:rsidRPr="00A57C08">
          <w:rPr>
            <w:rStyle w:val="Hyperlink"/>
            <w:b/>
            <w:bCs/>
            <w:sz w:val="23"/>
            <w:szCs w:val="23"/>
          </w:rPr>
          <w:t>Teacher Ideas &amp; Activities</w:t>
        </w:r>
      </w:hyperlink>
      <w:r w:rsidRPr="00A57C08">
        <w:rPr>
          <w:color w:val="auto"/>
          <w:sz w:val="23"/>
          <w:szCs w:val="23"/>
        </w:rPr>
        <w:t>.</w:t>
      </w:r>
      <w:r>
        <w:rPr>
          <w:color w:val="auto"/>
          <w:sz w:val="23"/>
          <w:szCs w:val="23"/>
        </w:rPr>
        <w:t xml:space="preserve"> </w:t>
      </w:r>
    </w:p>
    <w:p w:rsidR="00BC7EB0" w:rsidRDefault="00BC7EB0"/>
    <w:p w:rsidR="002C6DB3" w:rsidRDefault="002C6DB3"/>
    <w:p w:rsidR="002C6DB3" w:rsidRDefault="002C6DB3"/>
    <w:p w:rsidR="002C6DB3" w:rsidRDefault="002C6DB3"/>
    <w:sectPr w:rsidR="002C6DB3" w:rsidSect="00F109BF">
      <w:headerReference w:type="default" r:id="rId12"/>
      <w:footerReference w:type="default" r:id="rId13"/>
      <w:pgSz w:w="12240" w:h="16340"/>
      <w:pgMar w:top="1152" w:right="885" w:bottom="647" w:left="12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C9E" w:rsidRDefault="00FC4C9E" w:rsidP="00FC4C9E">
      <w:pPr>
        <w:spacing w:after="0" w:line="240" w:lineRule="auto"/>
      </w:pPr>
      <w:r>
        <w:separator/>
      </w:r>
    </w:p>
  </w:endnote>
  <w:endnote w:type="continuationSeparator" w:id="0">
    <w:p w:rsidR="00FC4C9E" w:rsidRDefault="00FC4C9E" w:rsidP="00FC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9E" w:rsidRPr="00FC4C9E" w:rsidRDefault="00FC4C9E" w:rsidP="00FC4C9E">
    <w:pPr>
      <w:pStyle w:val="Default"/>
      <w:rPr>
        <w:color w:val="auto"/>
        <w:sz w:val="22"/>
        <w:szCs w:val="22"/>
      </w:rPr>
    </w:pPr>
    <w:r>
      <w:rPr>
        <w:color w:val="auto"/>
        <w:sz w:val="22"/>
        <w:szCs w:val="22"/>
      </w:rPr>
      <w:t xml:space="preserve">Written by Trish </w:t>
    </w:r>
    <w:proofErr w:type="spellStart"/>
    <w:r>
      <w:rPr>
        <w:color w:val="auto"/>
        <w:sz w:val="22"/>
        <w:szCs w:val="22"/>
      </w:rPr>
      <w:t>Loeblein</w:t>
    </w:r>
    <w:proofErr w:type="spellEnd"/>
    <w:r>
      <w:rPr>
        <w:color w:val="auto"/>
        <w:sz w:val="22"/>
        <w:szCs w:val="22"/>
      </w:rPr>
      <w:t xml:space="preserve"> and Noah </w:t>
    </w:r>
    <w:proofErr w:type="spellStart"/>
    <w:r>
      <w:rPr>
        <w:color w:val="auto"/>
        <w:sz w:val="22"/>
        <w:szCs w:val="22"/>
      </w:rPr>
      <w:t>Podolefsky</w:t>
    </w:r>
    <w:proofErr w:type="spellEnd"/>
    <w:r>
      <w:rPr>
        <w:color w:val="auto"/>
        <w:sz w:val="22"/>
        <w:szCs w:val="22"/>
      </w:rPr>
      <w:t xml:space="preserve">               Last updated April 22,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C9E" w:rsidRDefault="00FC4C9E" w:rsidP="00FC4C9E">
      <w:pPr>
        <w:spacing w:after="0" w:line="240" w:lineRule="auto"/>
      </w:pPr>
      <w:r>
        <w:separator/>
      </w:r>
    </w:p>
  </w:footnote>
  <w:footnote w:type="continuationSeparator" w:id="0">
    <w:p w:rsidR="00FC4C9E" w:rsidRDefault="00FC4C9E" w:rsidP="00FC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C9E" w:rsidRDefault="00FC4C9E" w:rsidP="00FC4C9E">
    <w:pPr>
      <w:pStyle w:val="Default"/>
      <w:rPr>
        <w:sz w:val="22"/>
        <w:szCs w:val="22"/>
      </w:rPr>
    </w:pPr>
    <w:r>
      <w:rPr>
        <w:b/>
        <w:bCs/>
        <w:sz w:val="22"/>
        <w:szCs w:val="22"/>
      </w:rPr>
      <w:t xml:space="preserve">PhET Tips for Teachers: </w:t>
    </w:r>
    <w:r>
      <w:rPr>
        <w:b/>
        <w:bCs/>
        <w:i/>
        <w:iCs/>
        <w:sz w:val="22"/>
        <w:szCs w:val="22"/>
      </w:rPr>
      <w:t xml:space="preserve">Buoyancy </w:t>
    </w:r>
  </w:p>
  <w:p w:rsidR="00FC4C9E" w:rsidRDefault="00FC4C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485"/>
    <w:multiLevelType w:val="hybridMultilevel"/>
    <w:tmpl w:val="B52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2770E"/>
    <w:multiLevelType w:val="hybridMultilevel"/>
    <w:tmpl w:val="29BE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0194B"/>
    <w:multiLevelType w:val="hybridMultilevel"/>
    <w:tmpl w:val="EB66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135CB"/>
    <w:multiLevelType w:val="hybridMultilevel"/>
    <w:tmpl w:val="E104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B3"/>
    <w:rsid w:val="00005FDE"/>
    <w:rsid w:val="002C6DB3"/>
    <w:rsid w:val="007E6112"/>
    <w:rsid w:val="00A57C08"/>
    <w:rsid w:val="00BC7EB0"/>
    <w:rsid w:val="00FC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6DB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7C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C9E"/>
  </w:style>
  <w:style w:type="paragraph" w:styleId="Footer">
    <w:name w:val="footer"/>
    <w:basedOn w:val="Normal"/>
    <w:link w:val="FooterChar"/>
    <w:uiPriority w:val="99"/>
    <w:unhideWhenUsed/>
    <w:rsid w:val="00FC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C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6DB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7C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C9E"/>
  </w:style>
  <w:style w:type="paragraph" w:styleId="Footer">
    <w:name w:val="footer"/>
    <w:basedOn w:val="Normal"/>
    <w:link w:val="FooterChar"/>
    <w:uiPriority w:val="99"/>
    <w:unhideWhenUsed/>
    <w:rsid w:val="00FC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for-teachers/activity-guide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en/for-teachers/classroom-u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et.colorado.edu/publications/Teaching_physics_using_PhET_TP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et.colorado.edu/en/for-teachers/classroom-u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Trish Loeblein</cp:lastModifiedBy>
  <cp:revision>4</cp:revision>
  <dcterms:created xsi:type="dcterms:W3CDTF">2011-04-22T15:34:00Z</dcterms:created>
  <dcterms:modified xsi:type="dcterms:W3CDTF">2011-04-26T01:11:00Z</dcterms:modified>
</cp:coreProperties>
</file>