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VERSLO ATVEJO ANALIZĖ: „</w:t>
      </w:r>
      <w:hyperlink r:id="rId6">
        <w:r w:rsidDel="00000000" w:rsidR="00000000" w:rsidRPr="00000000">
          <w:rPr>
            <w:color w:val="1155cc"/>
            <w:u w:val="single"/>
            <w:rtl w:val="0"/>
          </w:rPr>
          <w:t xml:space="preserve">ElektroMarket.lt</w:t>
        </w:r>
      </w:hyperlink>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ah5g4p1ipwby" w:id="0"/>
      <w:bookmarkEnd w:id="0"/>
      <w:r w:rsidDel="00000000" w:rsidR="00000000" w:rsidRPr="00000000">
        <w:rPr>
          <w:rtl w:val="0"/>
        </w:rPr>
        <w:t xml:space="preserve">KONTEKSTAS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„ElektroMarket.lt“ yra vidutinio dydžio, sparčiai besivystanti elektroninės komercijos bendrovė, kurioje šiuo metu dirba 45 kvalifikuoti darbuotojai. Bendra metinė kompanijos apyvarta praėjusiais metais pasiekė solidžią 8 milijonų eurų ribą. Pagrindinis įmonės asortimentas yra griežtai orientuotas į technologijų entuziastus bei modernius namų ūkius – elektroninėje parduotuvėje prekiaujama plataus vartojimo elektronika, įvairia buitine technika bei sparčiai populiarėjančiomis išmaniųjų namų („smart home“) sistemomis. Bendrovė savo operacijas sėkmingai vykdo ir plečia dviejose Baltijos šalių rinkose – Lietuvoje bei Latvijoje. Pagrindinis „ElektroMarket.lt“ pirkėjas ir tikslinė auditorija yra 25–55 metų amžiaus vartotojai, gaunantys vidutines arba aukštas pajamas, ieškantys patikimų technologinių sprendimų.</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n6fu9stukqhh" w:id="1"/>
      <w:bookmarkEnd w:id="1"/>
      <w:r w:rsidDel="00000000" w:rsidR="00000000" w:rsidRPr="00000000">
        <w:rPr>
          <w:rtl w:val="0"/>
        </w:rPr>
        <w:t xml:space="preserve">PROBLEMA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Per trijų mėnesių laikotarpį, apimantį 2025 metų rugsėjo–lapkričio mėnesius, įmonės vadovybė užfiksavo kritinį pardavimų efektyvumo nuosmukį. Bendras elektroninės parduotuvės konversijos rodiklis drastiškai nukrito net 40 proc. – nuo buvusių 3,2 proc. iki vos 1,9 proc. Ypatingą nerimą kelia faktas, jog šis kritimas įvyko nepaisant to, kad bendras svetainės lankytojų srautas išliko visiškai stabilus ir toliau generuoja apie 180 000 unikalių lankytojų per mėnesį. Detalesnė pardavimų piltuvėlio analitika atskleidžia, kad prekių krepšelio atsisakymo (angl. cart abandonment) rodiklis išaugo nuo 65 proc. iki kritinės 82 proc. ribos. Labiausiai šiuo laikotarpiu nukentėjo mobiliųjų įrenginių vartotojų segmentas – mobilioji konversija smuko nuo 2,8 proc. iki vos 0,9 proc. Situaciją sunkina tai, jog rinkos duomenys rodo, kad tuo pačiu metu pagrindinių konkurentų pardavimų apimtys nuosekliai augo.</w:t>
      </w:r>
    </w:p>
    <w:p w:rsidR="00000000" w:rsidDel="00000000" w:rsidP="00000000" w:rsidRDefault="00000000" w:rsidRPr="00000000" w14:paraId="0000000B">
      <w:pPr>
        <w:pStyle w:val="Heading3"/>
        <w:rPr/>
      </w:pPr>
      <w:bookmarkStart w:colFirst="0" w:colLast="0" w:name="_ker2v67op4ds" w:id="2"/>
      <w:bookmarkEnd w:id="2"/>
      <w:r w:rsidDel="00000000" w:rsidR="00000000" w:rsidRPr="00000000">
        <w:rPr>
          <w:rtl w:val="0"/>
        </w:rPr>
        <w:t xml:space="preserve">PAPILDOMI DUOMENYS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Siekiant identifikuoti šio staigaus nuosmukio priežastis, būtina įvertinti kelis esminius pastarojo meto technologinius bei operacinius pokyčius įmonės veikloje. 2025 metų rugpjūčio mėnesį, prieš pat konversijų kritimo pradžią, buvo atliktas pilnas „ElektroMarket.lt“ elektroninės parduotuvės vartotojo sąsajos redizainas. Netrukus po to, 2025 metų rugsėjį, į atnaujintą platformą buvo integruotas naujas mokėjimų surinkimo tiekėjas. Kartu su šiais technologiniais pokyčiais fiksuojamas ir staigus klientų nepasitenkinimas – bendras klientų aptarnavimo kokybės vertinimas smuko iki 2,3 balo iš 5 galimų (prieš tai šis rodiklis stabiliai laikėsi ties 4,1 balo). Nors spaudimas iš 3 pagrindinių tiesioginių konkurentų („Pigu.lt“, „Varle.lt“, „1a.lt“) rinkoje didėja, „ElektroMarket.lt“ bendras marketingo biudžetas per šį krizinį ketvirtį išliko visiškai nepakitęs.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lektromarket.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