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82E07" w14:textId="3C8E23DB" w:rsidR="00CC3EBC" w:rsidRPr="00A24640" w:rsidRDefault="00CC3EBC" w:rsidP="00A24640">
      <w:pPr>
        <w:pStyle w:val="ListParagraph"/>
        <w:numPr>
          <w:ilvl w:val="0"/>
          <w:numId w:val="14"/>
        </w:numPr>
        <w:spacing w:after="0" w:line="276" w:lineRule="auto"/>
        <w:rPr>
          <w:rFonts w:ascii="Segoe UI" w:hAnsi="Segoe UI" w:cs="Segoe UI"/>
          <w:b/>
          <w:bCs/>
          <w:sz w:val="28"/>
          <w:szCs w:val="28"/>
        </w:rPr>
      </w:pPr>
      <w:r w:rsidRPr="00A24640">
        <w:rPr>
          <w:rFonts w:ascii="Segoe UI" w:hAnsi="Segoe UI" w:cs="Segoe UI"/>
          <w:b/>
          <w:bCs/>
          <w:sz w:val="28"/>
          <w:szCs w:val="28"/>
        </w:rPr>
        <w:t>Overview</w:t>
      </w:r>
    </w:p>
    <w:p w14:paraId="3B5A7006" w14:textId="77777777" w:rsidR="00CC3EBC" w:rsidRPr="00CC3EBC" w:rsidRDefault="00CC3EBC" w:rsidP="00A24640">
      <w:pPr>
        <w:spacing w:after="0" w:line="276" w:lineRule="auto"/>
        <w:rPr>
          <w:rFonts w:ascii="Segoe UI" w:hAnsi="Segoe UI" w:cs="Segoe UI"/>
        </w:rPr>
      </w:pPr>
      <w:r w:rsidRPr="00CC3EBC">
        <w:rPr>
          <w:rFonts w:ascii="Segoe UI" w:hAnsi="Segoe UI" w:cs="Segoe UI"/>
        </w:rPr>
        <w:t>The Santa Barbara County Housing Data Dashboard is an interactive tool developed by SBCAG to track housing development, affordability, availability, and demographic trends across the county. The dashboard compiles data from multiple authoritative sources and presents it through filterable visualizations and downloadable datasets to support local jurisdictions, policymakers, researchers, and community members.</w:t>
      </w:r>
    </w:p>
    <w:p w14:paraId="178879D6" w14:textId="77777777" w:rsidR="00CC3EBC" w:rsidRPr="00CC3EBC" w:rsidRDefault="00CC3EBC" w:rsidP="00A24640">
      <w:pPr>
        <w:spacing w:after="0" w:line="276" w:lineRule="auto"/>
        <w:rPr>
          <w:rFonts w:ascii="Segoe UI" w:hAnsi="Segoe UI" w:cs="Segoe UI"/>
        </w:rPr>
      </w:pPr>
    </w:p>
    <w:p w14:paraId="256B617A" w14:textId="54778103" w:rsidR="00CC3EBC" w:rsidRPr="00A24640" w:rsidRDefault="00CC3EBC" w:rsidP="00A24640">
      <w:pPr>
        <w:pStyle w:val="ListParagraph"/>
        <w:numPr>
          <w:ilvl w:val="0"/>
          <w:numId w:val="14"/>
        </w:numPr>
        <w:spacing w:after="0" w:line="276" w:lineRule="auto"/>
        <w:rPr>
          <w:rFonts w:ascii="Segoe UI" w:hAnsi="Segoe UI" w:cs="Segoe UI"/>
          <w:b/>
          <w:bCs/>
        </w:rPr>
      </w:pPr>
      <w:r w:rsidRPr="00A24640">
        <w:rPr>
          <w:rFonts w:ascii="Segoe UI" w:hAnsi="Segoe UI" w:cs="Segoe UI"/>
          <w:b/>
          <w:bCs/>
          <w:sz w:val="28"/>
          <w:szCs w:val="28"/>
        </w:rPr>
        <w:t>Navigating the Dashboard</w:t>
      </w:r>
    </w:p>
    <w:p w14:paraId="1405B653" w14:textId="3DE348AA" w:rsidR="006A7CA6" w:rsidRPr="00CC3EBC" w:rsidRDefault="00CC3EBC" w:rsidP="00A24640">
      <w:pPr>
        <w:spacing w:after="0" w:line="276" w:lineRule="auto"/>
        <w:rPr>
          <w:rFonts w:ascii="Segoe UI" w:hAnsi="Segoe UI" w:cs="Segoe UI"/>
        </w:rPr>
      </w:pPr>
      <w:r w:rsidRPr="00CC3EBC">
        <w:rPr>
          <w:rFonts w:ascii="Segoe UI" w:hAnsi="Segoe UI" w:cs="Segoe UI"/>
        </w:rPr>
        <w:t>The dashboard is divided into multiple sections, each focusing on different aspects of housing and demographics. Users can interact with drop-down filters, data slicers, and downloadable reports for in-depth analysis.</w:t>
      </w:r>
      <w:r w:rsidRPr="00CC3EBC">
        <w:rPr>
          <w:rFonts w:ascii="Segoe UI" w:hAnsi="Segoe UI" w:cs="Segoe UI"/>
        </w:rPr>
        <w:t xml:space="preserve"> All </w:t>
      </w:r>
      <w:r w:rsidR="00A24640" w:rsidRPr="00CC3EBC">
        <w:rPr>
          <w:rFonts w:ascii="Segoe UI" w:hAnsi="Segoe UI" w:cs="Segoe UI"/>
        </w:rPr>
        <w:t>data sets</w:t>
      </w:r>
      <w:r w:rsidRPr="00CC3EBC">
        <w:rPr>
          <w:rFonts w:ascii="Segoe UI" w:hAnsi="Segoe UI" w:cs="Segoe UI"/>
        </w:rPr>
        <w:t xml:space="preserve"> used in the report are available for download as excel</w:t>
      </w:r>
      <w:r w:rsidR="00A308AE">
        <w:rPr>
          <w:rFonts w:ascii="Segoe UI" w:hAnsi="Segoe UI" w:cs="Segoe UI"/>
        </w:rPr>
        <w:t xml:space="preserve"> </w:t>
      </w:r>
      <w:r w:rsidRPr="00CC3EBC">
        <w:rPr>
          <w:rFonts w:ascii="Segoe UI" w:hAnsi="Segoe UI" w:cs="Segoe UI"/>
        </w:rPr>
        <w:t>(.</w:t>
      </w:r>
      <w:r w:rsidR="00A308AE">
        <w:rPr>
          <w:rFonts w:ascii="Segoe UI" w:hAnsi="Segoe UI" w:cs="Segoe UI"/>
        </w:rPr>
        <w:t>x</w:t>
      </w:r>
      <w:r w:rsidRPr="00CC3EBC">
        <w:rPr>
          <w:rFonts w:ascii="Segoe UI" w:hAnsi="Segoe UI" w:cs="Segoe UI"/>
        </w:rPr>
        <w:t>ls</w:t>
      </w:r>
      <w:r w:rsidR="00A308AE">
        <w:rPr>
          <w:rFonts w:ascii="Segoe UI" w:hAnsi="Segoe UI" w:cs="Segoe UI"/>
        </w:rPr>
        <w:t>x</w:t>
      </w:r>
      <w:r w:rsidRPr="00CC3EBC">
        <w:rPr>
          <w:rFonts w:ascii="Segoe UI" w:hAnsi="Segoe UI" w:cs="Segoe UI"/>
        </w:rPr>
        <w:t>) files</w:t>
      </w:r>
      <w:r w:rsidR="00A308AE">
        <w:rPr>
          <w:rFonts w:ascii="Segoe UI" w:hAnsi="Segoe UI" w:cs="Segoe UI"/>
        </w:rPr>
        <w:t xml:space="preserve">, </w:t>
      </w:r>
      <w:r w:rsidR="00A24640">
        <w:rPr>
          <w:rFonts w:ascii="Segoe UI" w:hAnsi="Segoe UI" w:cs="Segoe UI"/>
        </w:rPr>
        <w:t>which also</w:t>
      </w:r>
      <w:r w:rsidR="00A308AE">
        <w:rPr>
          <w:rFonts w:ascii="Segoe UI" w:hAnsi="Segoe UI" w:cs="Segoe UI"/>
        </w:rPr>
        <w:t xml:space="preserve"> contain</w:t>
      </w:r>
      <w:r w:rsidR="00A24640">
        <w:rPr>
          <w:rFonts w:ascii="Segoe UI" w:hAnsi="Segoe UI" w:cs="Segoe UI"/>
        </w:rPr>
        <w:t xml:space="preserve"> </w:t>
      </w:r>
      <w:r w:rsidR="00A308AE">
        <w:rPr>
          <w:rFonts w:ascii="Segoe UI" w:hAnsi="Segoe UI" w:cs="Segoe UI"/>
        </w:rPr>
        <w:t>source information</w:t>
      </w:r>
      <w:r w:rsidR="00A24640">
        <w:rPr>
          <w:rFonts w:ascii="Segoe UI" w:hAnsi="Segoe UI" w:cs="Segoe UI"/>
        </w:rPr>
        <w:t xml:space="preserve"> and links</w:t>
      </w:r>
      <w:r w:rsidR="00A308AE">
        <w:rPr>
          <w:rFonts w:ascii="Segoe UI" w:hAnsi="Segoe UI" w:cs="Segoe UI"/>
        </w:rPr>
        <w:t>.</w:t>
      </w:r>
    </w:p>
    <w:p w14:paraId="6A5C8E06" w14:textId="77777777" w:rsidR="00CC3EBC" w:rsidRPr="00CC3EBC" w:rsidRDefault="00CC3EBC" w:rsidP="00A24640">
      <w:pPr>
        <w:spacing w:after="0" w:line="276" w:lineRule="auto"/>
        <w:rPr>
          <w:rFonts w:ascii="Segoe UI" w:hAnsi="Segoe UI" w:cs="Segoe UI"/>
        </w:rPr>
      </w:pPr>
    </w:p>
    <w:p w14:paraId="619FEC73" w14:textId="1FF83284" w:rsidR="00AB3360" w:rsidRPr="00A24640" w:rsidRDefault="00CC3EBC" w:rsidP="00A24640">
      <w:pPr>
        <w:pStyle w:val="ListParagraph"/>
        <w:numPr>
          <w:ilvl w:val="0"/>
          <w:numId w:val="14"/>
        </w:numPr>
        <w:spacing w:after="0" w:line="276" w:lineRule="auto"/>
        <w:rPr>
          <w:rFonts w:ascii="Segoe UI" w:hAnsi="Segoe UI" w:cs="Segoe UI"/>
          <w:b/>
          <w:bCs/>
          <w:sz w:val="28"/>
          <w:szCs w:val="28"/>
        </w:rPr>
      </w:pPr>
      <w:r w:rsidRPr="00A24640">
        <w:rPr>
          <w:rFonts w:ascii="Segoe UI" w:hAnsi="Segoe UI" w:cs="Segoe UI"/>
          <w:b/>
          <w:bCs/>
          <w:sz w:val="28"/>
          <w:szCs w:val="28"/>
        </w:rPr>
        <w:t>Dashboard Pages</w:t>
      </w:r>
      <w:r w:rsidR="00AB3360" w:rsidRPr="00A24640">
        <w:rPr>
          <w:rFonts w:ascii="Segoe UI" w:hAnsi="Segoe UI" w:cs="Segoe UI"/>
          <w:b/>
          <w:bCs/>
          <w:sz w:val="28"/>
          <w:szCs w:val="28"/>
        </w:rPr>
        <w:t xml:space="preserve"> (as of 2/24/25)</w:t>
      </w:r>
    </w:p>
    <w:p w14:paraId="0E349521" w14:textId="11076CD4" w:rsidR="00CC3EBC" w:rsidRDefault="00CC3EBC" w:rsidP="00A24640">
      <w:pPr>
        <w:pStyle w:val="ListParagraph"/>
        <w:numPr>
          <w:ilvl w:val="0"/>
          <w:numId w:val="13"/>
        </w:numPr>
        <w:spacing w:after="0" w:line="276" w:lineRule="auto"/>
        <w:rPr>
          <w:rFonts w:ascii="Segoe UI" w:hAnsi="Segoe UI" w:cs="Segoe UI"/>
          <w:b/>
          <w:bCs/>
        </w:rPr>
      </w:pPr>
      <w:r w:rsidRPr="00A308AE">
        <w:rPr>
          <w:rFonts w:ascii="Segoe UI" w:hAnsi="Segoe UI" w:cs="Segoe UI"/>
          <w:b/>
          <w:bCs/>
        </w:rPr>
        <w:t>Housing Supply &amp; Production (Annual Progress Report - APR Data)</w:t>
      </w:r>
    </w:p>
    <w:p w14:paraId="7CC8BFF2" w14:textId="2AA3A49D" w:rsidR="00A308AE" w:rsidRPr="00A308AE" w:rsidRDefault="00A308AE" w:rsidP="00A24640">
      <w:pPr>
        <w:spacing w:after="0" w:line="276" w:lineRule="auto"/>
        <w:rPr>
          <w:rFonts w:ascii="Segoe UI" w:hAnsi="Segoe UI" w:cs="Segoe UI"/>
          <w:i/>
          <w:iCs/>
        </w:rPr>
      </w:pPr>
      <w:hyperlink r:id="rId5" w:history="1">
        <w:r w:rsidRPr="00A308AE">
          <w:rPr>
            <w:rStyle w:val="Hyperlink"/>
            <w:rFonts w:ascii="Segoe UI" w:hAnsi="Segoe UI" w:cs="Segoe UI"/>
            <w:i/>
            <w:iCs/>
          </w:rPr>
          <w:t>HCD_APR.xlsx</w:t>
        </w:r>
      </w:hyperlink>
    </w:p>
    <w:p w14:paraId="1249B9F4" w14:textId="0C0861D7" w:rsidR="00CC3EBC" w:rsidRPr="00CC3EBC" w:rsidRDefault="00CC3EBC" w:rsidP="00A24640">
      <w:pPr>
        <w:spacing w:after="0" w:line="276" w:lineRule="auto"/>
        <w:rPr>
          <w:rFonts w:ascii="Segoe UI" w:hAnsi="Segoe UI" w:cs="Segoe UI"/>
        </w:rPr>
      </w:pPr>
      <w:r w:rsidRPr="00CC3EBC">
        <w:rPr>
          <w:rFonts w:ascii="Segoe UI" w:hAnsi="Segoe UI" w:cs="Segoe UI"/>
        </w:rPr>
        <w:t>Tracks housing units through entitlement, building permits, and certificates of occupancy.</w:t>
      </w:r>
    </w:p>
    <w:p w14:paraId="316F8A80" w14:textId="77777777" w:rsidR="00CC3EBC" w:rsidRPr="00CC3EBC" w:rsidRDefault="00CC3EBC" w:rsidP="00A24640">
      <w:pPr>
        <w:numPr>
          <w:ilvl w:val="0"/>
          <w:numId w:val="1"/>
        </w:numPr>
        <w:spacing w:after="0" w:line="276" w:lineRule="auto"/>
        <w:rPr>
          <w:rFonts w:ascii="Segoe UI" w:hAnsi="Segoe UI" w:cs="Segoe UI"/>
        </w:rPr>
      </w:pPr>
      <w:r w:rsidRPr="00CC3EBC">
        <w:rPr>
          <w:rFonts w:ascii="Segoe UI" w:hAnsi="Segoe UI" w:cs="Segoe UI"/>
        </w:rPr>
        <w:t>Entitlements: Housing units approved through zoning and land use processes.</w:t>
      </w:r>
    </w:p>
    <w:p w14:paraId="1F212792" w14:textId="77777777" w:rsidR="00CC3EBC" w:rsidRPr="00CC3EBC" w:rsidRDefault="00CC3EBC" w:rsidP="00A24640">
      <w:pPr>
        <w:numPr>
          <w:ilvl w:val="0"/>
          <w:numId w:val="1"/>
        </w:numPr>
        <w:spacing w:after="0" w:line="276" w:lineRule="auto"/>
        <w:rPr>
          <w:rFonts w:ascii="Segoe UI" w:hAnsi="Segoe UI" w:cs="Segoe UI"/>
        </w:rPr>
      </w:pPr>
      <w:r w:rsidRPr="00CC3EBC">
        <w:rPr>
          <w:rFonts w:ascii="Segoe UI" w:hAnsi="Segoe UI" w:cs="Segoe UI"/>
        </w:rPr>
        <w:t>Building Permits: Housing units that have received construction permits.</w:t>
      </w:r>
    </w:p>
    <w:p w14:paraId="55F7C210" w14:textId="77777777" w:rsidR="00CC3EBC" w:rsidRPr="00CC3EBC" w:rsidRDefault="00CC3EBC" w:rsidP="00A24640">
      <w:pPr>
        <w:numPr>
          <w:ilvl w:val="0"/>
          <w:numId w:val="1"/>
        </w:numPr>
        <w:spacing w:after="0" w:line="276" w:lineRule="auto"/>
        <w:rPr>
          <w:rFonts w:ascii="Segoe UI" w:hAnsi="Segoe UI" w:cs="Segoe UI"/>
        </w:rPr>
      </w:pPr>
      <w:r w:rsidRPr="00CC3EBC">
        <w:rPr>
          <w:rFonts w:ascii="Segoe UI" w:hAnsi="Segoe UI" w:cs="Segoe UI"/>
        </w:rPr>
        <w:t>Certificates of Occupancy: Housing units that are completed and available for use.</w:t>
      </w:r>
    </w:p>
    <w:p w14:paraId="1CDCB83B" w14:textId="1E725D8B" w:rsidR="00CC3EBC" w:rsidRPr="00CC3EBC" w:rsidRDefault="00CC3EBC" w:rsidP="00A24640">
      <w:pPr>
        <w:spacing w:after="0" w:line="276" w:lineRule="auto"/>
        <w:rPr>
          <w:rFonts w:ascii="Segoe UI" w:hAnsi="Segoe UI" w:cs="Segoe UI"/>
        </w:rPr>
      </w:pPr>
      <w:r w:rsidRPr="00CC3EBC">
        <w:rPr>
          <w:rFonts w:ascii="Segoe UI" w:hAnsi="Segoe UI" w:cs="Segoe UI"/>
        </w:rPr>
        <w:t>Filters: Users can filter data by jurisdiction, income level, tenure (owner vs. renter), and project approval method (SB 35, deed-restricted, infill, etc.).</w:t>
      </w:r>
    </w:p>
    <w:p w14:paraId="5A946FCC" w14:textId="389E2908" w:rsidR="00CC3EBC" w:rsidRPr="00CC3EBC" w:rsidRDefault="00CC3EBC" w:rsidP="00A24640">
      <w:pPr>
        <w:spacing w:after="0" w:line="276" w:lineRule="auto"/>
        <w:rPr>
          <w:rFonts w:ascii="Segoe UI" w:hAnsi="Segoe UI" w:cs="Segoe UI"/>
        </w:rPr>
      </w:pPr>
      <w:r w:rsidRPr="00CC3EBC">
        <w:rPr>
          <w:rFonts w:ascii="Segoe UI" w:hAnsi="Segoe UI" w:cs="Segoe UI"/>
        </w:rPr>
        <w:t>Sources:</w:t>
      </w:r>
    </w:p>
    <w:p w14:paraId="0B91C013" w14:textId="77777777" w:rsidR="00CC3EBC" w:rsidRPr="00CC3EBC" w:rsidRDefault="00CC3EBC" w:rsidP="00A24640">
      <w:pPr>
        <w:numPr>
          <w:ilvl w:val="0"/>
          <w:numId w:val="2"/>
        </w:numPr>
        <w:spacing w:after="0" w:line="276" w:lineRule="auto"/>
        <w:rPr>
          <w:rFonts w:ascii="Segoe UI" w:hAnsi="Segoe UI" w:cs="Segoe UI"/>
        </w:rPr>
      </w:pPr>
      <w:r w:rsidRPr="00CC3EBC">
        <w:rPr>
          <w:rFonts w:ascii="Segoe UI" w:hAnsi="Segoe UI" w:cs="Segoe UI"/>
        </w:rPr>
        <w:t>California Department of Housing and Community Development (HCD) Annual Progress Reports (APR) 2018–2023</w:t>
      </w:r>
    </w:p>
    <w:p w14:paraId="71826002" w14:textId="77777777" w:rsidR="00CC3EBC" w:rsidRDefault="00CC3EBC" w:rsidP="00A24640">
      <w:pPr>
        <w:numPr>
          <w:ilvl w:val="1"/>
          <w:numId w:val="2"/>
        </w:numPr>
        <w:spacing w:after="0" w:line="276" w:lineRule="auto"/>
        <w:rPr>
          <w:rFonts w:ascii="Segoe UI" w:hAnsi="Segoe UI" w:cs="Segoe UI"/>
        </w:rPr>
      </w:pPr>
      <w:r w:rsidRPr="00CC3EBC">
        <w:rPr>
          <w:rFonts w:ascii="Segoe UI" w:hAnsi="Segoe UI" w:cs="Segoe UI"/>
        </w:rPr>
        <w:t>Local jurisdiction reporting</w:t>
      </w:r>
    </w:p>
    <w:p w14:paraId="115B77FE" w14:textId="77777777" w:rsidR="00CC3EBC" w:rsidRPr="00CC3EBC" w:rsidRDefault="00CC3EBC" w:rsidP="00A24640">
      <w:pPr>
        <w:spacing w:after="0" w:line="276" w:lineRule="auto"/>
        <w:rPr>
          <w:rFonts w:ascii="Segoe UI" w:hAnsi="Segoe UI" w:cs="Segoe UI"/>
        </w:rPr>
      </w:pPr>
    </w:p>
    <w:p w14:paraId="16C640BD" w14:textId="777C651B" w:rsidR="00CC3EBC" w:rsidRPr="00A308AE" w:rsidRDefault="00CC3EBC" w:rsidP="00A24640">
      <w:pPr>
        <w:pStyle w:val="ListParagraph"/>
        <w:numPr>
          <w:ilvl w:val="0"/>
          <w:numId w:val="13"/>
        </w:numPr>
        <w:spacing w:after="0" w:line="276" w:lineRule="auto"/>
        <w:rPr>
          <w:rFonts w:ascii="Segoe UI" w:hAnsi="Segoe UI" w:cs="Segoe UI"/>
          <w:b/>
          <w:bCs/>
        </w:rPr>
      </w:pPr>
      <w:r w:rsidRPr="00A308AE">
        <w:rPr>
          <w:rFonts w:ascii="Segoe UI" w:hAnsi="Segoe UI" w:cs="Segoe UI"/>
          <w:b/>
          <w:bCs/>
        </w:rPr>
        <w:t>Regional Housing Needs Allocation (RHNA) Progress</w:t>
      </w:r>
    </w:p>
    <w:p w14:paraId="0460251C" w14:textId="60493593" w:rsidR="00A308AE" w:rsidRPr="00A308AE" w:rsidRDefault="00A308AE" w:rsidP="00A24640">
      <w:pPr>
        <w:spacing w:after="0" w:line="276" w:lineRule="auto"/>
        <w:rPr>
          <w:rFonts w:ascii="Segoe UI" w:hAnsi="Segoe UI" w:cs="Segoe UI"/>
          <w:i/>
          <w:iCs/>
        </w:rPr>
      </w:pPr>
      <w:hyperlink r:id="rId6" w:history="1">
        <w:r w:rsidRPr="00A308AE">
          <w:rPr>
            <w:rStyle w:val="Hyperlink"/>
            <w:rFonts w:ascii="Segoe UI" w:hAnsi="Segoe UI" w:cs="Segoe UI"/>
            <w:i/>
            <w:iCs/>
          </w:rPr>
          <w:t>RHNA.xlsx</w:t>
        </w:r>
      </w:hyperlink>
    </w:p>
    <w:p w14:paraId="4EAE5B1E" w14:textId="6DBE6848" w:rsidR="00CC3EBC" w:rsidRPr="00CC3EBC" w:rsidRDefault="00CC3EBC" w:rsidP="00A24640">
      <w:pPr>
        <w:spacing w:after="0" w:line="276" w:lineRule="auto"/>
        <w:rPr>
          <w:rFonts w:ascii="Segoe UI" w:hAnsi="Segoe UI" w:cs="Segoe UI"/>
        </w:rPr>
      </w:pPr>
      <w:r w:rsidRPr="00CC3EBC">
        <w:rPr>
          <w:rFonts w:ascii="Segoe UI" w:hAnsi="Segoe UI" w:cs="Segoe UI"/>
        </w:rPr>
        <w:t>Tracks housing production progress towards RHNA targets for the 5th cycle (2013–2022) and the 6th cycle (2023–2031).</w:t>
      </w:r>
    </w:p>
    <w:p w14:paraId="11EA5A2E" w14:textId="77777777" w:rsidR="00CC3EBC" w:rsidRPr="00CC3EBC" w:rsidRDefault="00CC3EBC" w:rsidP="00A24640">
      <w:pPr>
        <w:numPr>
          <w:ilvl w:val="0"/>
          <w:numId w:val="3"/>
        </w:numPr>
        <w:spacing w:after="0" w:line="276" w:lineRule="auto"/>
        <w:rPr>
          <w:rFonts w:ascii="Segoe UI" w:hAnsi="Segoe UI" w:cs="Segoe UI"/>
        </w:rPr>
      </w:pPr>
      <w:r w:rsidRPr="00CC3EBC">
        <w:rPr>
          <w:rFonts w:ascii="Segoe UI" w:hAnsi="Segoe UI" w:cs="Segoe UI"/>
        </w:rPr>
        <w:t>5th Cycle Results: Displays final housing production totals across income levels.</w:t>
      </w:r>
    </w:p>
    <w:p w14:paraId="669246BD" w14:textId="2EB8D831" w:rsidR="00CC3EBC" w:rsidRPr="00AB3360" w:rsidRDefault="00CC3EBC" w:rsidP="00A24640">
      <w:pPr>
        <w:numPr>
          <w:ilvl w:val="0"/>
          <w:numId w:val="3"/>
        </w:numPr>
        <w:spacing w:after="0" w:line="276" w:lineRule="auto"/>
        <w:rPr>
          <w:rFonts w:ascii="Segoe UI" w:hAnsi="Segoe UI" w:cs="Segoe UI"/>
        </w:rPr>
      </w:pPr>
      <w:r w:rsidRPr="00CC3EBC">
        <w:rPr>
          <w:rFonts w:ascii="Segoe UI" w:hAnsi="Segoe UI" w:cs="Segoe UI"/>
        </w:rPr>
        <w:lastRenderedPageBreak/>
        <w:t xml:space="preserve">6th Cycle Progress: Shows housing production trends, with </w:t>
      </w:r>
      <w:r w:rsidRPr="00CC3EBC">
        <w:rPr>
          <w:rFonts w:ascii="Segoe UI" w:hAnsi="Segoe UI" w:cs="Segoe UI"/>
        </w:rPr>
        <w:t>quarterly</w:t>
      </w:r>
      <w:r w:rsidRPr="00CC3EBC">
        <w:rPr>
          <w:rFonts w:ascii="Segoe UI" w:hAnsi="Segoe UI" w:cs="Segoe UI"/>
        </w:rPr>
        <w:t xml:space="preserve"> updates as jurisdictions meet their targets.</w:t>
      </w:r>
      <w:r w:rsidRPr="00CC3EBC">
        <w:rPr>
          <w:rFonts w:ascii="Segoe UI" w:hAnsi="Segoe UI" w:cs="Segoe UI"/>
        </w:rPr>
        <w:t xml:space="preserve"> </w:t>
      </w:r>
      <w:r w:rsidRPr="00CC3EBC">
        <w:rPr>
          <w:rFonts w:ascii="Segoe UI" w:hAnsi="Segoe UI" w:cs="Segoe UI"/>
          <w:i/>
          <w:iCs/>
        </w:rPr>
        <w:t>(last update 2/18/25)</w:t>
      </w:r>
    </w:p>
    <w:p w14:paraId="02CFC001" w14:textId="14AB93B1" w:rsidR="00AB3360" w:rsidRPr="00AB3360" w:rsidRDefault="00AB3360" w:rsidP="00A24640">
      <w:pPr>
        <w:spacing w:after="0" w:line="276" w:lineRule="auto"/>
        <w:rPr>
          <w:rFonts w:ascii="Segoe UI" w:hAnsi="Segoe UI" w:cs="Segoe UI"/>
        </w:rPr>
      </w:pPr>
      <w:r w:rsidRPr="00AB3360">
        <w:rPr>
          <w:rFonts w:ascii="Segoe UI" w:hAnsi="Segoe UI" w:cs="Segoe UI"/>
        </w:rPr>
        <w:t>Filters</w:t>
      </w:r>
      <w:r w:rsidRPr="00AB3360">
        <w:rPr>
          <w:rFonts w:ascii="Segoe UI" w:hAnsi="Segoe UI" w:cs="Segoe UI"/>
        </w:rPr>
        <w:t xml:space="preserve">: </w:t>
      </w:r>
      <w:r>
        <w:rPr>
          <w:rFonts w:ascii="Segoe UI" w:hAnsi="Segoe UI" w:cs="Segoe UI"/>
        </w:rPr>
        <w:t>Users</w:t>
      </w:r>
      <w:r w:rsidRPr="00AB3360">
        <w:rPr>
          <w:rFonts w:ascii="Segoe UI" w:hAnsi="Segoe UI" w:cs="Segoe UI"/>
        </w:rPr>
        <w:t xml:space="preserve"> can filter data by </w:t>
      </w:r>
      <w:r w:rsidRPr="00AB3360">
        <w:rPr>
          <w:rFonts w:ascii="Segoe UI" w:hAnsi="Segoe UI" w:cs="Segoe UI"/>
        </w:rPr>
        <w:t xml:space="preserve">SBCAG </w:t>
      </w:r>
      <w:r w:rsidRPr="00AB3360">
        <w:rPr>
          <w:rFonts w:ascii="Segoe UI" w:hAnsi="Segoe UI" w:cs="Segoe UI"/>
        </w:rPr>
        <w:t>jurisdiction</w:t>
      </w:r>
      <w:r w:rsidRPr="00AB3360">
        <w:rPr>
          <w:rFonts w:ascii="Segoe UI" w:hAnsi="Segoe UI" w:cs="Segoe UI"/>
        </w:rPr>
        <w:t xml:space="preserve">. </w:t>
      </w:r>
      <w:r w:rsidRPr="00AB3360">
        <w:rPr>
          <w:rFonts w:ascii="Segoe UI" w:hAnsi="Segoe UI" w:cs="Segoe UI"/>
        </w:rPr>
        <w:t>If you want countywide totals, clear all filters before analyzing the data. Selecting multiple locations will combine their totals for a cumulative view.</w:t>
      </w:r>
    </w:p>
    <w:p w14:paraId="14B0AB10" w14:textId="048216A9" w:rsidR="00CC3EBC" w:rsidRPr="00CC3EBC" w:rsidRDefault="00CC3EBC" w:rsidP="00A24640">
      <w:pPr>
        <w:spacing w:after="0" w:line="276" w:lineRule="auto"/>
        <w:rPr>
          <w:rFonts w:ascii="Segoe UI" w:hAnsi="Segoe UI" w:cs="Segoe UI"/>
        </w:rPr>
      </w:pPr>
      <w:r w:rsidRPr="00CC3EBC">
        <w:rPr>
          <w:rFonts w:ascii="Segoe UI" w:hAnsi="Segoe UI" w:cs="Segoe UI"/>
        </w:rPr>
        <w:t>Sources:</w:t>
      </w:r>
    </w:p>
    <w:p w14:paraId="6ED7C535" w14:textId="7B4936BA" w:rsidR="00CC3EBC" w:rsidRDefault="00CC3EBC" w:rsidP="00A24640">
      <w:pPr>
        <w:numPr>
          <w:ilvl w:val="0"/>
          <w:numId w:val="4"/>
        </w:numPr>
        <w:spacing w:after="0" w:line="276" w:lineRule="auto"/>
        <w:rPr>
          <w:rFonts w:ascii="Segoe UI" w:hAnsi="Segoe UI" w:cs="Segoe UI"/>
        </w:rPr>
      </w:pPr>
      <w:r w:rsidRPr="00CC3EBC">
        <w:rPr>
          <w:rFonts w:ascii="Segoe UI" w:hAnsi="Segoe UI" w:cs="Segoe UI"/>
        </w:rPr>
        <w:t>California Department of Housing and Community Development (HCD)</w:t>
      </w:r>
    </w:p>
    <w:p w14:paraId="788522E8" w14:textId="77777777" w:rsidR="00CC3EBC" w:rsidRPr="00CC3EBC" w:rsidRDefault="00CC3EBC" w:rsidP="00A24640">
      <w:pPr>
        <w:spacing w:after="0" w:line="276" w:lineRule="auto"/>
        <w:ind w:left="720"/>
        <w:rPr>
          <w:rFonts w:ascii="Segoe UI" w:hAnsi="Segoe UI" w:cs="Segoe UI"/>
        </w:rPr>
      </w:pPr>
    </w:p>
    <w:p w14:paraId="669B2D5B" w14:textId="688C9BA8" w:rsidR="00CC3EBC" w:rsidRPr="00A308AE" w:rsidRDefault="00CC3EBC" w:rsidP="00A24640">
      <w:pPr>
        <w:pStyle w:val="ListParagraph"/>
        <w:numPr>
          <w:ilvl w:val="0"/>
          <w:numId w:val="13"/>
        </w:numPr>
        <w:spacing w:after="0" w:line="276" w:lineRule="auto"/>
        <w:rPr>
          <w:rFonts w:ascii="Segoe UI" w:hAnsi="Segoe UI" w:cs="Segoe UI"/>
          <w:b/>
          <w:bCs/>
        </w:rPr>
      </w:pPr>
      <w:r w:rsidRPr="00A308AE">
        <w:rPr>
          <w:rFonts w:ascii="Segoe UI" w:hAnsi="Segoe UI" w:cs="Segoe UI"/>
          <w:b/>
          <w:bCs/>
        </w:rPr>
        <w:t>Housing Affordability</w:t>
      </w:r>
    </w:p>
    <w:p w14:paraId="0CC123F1" w14:textId="0254427F" w:rsidR="00A308AE" w:rsidRPr="00A308AE" w:rsidRDefault="00A308AE" w:rsidP="00A24640">
      <w:pPr>
        <w:spacing w:after="0" w:line="276" w:lineRule="auto"/>
        <w:rPr>
          <w:rFonts w:ascii="Segoe UI" w:hAnsi="Segoe UI" w:cs="Segoe UI"/>
          <w:i/>
          <w:iCs/>
        </w:rPr>
      </w:pPr>
      <w:hyperlink r:id="rId7" w:history="1">
        <w:r w:rsidRPr="00A308AE">
          <w:rPr>
            <w:rStyle w:val="Hyperlink"/>
            <w:rFonts w:ascii="Segoe UI" w:hAnsi="Segoe UI" w:cs="Segoe UI"/>
            <w:i/>
            <w:iCs/>
          </w:rPr>
          <w:t>Affordability</w:t>
        </w:r>
        <w:r w:rsidRPr="00A308AE">
          <w:rPr>
            <w:rStyle w:val="Hyperlink"/>
            <w:rFonts w:ascii="Segoe UI" w:hAnsi="Segoe UI" w:cs="Segoe UI"/>
            <w:i/>
            <w:iCs/>
          </w:rPr>
          <w:t>.xlsx</w:t>
        </w:r>
      </w:hyperlink>
    </w:p>
    <w:p w14:paraId="1AA0CC8A" w14:textId="1F5675F2" w:rsidR="00CC3EBC" w:rsidRPr="00CC3EBC" w:rsidRDefault="00CC3EBC" w:rsidP="00A24640">
      <w:pPr>
        <w:numPr>
          <w:ilvl w:val="0"/>
          <w:numId w:val="5"/>
        </w:numPr>
        <w:spacing w:after="0" w:line="276" w:lineRule="auto"/>
        <w:rPr>
          <w:rFonts w:ascii="Segoe UI" w:hAnsi="Segoe UI" w:cs="Segoe UI"/>
        </w:rPr>
      </w:pPr>
      <w:r w:rsidRPr="00CC3EBC">
        <w:rPr>
          <w:rFonts w:ascii="Segoe UI" w:hAnsi="Segoe UI" w:cs="Segoe UI"/>
        </w:rPr>
        <w:t>Median Rent &amp; Owner Costs: Displays the average rental and ownership costs (including mortgage payments).</w:t>
      </w:r>
      <w:r w:rsidR="00A24640">
        <w:rPr>
          <w:rFonts w:ascii="Segoe UI" w:hAnsi="Segoe UI" w:cs="Segoe UI"/>
        </w:rPr>
        <w:t xml:space="preserve"> This data comes from ACS 2023 5-year estimates and is dynamic at the place (CDP) level.</w:t>
      </w:r>
    </w:p>
    <w:p w14:paraId="25D39A4F" w14:textId="73E1C4DE" w:rsidR="00CC3EBC" w:rsidRPr="00CC3EBC" w:rsidRDefault="00CC3EBC" w:rsidP="00A24640">
      <w:pPr>
        <w:numPr>
          <w:ilvl w:val="0"/>
          <w:numId w:val="5"/>
        </w:numPr>
        <w:spacing w:after="0" w:line="276" w:lineRule="auto"/>
        <w:rPr>
          <w:rFonts w:ascii="Segoe UI" w:hAnsi="Segoe UI" w:cs="Segoe UI"/>
        </w:rPr>
      </w:pPr>
      <w:r w:rsidRPr="00CC3EBC">
        <w:rPr>
          <w:rFonts w:ascii="Segoe UI" w:hAnsi="Segoe UI" w:cs="Segoe UI"/>
        </w:rPr>
        <w:t>Cost Burden by Income: Highlights the percentage of renters and homeowners spending &gt;30% or &gt;50% of income on housing.</w:t>
      </w:r>
      <w:r w:rsidR="00A24640">
        <w:rPr>
          <w:rFonts w:ascii="Segoe UI" w:hAnsi="Segoe UI" w:cs="Segoe UI"/>
        </w:rPr>
        <w:t xml:space="preserve"> This data comes from HUD CHAS Data and uses $90,100 as the HAMFI figure. </w:t>
      </w:r>
    </w:p>
    <w:p w14:paraId="3081EF96" w14:textId="77777777" w:rsidR="00A24640" w:rsidRDefault="00CC3EBC" w:rsidP="00A24640">
      <w:pPr>
        <w:numPr>
          <w:ilvl w:val="0"/>
          <w:numId w:val="5"/>
        </w:numPr>
        <w:spacing w:after="0" w:line="276" w:lineRule="auto"/>
        <w:rPr>
          <w:rFonts w:ascii="Segoe UI" w:hAnsi="Segoe UI" w:cs="Segoe UI"/>
        </w:rPr>
      </w:pPr>
      <w:r w:rsidRPr="00CC3EBC">
        <w:rPr>
          <w:rFonts w:ascii="Segoe UI" w:hAnsi="Segoe UI" w:cs="Segoe UI"/>
        </w:rPr>
        <w:t xml:space="preserve">Countywide Income Thresholds: Categorizes affordability levels (Very Low, Low, Moderate, and Above </w:t>
      </w:r>
      <w:r w:rsidRPr="00CC3EBC">
        <w:rPr>
          <w:rFonts w:ascii="Segoe UI" w:hAnsi="Segoe UI" w:cs="Segoe UI"/>
        </w:rPr>
        <w:t>Moderate-Income</w:t>
      </w:r>
      <w:r w:rsidRPr="00CC3EBC">
        <w:rPr>
          <w:rFonts w:ascii="Segoe UI" w:hAnsi="Segoe UI" w:cs="Segoe UI"/>
        </w:rPr>
        <w:t xml:space="preserve"> groups)</w:t>
      </w:r>
      <w:r w:rsidR="00A24640">
        <w:rPr>
          <w:rFonts w:ascii="Segoe UI" w:hAnsi="Segoe UI" w:cs="Segoe UI"/>
        </w:rPr>
        <w:t xml:space="preserve"> using SBCAG’s RHNA Income Threshold Calculations. </w:t>
      </w:r>
    </w:p>
    <w:p w14:paraId="41D389D0" w14:textId="06561C22" w:rsidR="00CC3EBC" w:rsidRPr="00A24640" w:rsidRDefault="00A24640" w:rsidP="00A24640">
      <w:pPr>
        <w:numPr>
          <w:ilvl w:val="1"/>
          <w:numId w:val="5"/>
        </w:numPr>
        <w:spacing w:after="0" w:line="276" w:lineRule="auto"/>
        <w:rPr>
          <w:rFonts w:ascii="Segoe UI" w:hAnsi="Segoe UI" w:cs="Segoe UI"/>
        </w:rPr>
      </w:pPr>
      <w:r w:rsidRPr="00A24640">
        <w:rPr>
          <w:rFonts w:ascii="Segoe UI" w:hAnsi="Segoe UI" w:cs="Segoe UI"/>
        </w:rPr>
        <w:t>The Very Low-Income category includes households earning 50% or less of the AMI. Low-Income households earn between 50% and 80% of the AMI. Moderate-Income households earn between 80% and 120% of the AMI. Above Moderate-Income households earn more than 120% of the AMI.</w:t>
      </w:r>
    </w:p>
    <w:p w14:paraId="2ACE766D" w14:textId="154DB6E2" w:rsidR="00AB3360" w:rsidRDefault="00AB3360" w:rsidP="00A24640">
      <w:pPr>
        <w:spacing w:after="0" w:line="276" w:lineRule="auto"/>
        <w:rPr>
          <w:rFonts w:ascii="Segoe UI" w:hAnsi="Segoe UI" w:cs="Segoe UI"/>
        </w:rPr>
      </w:pPr>
      <w:r>
        <w:rPr>
          <w:rFonts w:ascii="Segoe UI" w:hAnsi="Segoe UI" w:cs="Segoe UI"/>
        </w:rPr>
        <w:t xml:space="preserve">Filters: Users can select by CDP. </w:t>
      </w:r>
    </w:p>
    <w:p w14:paraId="0A765EE8" w14:textId="6791DEEB" w:rsidR="00AB3360" w:rsidRDefault="00AB3360" w:rsidP="00A24640">
      <w:pPr>
        <w:pStyle w:val="ListParagraph"/>
        <w:numPr>
          <w:ilvl w:val="0"/>
          <w:numId w:val="12"/>
        </w:numPr>
        <w:spacing w:after="0" w:line="276" w:lineRule="auto"/>
        <w:rPr>
          <w:rFonts w:ascii="Segoe UI" w:hAnsi="Segoe UI" w:cs="Segoe UI"/>
        </w:rPr>
      </w:pPr>
      <w:r w:rsidRPr="00AB3360">
        <w:rPr>
          <w:rFonts w:ascii="Segoe UI" w:hAnsi="Segoe UI" w:cs="Segoe UI"/>
        </w:rPr>
        <w:t xml:space="preserve">A CDP is a geographic area defined by the U.S. Census Bureau that represents unincorporated communities. </w:t>
      </w:r>
    </w:p>
    <w:p w14:paraId="3305AA84" w14:textId="29A718FD" w:rsidR="00AB3360" w:rsidRPr="00AB3360" w:rsidRDefault="00AB3360" w:rsidP="00A24640">
      <w:pPr>
        <w:pStyle w:val="ListParagraph"/>
        <w:numPr>
          <w:ilvl w:val="1"/>
          <w:numId w:val="12"/>
        </w:numPr>
        <w:spacing w:after="0" w:line="276" w:lineRule="auto"/>
        <w:rPr>
          <w:rFonts w:ascii="Segoe UI" w:hAnsi="Segoe UI" w:cs="Segoe UI"/>
        </w:rPr>
      </w:pPr>
      <w:r w:rsidRPr="00AB3360">
        <w:rPr>
          <w:rFonts w:ascii="Segoe UI" w:hAnsi="Segoe UI" w:cs="Segoe UI"/>
        </w:rPr>
        <w:t xml:space="preserve"> If you want countywide totals, clear all filters before analyzing the data. Selecting multiple locations will combine their totals for a cumulative view.</w:t>
      </w:r>
    </w:p>
    <w:p w14:paraId="6B5AC47B" w14:textId="0E224F47" w:rsidR="00CC3EBC" w:rsidRPr="00CC3EBC" w:rsidRDefault="00CC3EBC" w:rsidP="00A24640">
      <w:pPr>
        <w:spacing w:after="0" w:line="276" w:lineRule="auto"/>
        <w:rPr>
          <w:rFonts w:ascii="Segoe UI" w:hAnsi="Segoe UI" w:cs="Segoe UI"/>
        </w:rPr>
      </w:pPr>
      <w:r w:rsidRPr="00CC3EBC">
        <w:rPr>
          <w:rFonts w:ascii="Segoe UI" w:hAnsi="Segoe UI" w:cs="Segoe UI"/>
        </w:rPr>
        <w:t>Sources:</w:t>
      </w:r>
    </w:p>
    <w:p w14:paraId="14308D4F" w14:textId="77777777" w:rsidR="00CC3EBC" w:rsidRPr="00CC3EBC" w:rsidRDefault="00CC3EBC" w:rsidP="00A24640">
      <w:pPr>
        <w:numPr>
          <w:ilvl w:val="0"/>
          <w:numId w:val="6"/>
        </w:numPr>
        <w:spacing w:after="0" w:line="276" w:lineRule="auto"/>
        <w:rPr>
          <w:rFonts w:ascii="Segoe UI" w:hAnsi="Segoe UI" w:cs="Segoe UI"/>
        </w:rPr>
      </w:pPr>
      <w:r w:rsidRPr="00CC3EBC">
        <w:rPr>
          <w:rFonts w:ascii="Segoe UI" w:hAnsi="Segoe UI" w:cs="Segoe UI"/>
        </w:rPr>
        <w:t>U.S. Census Bureau, American Community Survey (ACS) 2023 5-Year Estimates</w:t>
      </w:r>
    </w:p>
    <w:p w14:paraId="25A9D576" w14:textId="77777777" w:rsidR="00CC3EBC" w:rsidRDefault="00CC3EBC" w:rsidP="00A24640">
      <w:pPr>
        <w:numPr>
          <w:ilvl w:val="0"/>
          <w:numId w:val="6"/>
        </w:numPr>
        <w:spacing w:after="0" w:line="276" w:lineRule="auto"/>
        <w:rPr>
          <w:rFonts w:ascii="Segoe UI" w:hAnsi="Segoe UI" w:cs="Segoe UI"/>
        </w:rPr>
      </w:pPr>
      <w:r w:rsidRPr="00CC3EBC">
        <w:rPr>
          <w:rFonts w:ascii="Segoe UI" w:hAnsi="Segoe UI" w:cs="Segoe UI"/>
        </w:rPr>
        <w:t>HUD Comprehensive Housing Affordability Strategy (CHAS) 2017–2021</w:t>
      </w:r>
    </w:p>
    <w:p w14:paraId="22471A8D" w14:textId="77777777" w:rsidR="00AB3360" w:rsidRPr="00CC3EBC" w:rsidRDefault="00AB3360" w:rsidP="00A24640">
      <w:pPr>
        <w:spacing w:after="0" w:line="276" w:lineRule="auto"/>
        <w:ind w:left="720"/>
        <w:rPr>
          <w:rFonts w:ascii="Segoe UI" w:hAnsi="Segoe UI" w:cs="Segoe UI"/>
        </w:rPr>
      </w:pPr>
    </w:p>
    <w:p w14:paraId="55F3F521" w14:textId="15E25E62" w:rsidR="00CC3EBC" w:rsidRPr="00A308AE" w:rsidRDefault="00CC3EBC" w:rsidP="00A24640">
      <w:pPr>
        <w:pStyle w:val="ListParagraph"/>
        <w:numPr>
          <w:ilvl w:val="0"/>
          <w:numId w:val="13"/>
        </w:numPr>
        <w:spacing w:after="0" w:line="276" w:lineRule="auto"/>
        <w:rPr>
          <w:rFonts w:ascii="Segoe UI" w:hAnsi="Segoe UI" w:cs="Segoe UI"/>
          <w:b/>
          <w:bCs/>
        </w:rPr>
      </w:pPr>
      <w:r w:rsidRPr="00A308AE">
        <w:rPr>
          <w:rFonts w:ascii="Segoe UI" w:hAnsi="Segoe UI" w:cs="Segoe UI"/>
          <w:b/>
          <w:bCs/>
        </w:rPr>
        <w:t>Housing Availability</w:t>
      </w:r>
    </w:p>
    <w:p w14:paraId="3A276F37" w14:textId="2AB4E2C9" w:rsidR="00A308AE" w:rsidRPr="00A308AE" w:rsidRDefault="00A308AE" w:rsidP="00A24640">
      <w:pPr>
        <w:spacing w:after="0" w:line="276" w:lineRule="auto"/>
        <w:rPr>
          <w:rFonts w:ascii="Segoe UI" w:hAnsi="Segoe UI" w:cs="Segoe UI"/>
          <w:i/>
          <w:iCs/>
        </w:rPr>
      </w:pPr>
      <w:hyperlink r:id="rId8" w:history="1">
        <w:r w:rsidRPr="00A308AE">
          <w:rPr>
            <w:rStyle w:val="Hyperlink"/>
            <w:rFonts w:ascii="Segoe UI" w:hAnsi="Segoe UI" w:cs="Segoe UI"/>
            <w:i/>
            <w:iCs/>
          </w:rPr>
          <w:t>Availability.xlsx</w:t>
        </w:r>
      </w:hyperlink>
    </w:p>
    <w:p w14:paraId="0B0FCC3B" w14:textId="40052492" w:rsidR="00CC3EBC" w:rsidRPr="00CC3EBC" w:rsidRDefault="00CC3EBC" w:rsidP="00A24640">
      <w:pPr>
        <w:spacing w:after="0" w:line="276" w:lineRule="auto"/>
        <w:rPr>
          <w:rFonts w:ascii="Segoe UI" w:hAnsi="Segoe UI" w:cs="Segoe UI"/>
        </w:rPr>
      </w:pPr>
      <w:r w:rsidRPr="00CC3EBC">
        <w:rPr>
          <w:rFonts w:ascii="Segoe UI" w:hAnsi="Segoe UI" w:cs="Segoe UI"/>
        </w:rPr>
        <w:t>Examines occupancy, vacancy rates, and overcrowding trends using recent data.</w:t>
      </w:r>
    </w:p>
    <w:p w14:paraId="781AB3B8" w14:textId="77777777" w:rsidR="00CC3EBC" w:rsidRPr="00CC3EBC" w:rsidRDefault="00CC3EBC" w:rsidP="00A24640">
      <w:pPr>
        <w:numPr>
          <w:ilvl w:val="0"/>
          <w:numId w:val="7"/>
        </w:numPr>
        <w:spacing w:after="0" w:line="276" w:lineRule="auto"/>
        <w:rPr>
          <w:rFonts w:ascii="Segoe UI" w:hAnsi="Segoe UI" w:cs="Segoe UI"/>
        </w:rPr>
      </w:pPr>
      <w:r w:rsidRPr="00CC3EBC">
        <w:rPr>
          <w:rFonts w:ascii="Segoe UI" w:hAnsi="Segoe UI" w:cs="Segoe UI"/>
        </w:rPr>
        <w:lastRenderedPageBreak/>
        <w:t>Renter vs. Owner-Occupied Units: Shows housing tenure across jurisdictions and Census-Designated Places (CDPs).</w:t>
      </w:r>
    </w:p>
    <w:p w14:paraId="336D9434" w14:textId="77777777" w:rsidR="00CC3EBC" w:rsidRPr="00CC3EBC" w:rsidRDefault="00CC3EBC" w:rsidP="00A24640">
      <w:pPr>
        <w:numPr>
          <w:ilvl w:val="0"/>
          <w:numId w:val="7"/>
        </w:numPr>
        <w:spacing w:after="0" w:line="276" w:lineRule="auto"/>
        <w:rPr>
          <w:rFonts w:ascii="Segoe UI" w:hAnsi="Segoe UI" w:cs="Segoe UI"/>
        </w:rPr>
      </w:pPr>
      <w:r w:rsidRPr="00CC3EBC">
        <w:rPr>
          <w:rFonts w:ascii="Segoe UI" w:hAnsi="Segoe UI" w:cs="Segoe UI"/>
        </w:rPr>
        <w:t>Vacancy Rates: Differentiates between occupied and vacant housing units.</w:t>
      </w:r>
    </w:p>
    <w:p w14:paraId="0DDB5A32" w14:textId="77777777" w:rsidR="00CC3EBC" w:rsidRDefault="00CC3EBC" w:rsidP="00A24640">
      <w:pPr>
        <w:numPr>
          <w:ilvl w:val="0"/>
          <w:numId w:val="7"/>
        </w:numPr>
        <w:spacing w:after="0" w:line="276" w:lineRule="auto"/>
        <w:rPr>
          <w:rFonts w:ascii="Segoe UI" w:hAnsi="Segoe UI" w:cs="Segoe UI"/>
        </w:rPr>
      </w:pPr>
      <w:r w:rsidRPr="00CC3EBC">
        <w:rPr>
          <w:rFonts w:ascii="Segoe UI" w:hAnsi="Segoe UI" w:cs="Segoe UI"/>
        </w:rPr>
        <w:t>Overcrowding Analysis: Identifies housing units with &gt;1.01 occupants per room and severely overcrowded units (&gt;1.51 occupants per room).</w:t>
      </w:r>
    </w:p>
    <w:p w14:paraId="15B83F9E" w14:textId="77777777" w:rsidR="00AB3360" w:rsidRDefault="00AB3360" w:rsidP="00A24640">
      <w:pPr>
        <w:spacing w:after="0" w:line="276" w:lineRule="auto"/>
        <w:rPr>
          <w:rFonts w:ascii="Segoe UI" w:hAnsi="Segoe UI" w:cs="Segoe UI"/>
        </w:rPr>
      </w:pPr>
      <w:r>
        <w:rPr>
          <w:rFonts w:ascii="Segoe UI" w:hAnsi="Segoe UI" w:cs="Segoe UI"/>
        </w:rPr>
        <w:t xml:space="preserve">Filters: Users can select by CDP. </w:t>
      </w:r>
    </w:p>
    <w:p w14:paraId="586D5867" w14:textId="77777777" w:rsidR="00AB3360" w:rsidRDefault="00AB3360" w:rsidP="00A24640">
      <w:pPr>
        <w:pStyle w:val="ListParagraph"/>
        <w:numPr>
          <w:ilvl w:val="0"/>
          <w:numId w:val="12"/>
        </w:numPr>
        <w:spacing w:after="0" w:line="276" w:lineRule="auto"/>
        <w:rPr>
          <w:rFonts w:ascii="Segoe UI" w:hAnsi="Segoe UI" w:cs="Segoe UI"/>
        </w:rPr>
      </w:pPr>
      <w:r w:rsidRPr="00AB3360">
        <w:rPr>
          <w:rFonts w:ascii="Segoe UI" w:hAnsi="Segoe UI" w:cs="Segoe UI"/>
        </w:rPr>
        <w:t xml:space="preserve">A CDP is a geographic area defined by the U.S. Census Bureau that represents unincorporated communities. </w:t>
      </w:r>
    </w:p>
    <w:p w14:paraId="1DA9CA07" w14:textId="43757E6D" w:rsidR="00AB3360" w:rsidRPr="00AB3360" w:rsidRDefault="00AB3360" w:rsidP="00A24640">
      <w:pPr>
        <w:pStyle w:val="ListParagraph"/>
        <w:numPr>
          <w:ilvl w:val="1"/>
          <w:numId w:val="12"/>
        </w:numPr>
        <w:spacing w:after="0" w:line="276" w:lineRule="auto"/>
        <w:rPr>
          <w:rFonts w:ascii="Segoe UI" w:hAnsi="Segoe UI" w:cs="Segoe UI"/>
        </w:rPr>
      </w:pPr>
      <w:r w:rsidRPr="00AB3360">
        <w:rPr>
          <w:rFonts w:ascii="Segoe UI" w:hAnsi="Segoe UI" w:cs="Segoe UI"/>
        </w:rPr>
        <w:t xml:space="preserve"> If you want countywide totals, clear all filters before analyzing the data. Selecting multiple locations will combine their totals for a cumulative view.</w:t>
      </w:r>
    </w:p>
    <w:p w14:paraId="331FF8B2" w14:textId="2058C19E" w:rsidR="00CC3EBC" w:rsidRPr="00CC3EBC" w:rsidRDefault="00CC3EBC" w:rsidP="00A24640">
      <w:pPr>
        <w:spacing w:after="0" w:line="276" w:lineRule="auto"/>
        <w:rPr>
          <w:rFonts w:ascii="Segoe UI" w:hAnsi="Segoe UI" w:cs="Segoe UI"/>
        </w:rPr>
      </w:pPr>
      <w:r w:rsidRPr="00CC3EBC">
        <w:rPr>
          <w:rFonts w:ascii="Segoe UI" w:hAnsi="Segoe UI" w:cs="Segoe UI"/>
        </w:rPr>
        <w:t>Sources:</w:t>
      </w:r>
    </w:p>
    <w:p w14:paraId="6C9497E8" w14:textId="77777777" w:rsidR="00CC3EBC" w:rsidRDefault="00CC3EBC" w:rsidP="00A24640">
      <w:pPr>
        <w:numPr>
          <w:ilvl w:val="0"/>
          <w:numId w:val="8"/>
        </w:numPr>
        <w:spacing w:after="0" w:line="276" w:lineRule="auto"/>
        <w:rPr>
          <w:rFonts w:ascii="Segoe UI" w:hAnsi="Segoe UI" w:cs="Segoe UI"/>
        </w:rPr>
      </w:pPr>
      <w:r w:rsidRPr="00CC3EBC">
        <w:rPr>
          <w:rFonts w:ascii="Segoe UI" w:hAnsi="Segoe UI" w:cs="Segoe UI"/>
        </w:rPr>
        <w:t>U.S. Census Bureau, American Community Survey (ACS) 2023 5-Year Estimates</w:t>
      </w:r>
    </w:p>
    <w:p w14:paraId="4D7B69D5" w14:textId="77777777" w:rsidR="00AB3360" w:rsidRPr="00CC3EBC" w:rsidRDefault="00AB3360" w:rsidP="00A24640">
      <w:pPr>
        <w:spacing w:after="0" w:line="276" w:lineRule="auto"/>
        <w:ind w:left="720"/>
        <w:rPr>
          <w:rFonts w:ascii="Segoe UI" w:hAnsi="Segoe UI" w:cs="Segoe UI"/>
        </w:rPr>
      </w:pPr>
    </w:p>
    <w:p w14:paraId="05DD2CA1" w14:textId="0C967A31" w:rsidR="00CC3EBC" w:rsidRPr="00A308AE" w:rsidRDefault="00CC3EBC" w:rsidP="00A24640">
      <w:pPr>
        <w:pStyle w:val="ListParagraph"/>
        <w:numPr>
          <w:ilvl w:val="0"/>
          <w:numId w:val="13"/>
        </w:numPr>
        <w:spacing w:after="0" w:line="276" w:lineRule="auto"/>
        <w:rPr>
          <w:rFonts w:ascii="Segoe UI" w:hAnsi="Segoe UI" w:cs="Segoe UI"/>
          <w:b/>
          <w:bCs/>
        </w:rPr>
      </w:pPr>
      <w:r w:rsidRPr="00A308AE">
        <w:rPr>
          <w:rFonts w:ascii="Segoe UI" w:hAnsi="Segoe UI" w:cs="Segoe UI"/>
          <w:b/>
          <w:bCs/>
        </w:rPr>
        <w:t>General Demographics</w:t>
      </w:r>
    </w:p>
    <w:p w14:paraId="649D9628" w14:textId="23D53D6E" w:rsidR="00A308AE" w:rsidRPr="00A308AE" w:rsidRDefault="00A308AE" w:rsidP="00A24640">
      <w:pPr>
        <w:spacing w:after="0" w:line="276" w:lineRule="auto"/>
        <w:rPr>
          <w:rFonts w:ascii="Segoe UI" w:hAnsi="Segoe UI" w:cs="Segoe UI"/>
          <w:i/>
          <w:iCs/>
        </w:rPr>
      </w:pPr>
      <w:hyperlink r:id="rId9" w:history="1">
        <w:r w:rsidRPr="00A308AE">
          <w:rPr>
            <w:rStyle w:val="Hyperlink"/>
            <w:rFonts w:ascii="Segoe UI" w:hAnsi="Segoe UI" w:cs="Segoe UI"/>
            <w:i/>
            <w:iCs/>
          </w:rPr>
          <w:t>Demo</w:t>
        </w:r>
        <w:r w:rsidRPr="00A308AE">
          <w:rPr>
            <w:rStyle w:val="Hyperlink"/>
            <w:rFonts w:ascii="Segoe UI" w:hAnsi="Segoe UI" w:cs="Segoe UI"/>
            <w:i/>
            <w:iCs/>
          </w:rPr>
          <w:t>graphics.xlsx</w:t>
        </w:r>
      </w:hyperlink>
    </w:p>
    <w:p w14:paraId="1105DA15" w14:textId="45735B40" w:rsidR="00CC3EBC" w:rsidRPr="00CC3EBC" w:rsidRDefault="00CC3EBC" w:rsidP="00A24640">
      <w:pPr>
        <w:spacing w:after="0" w:line="276" w:lineRule="auto"/>
        <w:rPr>
          <w:rFonts w:ascii="Segoe UI" w:hAnsi="Segoe UI" w:cs="Segoe UI"/>
        </w:rPr>
      </w:pPr>
      <w:r w:rsidRPr="00CC3EBC">
        <w:rPr>
          <w:rFonts w:ascii="Segoe UI" w:hAnsi="Segoe UI" w:cs="Segoe UI"/>
        </w:rPr>
        <w:t>Provides insights into population trends, age distribution, and urban vs. rural housing development.</w:t>
      </w:r>
    </w:p>
    <w:p w14:paraId="288C16F2" w14:textId="77777777" w:rsidR="00CC3EBC" w:rsidRPr="00CC3EBC" w:rsidRDefault="00CC3EBC" w:rsidP="00A24640">
      <w:pPr>
        <w:numPr>
          <w:ilvl w:val="0"/>
          <w:numId w:val="9"/>
        </w:numPr>
        <w:spacing w:after="0" w:line="276" w:lineRule="auto"/>
        <w:rPr>
          <w:rFonts w:ascii="Segoe UI" w:hAnsi="Segoe UI" w:cs="Segoe UI"/>
        </w:rPr>
      </w:pPr>
      <w:r w:rsidRPr="00CC3EBC">
        <w:rPr>
          <w:rFonts w:ascii="Segoe UI" w:hAnsi="Segoe UI" w:cs="Segoe UI"/>
        </w:rPr>
        <w:t>Population Pyramid: Displays the county’s age and sex distribution.</w:t>
      </w:r>
    </w:p>
    <w:p w14:paraId="2159080D" w14:textId="77777777" w:rsidR="00CC3EBC" w:rsidRPr="00CC3EBC" w:rsidRDefault="00CC3EBC" w:rsidP="00A24640">
      <w:pPr>
        <w:numPr>
          <w:ilvl w:val="0"/>
          <w:numId w:val="9"/>
        </w:numPr>
        <w:spacing w:after="0" w:line="276" w:lineRule="auto"/>
        <w:rPr>
          <w:rFonts w:ascii="Segoe UI" w:hAnsi="Segoe UI" w:cs="Segoe UI"/>
        </w:rPr>
      </w:pPr>
      <w:r w:rsidRPr="00CC3EBC">
        <w:rPr>
          <w:rFonts w:ascii="Segoe UI" w:hAnsi="Segoe UI" w:cs="Segoe UI"/>
        </w:rPr>
        <w:t>Countywide Population Growth: Tracks population changes from 1970 to the present.</w:t>
      </w:r>
    </w:p>
    <w:p w14:paraId="6F968ECC" w14:textId="77777777" w:rsidR="00CC3EBC" w:rsidRPr="00CC3EBC" w:rsidRDefault="00CC3EBC" w:rsidP="00A24640">
      <w:pPr>
        <w:numPr>
          <w:ilvl w:val="0"/>
          <w:numId w:val="9"/>
        </w:numPr>
        <w:spacing w:after="0" w:line="276" w:lineRule="auto"/>
        <w:rPr>
          <w:rFonts w:ascii="Segoe UI" w:hAnsi="Segoe UI" w:cs="Segoe UI"/>
        </w:rPr>
      </w:pPr>
      <w:r w:rsidRPr="00CC3EBC">
        <w:rPr>
          <w:rFonts w:ascii="Segoe UI" w:hAnsi="Segoe UI" w:cs="Segoe UI"/>
        </w:rPr>
        <w:t>Urban vs. Rural Housing Units: Visualizes the growth of housing in urban and rural areas over time.</w:t>
      </w:r>
    </w:p>
    <w:p w14:paraId="7CB81008" w14:textId="10A4EB11" w:rsidR="00AB3360" w:rsidRDefault="00AB3360" w:rsidP="00A24640">
      <w:pPr>
        <w:spacing w:after="0" w:line="276" w:lineRule="auto"/>
        <w:rPr>
          <w:rFonts w:ascii="Segoe UI" w:hAnsi="Segoe UI" w:cs="Segoe UI"/>
        </w:rPr>
      </w:pPr>
      <w:r>
        <w:rPr>
          <w:rFonts w:ascii="Segoe UI" w:hAnsi="Segoe UI" w:cs="Segoe UI"/>
        </w:rPr>
        <w:t xml:space="preserve">Filters: Users can select by </w:t>
      </w:r>
      <w:r w:rsidR="00A308AE">
        <w:rPr>
          <w:rFonts w:ascii="Segoe UI" w:hAnsi="Segoe UI" w:cs="Segoe UI"/>
        </w:rPr>
        <w:t>Decennial Census Year (1970-2020 available)</w:t>
      </w:r>
      <w:r>
        <w:rPr>
          <w:rFonts w:ascii="Segoe UI" w:hAnsi="Segoe UI" w:cs="Segoe UI"/>
        </w:rPr>
        <w:t xml:space="preserve">. </w:t>
      </w:r>
    </w:p>
    <w:p w14:paraId="7DF10B29" w14:textId="0D7FFEE2" w:rsidR="00CC3EBC" w:rsidRPr="00CC3EBC" w:rsidRDefault="00CC3EBC" w:rsidP="00A24640">
      <w:pPr>
        <w:spacing w:after="0" w:line="276" w:lineRule="auto"/>
        <w:rPr>
          <w:rFonts w:ascii="Segoe UI" w:hAnsi="Segoe UI" w:cs="Segoe UI"/>
        </w:rPr>
      </w:pPr>
      <w:r w:rsidRPr="00CC3EBC">
        <w:rPr>
          <w:rFonts w:ascii="Segoe UI" w:hAnsi="Segoe UI" w:cs="Segoe UI"/>
        </w:rPr>
        <w:t>Sources:</w:t>
      </w:r>
    </w:p>
    <w:p w14:paraId="1B9497EB" w14:textId="52D3EBA1" w:rsidR="00CC3EBC" w:rsidRDefault="00CC3EBC" w:rsidP="00A24640">
      <w:pPr>
        <w:numPr>
          <w:ilvl w:val="0"/>
          <w:numId w:val="10"/>
        </w:numPr>
        <w:spacing w:after="0" w:line="276" w:lineRule="auto"/>
        <w:rPr>
          <w:rFonts w:ascii="Segoe UI" w:hAnsi="Segoe UI" w:cs="Segoe UI"/>
        </w:rPr>
      </w:pPr>
      <w:r w:rsidRPr="00CC3EBC">
        <w:rPr>
          <w:rFonts w:ascii="Segoe UI" w:hAnsi="Segoe UI" w:cs="Segoe UI"/>
        </w:rPr>
        <w:t>U.S. Census Bureau Decennial Census Data</w:t>
      </w:r>
      <w:r w:rsidRPr="00CC3EBC">
        <w:rPr>
          <w:rFonts w:ascii="Segoe UI" w:hAnsi="Segoe UI" w:cs="Segoe UI"/>
        </w:rPr>
        <w:t xml:space="preserve"> (1970-2020)</w:t>
      </w:r>
    </w:p>
    <w:p w14:paraId="5ED0D2A0" w14:textId="285BD4C2" w:rsidR="00A308AE" w:rsidRDefault="00A308AE" w:rsidP="00A24640">
      <w:pPr>
        <w:numPr>
          <w:ilvl w:val="0"/>
          <w:numId w:val="10"/>
        </w:numPr>
        <w:spacing w:after="0" w:line="276" w:lineRule="auto"/>
        <w:rPr>
          <w:rFonts w:ascii="Segoe UI" w:hAnsi="Segoe UI" w:cs="Segoe UI"/>
        </w:rPr>
      </w:pPr>
      <w:r w:rsidRPr="00A308AE">
        <w:rPr>
          <w:rFonts w:ascii="Segoe UI" w:hAnsi="Segoe UI" w:cs="Segoe UI"/>
        </w:rPr>
        <w:t>National Historical Geographic Information System (NHGIS)</w:t>
      </w:r>
    </w:p>
    <w:p w14:paraId="1A184631" w14:textId="77777777" w:rsidR="00A308AE" w:rsidRDefault="00A308AE" w:rsidP="00A24640">
      <w:pPr>
        <w:spacing w:after="0" w:line="276" w:lineRule="auto"/>
        <w:ind w:left="720"/>
        <w:rPr>
          <w:rFonts w:ascii="Segoe UI" w:hAnsi="Segoe UI" w:cs="Segoe UI"/>
        </w:rPr>
      </w:pPr>
    </w:p>
    <w:p w14:paraId="52FD0A91" w14:textId="09933781" w:rsidR="00AB3360" w:rsidRPr="00A24640" w:rsidRDefault="00AB3360" w:rsidP="00A24640">
      <w:pPr>
        <w:pStyle w:val="ListParagraph"/>
        <w:numPr>
          <w:ilvl w:val="0"/>
          <w:numId w:val="14"/>
        </w:numPr>
        <w:spacing w:after="0" w:line="276" w:lineRule="auto"/>
        <w:rPr>
          <w:rFonts w:ascii="Segoe UI" w:hAnsi="Segoe UI" w:cs="Segoe UI"/>
          <w:b/>
          <w:bCs/>
          <w:sz w:val="28"/>
          <w:szCs w:val="28"/>
        </w:rPr>
      </w:pPr>
      <w:r w:rsidRPr="00A24640">
        <w:rPr>
          <w:rFonts w:ascii="Segoe UI" w:hAnsi="Segoe UI" w:cs="Segoe UI"/>
          <w:b/>
          <w:bCs/>
          <w:sz w:val="28"/>
          <w:szCs w:val="28"/>
        </w:rPr>
        <w:t>T</w:t>
      </w:r>
      <w:r w:rsidRPr="00A24640">
        <w:rPr>
          <w:rFonts w:ascii="Segoe UI" w:hAnsi="Segoe UI" w:cs="Segoe UI"/>
          <w:b/>
          <w:bCs/>
          <w:sz w:val="28"/>
          <w:szCs w:val="28"/>
        </w:rPr>
        <w:t>o Download Data</w:t>
      </w:r>
    </w:p>
    <w:p w14:paraId="508B3311" w14:textId="77777777" w:rsidR="00AB3360" w:rsidRPr="00AB3360" w:rsidRDefault="00AB3360" w:rsidP="00A24640">
      <w:pPr>
        <w:spacing w:after="0" w:line="276" w:lineRule="auto"/>
        <w:rPr>
          <w:rFonts w:ascii="Segoe UI" w:hAnsi="Segoe UI" w:cs="Segoe UI"/>
        </w:rPr>
      </w:pPr>
      <w:r w:rsidRPr="00AB3360">
        <w:rPr>
          <w:rFonts w:ascii="Segoe UI" w:hAnsi="Segoe UI" w:cs="Segoe UI"/>
        </w:rPr>
        <w:t>Each dashboard section includes a Download Data button to export Excel files with detailed records.</w:t>
      </w:r>
    </w:p>
    <w:p w14:paraId="0732FD94" w14:textId="77777777" w:rsidR="00AB3360" w:rsidRPr="00AB3360" w:rsidRDefault="00AB3360" w:rsidP="00A24640">
      <w:pPr>
        <w:numPr>
          <w:ilvl w:val="0"/>
          <w:numId w:val="11"/>
        </w:numPr>
        <w:spacing w:after="0" w:line="276" w:lineRule="auto"/>
        <w:rPr>
          <w:rFonts w:ascii="Segoe UI" w:hAnsi="Segoe UI" w:cs="Segoe UI"/>
        </w:rPr>
      </w:pPr>
      <w:r w:rsidRPr="00AB3360">
        <w:rPr>
          <w:rFonts w:ascii="Segoe UI" w:hAnsi="Segoe UI" w:cs="Segoe UI"/>
        </w:rPr>
        <w:t>To Download: CTRL + Click the “Download Data” button. If the link does not open, copy and paste it into a new browser tab.</w:t>
      </w:r>
    </w:p>
    <w:p w14:paraId="4A36C78B" w14:textId="77777777" w:rsidR="00AB3360" w:rsidRPr="00AB3360" w:rsidRDefault="00AB3360" w:rsidP="00A24640">
      <w:pPr>
        <w:numPr>
          <w:ilvl w:val="0"/>
          <w:numId w:val="11"/>
        </w:numPr>
        <w:spacing w:after="0" w:line="276" w:lineRule="auto"/>
        <w:rPr>
          <w:rFonts w:ascii="Segoe UI" w:hAnsi="Segoe UI" w:cs="Segoe UI"/>
        </w:rPr>
      </w:pPr>
      <w:r w:rsidRPr="00AB3360">
        <w:rPr>
          <w:rFonts w:ascii="Segoe UI" w:hAnsi="Segoe UI" w:cs="Segoe UI"/>
        </w:rPr>
        <w:t xml:space="preserve">File Format: Data is available in </w:t>
      </w:r>
      <w:proofErr w:type="gramStart"/>
      <w:r w:rsidRPr="00AB3360">
        <w:rPr>
          <w:rFonts w:ascii="Segoe UI" w:hAnsi="Segoe UI" w:cs="Segoe UI"/>
        </w:rPr>
        <w:t>Excel (.</w:t>
      </w:r>
      <w:proofErr w:type="gramEnd"/>
      <w:r w:rsidRPr="00AB3360">
        <w:rPr>
          <w:rFonts w:ascii="Segoe UI" w:hAnsi="Segoe UI" w:cs="Segoe UI"/>
        </w:rPr>
        <w:t>xlsx) format for further analysis.</w:t>
      </w:r>
    </w:p>
    <w:p w14:paraId="329202DA" w14:textId="31A8381A" w:rsidR="00AB3360" w:rsidRPr="00AB3360" w:rsidRDefault="00AB3360" w:rsidP="00A24640">
      <w:pPr>
        <w:numPr>
          <w:ilvl w:val="0"/>
          <w:numId w:val="11"/>
        </w:numPr>
        <w:spacing w:after="0" w:line="276" w:lineRule="auto"/>
        <w:rPr>
          <w:rFonts w:ascii="Segoe UI" w:hAnsi="Segoe UI" w:cs="Segoe UI"/>
        </w:rPr>
      </w:pPr>
      <w:r w:rsidRPr="00AB3360">
        <w:rPr>
          <w:rFonts w:ascii="Segoe UI" w:hAnsi="Segoe UI" w:cs="Segoe UI"/>
        </w:rPr>
        <w:t>File Contents: The downloaded file includes data tables</w:t>
      </w:r>
      <w:r>
        <w:rPr>
          <w:rFonts w:ascii="Segoe UI" w:hAnsi="Segoe UI" w:cs="Segoe UI"/>
        </w:rPr>
        <w:t xml:space="preserve"> </w:t>
      </w:r>
      <w:r w:rsidRPr="00AB3360">
        <w:rPr>
          <w:rFonts w:ascii="Segoe UI" w:hAnsi="Segoe UI" w:cs="Segoe UI"/>
        </w:rPr>
        <w:t>and source documentation.</w:t>
      </w:r>
    </w:p>
    <w:p w14:paraId="56D77327" w14:textId="77777777" w:rsidR="00AB3360" w:rsidRDefault="00AB3360" w:rsidP="00A24640">
      <w:pPr>
        <w:spacing w:after="0" w:line="276" w:lineRule="auto"/>
        <w:ind w:left="360"/>
        <w:rPr>
          <w:rFonts w:ascii="Segoe UI" w:hAnsi="Segoe UI" w:cs="Segoe UI"/>
        </w:rPr>
      </w:pPr>
    </w:p>
    <w:p w14:paraId="1D71A6EF" w14:textId="258B8FF9" w:rsidR="00AB3360" w:rsidRPr="00A24640" w:rsidRDefault="00AB3360" w:rsidP="00A24640">
      <w:pPr>
        <w:pStyle w:val="ListParagraph"/>
        <w:numPr>
          <w:ilvl w:val="0"/>
          <w:numId w:val="14"/>
        </w:numPr>
        <w:spacing w:after="0" w:line="276" w:lineRule="auto"/>
        <w:rPr>
          <w:rFonts w:ascii="Segoe UI" w:hAnsi="Segoe UI" w:cs="Segoe UI"/>
          <w:b/>
          <w:bCs/>
        </w:rPr>
      </w:pPr>
      <w:r w:rsidRPr="00A24640">
        <w:rPr>
          <w:rFonts w:ascii="Segoe UI" w:hAnsi="Segoe UI" w:cs="Segoe UI"/>
          <w:b/>
          <w:bCs/>
          <w:sz w:val="28"/>
          <w:szCs w:val="28"/>
        </w:rPr>
        <w:t>Feedback &amp; Support</w:t>
      </w:r>
    </w:p>
    <w:p w14:paraId="2C1DE9FB" w14:textId="2754AD81" w:rsidR="00AB3360" w:rsidRPr="00AB3360" w:rsidRDefault="00AB3360" w:rsidP="00A24640">
      <w:pPr>
        <w:spacing w:after="0" w:line="276" w:lineRule="auto"/>
        <w:rPr>
          <w:rStyle w:val="Hyperlink"/>
          <w:rFonts w:ascii="Segoe UI" w:hAnsi="Segoe UI" w:cs="Segoe UI"/>
        </w:rPr>
      </w:pPr>
      <w:r w:rsidRPr="00AB3360">
        <w:rPr>
          <w:rFonts w:ascii="Segoe UI" w:hAnsi="Segoe UI" w:cs="Segoe UI"/>
        </w:rPr>
        <w:t xml:space="preserve">SBCAG encourages user feedback to improve dashboard functionality. For questions, suggestions, or technical support, contact: Mia Lewis – </w:t>
      </w:r>
      <w:r>
        <w:rPr>
          <w:rFonts w:ascii="Segoe UI" w:hAnsi="Segoe UI" w:cs="Segoe UI"/>
        </w:rPr>
        <w:fldChar w:fldCharType="begin"/>
      </w:r>
      <w:r>
        <w:rPr>
          <w:rFonts w:ascii="Segoe UI" w:hAnsi="Segoe UI" w:cs="Segoe UI"/>
        </w:rPr>
        <w:instrText>HYPERLINK "mailto:mlewis@sbcag.org"</w:instrText>
      </w:r>
      <w:r>
        <w:rPr>
          <w:rFonts w:ascii="Segoe UI" w:hAnsi="Segoe UI" w:cs="Segoe UI"/>
        </w:rPr>
      </w:r>
      <w:r>
        <w:rPr>
          <w:rFonts w:ascii="Segoe UI" w:hAnsi="Segoe UI" w:cs="Segoe UI"/>
        </w:rPr>
        <w:fldChar w:fldCharType="separate"/>
      </w:r>
      <w:r w:rsidRPr="00AB3360">
        <w:rPr>
          <w:rStyle w:val="Hyperlink"/>
          <w:rFonts w:ascii="Segoe UI" w:hAnsi="Segoe UI" w:cs="Segoe UI"/>
        </w:rPr>
        <w:t>m</w:t>
      </w:r>
      <w:r w:rsidRPr="00AB3360">
        <w:rPr>
          <w:rStyle w:val="Hyperlink"/>
          <w:rFonts w:ascii="Segoe UI" w:hAnsi="Segoe UI" w:cs="Segoe UI"/>
        </w:rPr>
        <w:t>lewis@sbcag.org</w:t>
      </w:r>
    </w:p>
    <w:p w14:paraId="19C7217D" w14:textId="1F36FB5E" w:rsidR="00CC3EBC" w:rsidRPr="00CC3EBC" w:rsidRDefault="00AB3360" w:rsidP="00A24640">
      <w:pPr>
        <w:spacing w:after="0" w:line="276" w:lineRule="auto"/>
        <w:rPr>
          <w:rFonts w:ascii="Segoe UI" w:hAnsi="Segoe UI" w:cs="Segoe UI"/>
        </w:rPr>
      </w:pPr>
      <w:r>
        <w:rPr>
          <w:rFonts w:ascii="Segoe UI" w:hAnsi="Segoe UI" w:cs="Segoe UI"/>
        </w:rPr>
        <w:fldChar w:fldCharType="end"/>
      </w:r>
    </w:p>
    <w:sectPr w:rsidR="00CC3EBC" w:rsidRPr="00CC3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5D76"/>
    <w:multiLevelType w:val="hybridMultilevel"/>
    <w:tmpl w:val="08DAF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011DD"/>
    <w:multiLevelType w:val="multilevel"/>
    <w:tmpl w:val="FC98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B3565"/>
    <w:multiLevelType w:val="multilevel"/>
    <w:tmpl w:val="473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F4BCB"/>
    <w:multiLevelType w:val="multilevel"/>
    <w:tmpl w:val="EDD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20103"/>
    <w:multiLevelType w:val="multilevel"/>
    <w:tmpl w:val="FDF0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30353"/>
    <w:multiLevelType w:val="multilevel"/>
    <w:tmpl w:val="495C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86721"/>
    <w:multiLevelType w:val="multilevel"/>
    <w:tmpl w:val="481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50C06"/>
    <w:multiLevelType w:val="hybridMultilevel"/>
    <w:tmpl w:val="D7E2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03EB0"/>
    <w:multiLevelType w:val="multilevel"/>
    <w:tmpl w:val="5EE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B0874"/>
    <w:multiLevelType w:val="multilevel"/>
    <w:tmpl w:val="E32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75356"/>
    <w:multiLevelType w:val="multilevel"/>
    <w:tmpl w:val="A51E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8454C"/>
    <w:multiLevelType w:val="multilevel"/>
    <w:tmpl w:val="836A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A1CD9"/>
    <w:multiLevelType w:val="multilevel"/>
    <w:tmpl w:val="F18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65D78"/>
    <w:multiLevelType w:val="hybridMultilevel"/>
    <w:tmpl w:val="21DC4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103745">
    <w:abstractNumId w:val="1"/>
  </w:num>
  <w:num w:numId="2" w16cid:durableId="161747295">
    <w:abstractNumId w:val="4"/>
  </w:num>
  <w:num w:numId="3" w16cid:durableId="382027915">
    <w:abstractNumId w:val="10"/>
  </w:num>
  <w:num w:numId="4" w16cid:durableId="74977019">
    <w:abstractNumId w:val="8"/>
  </w:num>
  <w:num w:numId="5" w16cid:durableId="962807789">
    <w:abstractNumId w:val="5"/>
  </w:num>
  <w:num w:numId="6" w16cid:durableId="1886402695">
    <w:abstractNumId w:val="2"/>
  </w:num>
  <w:num w:numId="7" w16cid:durableId="211114466">
    <w:abstractNumId w:val="11"/>
  </w:num>
  <w:num w:numId="8" w16cid:durableId="604728455">
    <w:abstractNumId w:val="12"/>
  </w:num>
  <w:num w:numId="9" w16cid:durableId="1329600865">
    <w:abstractNumId w:val="3"/>
  </w:num>
  <w:num w:numId="10" w16cid:durableId="889682862">
    <w:abstractNumId w:val="9"/>
  </w:num>
  <w:num w:numId="11" w16cid:durableId="564797149">
    <w:abstractNumId w:val="6"/>
  </w:num>
  <w:num w:numId="12" w16cid:durableId="1325745473">
    <w:abstractNumId w:val="13"/>
  </w:num>
  <w:num w:numId="13" w16cid:durableId="739601561">
    <w:abstractNumId w:val="7"/>
  </w:num>
  <w:num w:numId="14" w16cid:durableId="31398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BC"/>
    <w:rsid w:val="000C2B9E"/>
    <w:rsid w:val="00503A20"/>
    <w:rsid w:val="006A7CA6"/>
    <w:rsid w:val="00A24640"/>
    <w:rsid w:val="00A308AE"/>
    <w:rsid w:val="00AB3360"/>
    <w:rsid w:val="00CC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8D62"/>
  <w15:chartTrackingRefBased/>
  <w15:docId w15:val="{AFBFDD8D-2A18-4404-ABC2-D5DE6EE9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360"/>
  </w:style>
  <w:style w:type="paragraph" w:styleId="Heading1">
    <w:name w:val="heading 1"/>
    <w:basedOn w:val="Normal"/>
    <w:next w:val="Normal"/>
    <w:link w:val="Heading1Char"/>
    <w:uiPriority w:val="9"/>
    <w:qFormat/>
    <w:rsid w:val="00CC3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EBC"/>
    <w:rPr>
      <w:rFonts w:eastAsiaTheme="majorEastAsia" w:cstheme="majorBidi"/>
      <w:color w:val="272727" w:themeColor="text1" w:themeTint="D8"/>
    </w:rPr>
  </w:style>
  <w:style w:type="paragraph" w:styleId="Title">
    <w:name w:val="Title"/>
    <w:basedOn w:val="Normal"/>
    <w:next w:val="Normal"/>
    <w:link w:val="TitleChar"/>
    <w:uiPriority w:val="10"/>
    <w:qFormat/>
    <w:rsid w:val="00CC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EBC"/>
    <w:pPr>
      <w:spacing w:before="160"/>
      <w:jc w:val="center"/>
    </w:pPr>
    <w:rPr>
      <w:i/>
      <w:iCs/>
      <w:color w:val="404040" w:themeColor="text1" w:themeTint="BF"/>
    </w:rPr>
  </w:style>
  <w:style w:type="character" w:customStyle="1" w:styleId="QuoteChar">
    <w:name w:val="Quote Char"/>
    <w:basedOn w:val="DefaultParagraphFont"/>
    <w:link w:val="Quote"/>
    <w:uiPriority w:val="29"/>
    <w:rsid w:val="00CC3EBC"/>
    <w:rPr>
      <w:i/>
      <w:iCs/>
      <w:color w:val="404040" w:themeColor="text1" w:themeTint="BF"/>
    </w:rPr>
  </w:style>
  <w:style w:type="paragraph" w:styleId="ListParagraph">
    <w:name w:val="List Paragraph"/>
    <w:basedOn w:val="Normal"/>
    <w:uiPriority w:val="34"/>
    <w:qFormat/>
    <w:rsid w:val="00CC3EBC"/>
    <w:pPr>
      <w:ind w:left="720"/>
      <w:contextualSpacing/>
    </w:pPr>
  </w:style>
  <w:style w:type="character" w:styleId="IntenseEmphasis">
    <w:name w:val="Intense Emphasis"/>
    <w:basedOn w:val="DefaultParagraphFont"/>
    <w:uiPriority w:val="21"/>
    <w:qFormat/>
    <w:rsid w:val="00CC3EBC"/>
    <w:rPr>
      <w:i/>
      <w:iCs/>
      <w:color w:val="0F4761" w:themeColor="accent1" w:themeShade="BF"/>
    </w:rPr>
  </w:style>
  <w:style w:type="paragraph" w:styleId="IntenseQuote">
    <w:name w:val="Intense Quote"/>
    <w:basedOn w:val="Normal"/>
    <w:next w:val="Normal"/>
    <w:link w:val="IntenseQuoteChar"/>
    <w:uiPriority w:val="30"/>
    <w:qFormat/>
    <w:rsid w:val="00CC3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EBC"/>
    <w:rPr>
      <w:i/>
      <w:iCs/>
      <w:color w:val="0F4761" w:themeColor="accent1" w:themeShade="BF"/>
    </w:rPr>
  </w:style>
  <w:style w:type="character" w:styleId="IntenseReference">
    <w:name w:val="Intense Reference"/>
    <w:basedOn w:val="DefaultParagraphFont"/>
    <w:uiPriority w:val="32"/>
    <w:qFormat/>
    <w:rsid w:val="00CC3EBC"/>
    <w:rPr>
      <w:b/>
      <w:bCs/>
      <w:smallCaps/>
      <w:color w:val="0F4761" w:themeColor="accent1" w:themeShade="BF"/>
      <w:spacing w:val="5"/>
    </w:rPr>
  </w:style>
  <w:style w:type="character" w:styleId="Hyperlink">
    <w:name w:val="Hyperlink"/>
    <w:basedOn w:val="DefaultParagraphFont"/>
    <w:uiPriority w:val="99"/>
    <w:unhideWhenUsed/>
    <w:rsid w:val="00AB3360"/>
    <w:rPr>
      <w:color w:val="467886" w:themeColor="hyperlink"/>
      <w:u w:val="single"/>
    </w:rPr>
  </w:style>
  <w:style w:type="character" w:styleId="UnresolvedMention">
    <w:name w:val="Unresolved Mention"/>
    <w:basedOn w:val="DefaultParagraphFont"/>
    <w:uiPriority w:val="99"/>
    <w:semiHidden/>
    <w:unhideWhenUsed/>
    <w:rsid w:val="00AB3360"/>
    <w:rPr>
      <w:color w:val="605E5C"/>
      <w:shd w:val="clear" w:color="auto" w:fill="E1DFDD"/>
    </w:rPr>
  </w:style>
  <w:style w:type="character" w:styleId="FollowedHyperlink">
    <w:name w:val="FollowedHyperlink"/>
    <w:basedOn w:val="DefaultParagraphFont"/>
    <w:uiPriority w:val="99"/>
    <w:semiHidden/>
    <w:unhideWhenUsed/>
    <w:rsid w:val="00A308AE"/>
    <w:rPr>
      <w:color w:val="96607D" w:themeColor="followedHyperlink"/>
      <w:u w:val="single"/>
    </w:rPr>
  </w:style>
  <w:style w:type="paragraph" w:styleId="NormalWeb">
    <w:name w:val="Normal (Web)"/>
    <w:basedOn w:val="Normal"/>
    <w:uiPriority w:val="99"/>
    <w:semiHidden/>
    <w:unhideWhenUsed/>
    <w:rsid w:val="00A246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1594">
      <w:bodyDiv w:val="1"/>
      <w:marLeft w:val="0"/>
      <w:marRight w:val="0"/>
      <w:marTop w:val="0"/>
      <w:marBottom w:val="0"/>
      <w:divBdr>
        <w:top w:val="none" w:sz="0" w:space="0" w:color="auto"/>
        <w:left w:val="none" w:sz="0" w:space="0" w:color="auto"/>
        <w:bottom w:val="none" w:sz="0" w:space="0" w:color="auto"/>
        <w:right w:val="none" w:sz="0" w:space="0" w:color="auto"/>
      </w:divBdr>
      <w:divsChild>
        <w:div w:id="1282565524">
          <w:marLeft w:val="0"/>
          <w:marRight w:val="0"/>
          <w:marTop w:val="0"/>
          <w:marBottom w:val="0"/>
          <w:divBdr>
            <w:top w:val="none" w:sz="0" w:space="0" w:color="auto"/>
            <w:left w:val="none" w:sz="0" w:space="0" w:color="auto"/>
            <w:bottom w:val="none" w:sz="0" w:space="0" w:color="auto"/>
            <w:right w:val="none" w:sz="0" w:space="0" w:color="auto"/>
          </w:divBdr>
        </w:div>
      </w:divsChild>
    </w:div>
    <w:div w:id="153449400">
      <w:bodyDiv w:val="1"/>
      <w:marLeft w:val="0"/>
      <w:marRight w:val="0"/>
      <w:marTop w:val="0"/>
      <w:marBottom w:val="0"/>
      <w:divBdr>
        <w:top w:val="none" w:sz="0" w:space="0" w:color="auto"/>
        <w:left w:val="none" w:sz="0" w:space="0" w:color="auto"/>
        <w:bottom w:val="none" w:sz="0" w:space="0" w:color="auto"/>
        <w:right w:val="none" w:sz="0" w:space="0" w:color="auto"/>
      </w:divBdr>
    </w:div>
    <w:div w:id="331687751">
      <w:bodyDiv w:val="1"/>
      <w:marLeft w:val="0"/>
      <w:marRight w:val="0"/>
      <w:marTop w:val="0"/>
      <w:marBottom w:val="0"/>
      <w:divBdr>
        <w:top w:val="none" w:sz="0" w:space="0" w:color="auto"/>
        <w:left w:val="none" w:sz="0" w:space="0" w:color="auto"/>
        <w:bottom w:val="none" w:sz="0" w:space="0" w:color="auto"/>
        <w:right w:val="none" w:sz="0" w:space="0" w:color="auto"/>
      </w:divBdr>
    </w:div>
    <w:div w:id="396247334">
      <w:bodyDiv w:val="1"/>
      <w:marLeft w:val="0"/>
      <w:marRight w:val="0"/>
      <w:marTop w:val="0"/>
      <w:marBottom w:val="0"/>
      <w:divBdr>
        <w:top w:val="none" w:sz="0" w:space="0" w:color="auto"/>
        <w:left w:val="none" w:sz="0" w:space="0" w:color="auto"/>
        <w:bottom w:val="none" w:sz="0" w:space="0" w:color="auto"/>
        <w:right w:val="none" w:sz="0" w:space="0" w:color="auto"/>
      </w:divBdr>
    </w:div>
    <w:div w:id="884828577">
      <w:bodyDiv w:val="1"/>
      <w:marLeft w:val="0"/>
      <w:marRight w:val="0"/>
      <w:marTop w:val="0"/>
      <w:marBottom w:val="0"/>
      <w:divBdr>
        <w:top w:val="none" w:sz="0" w:space="0" w:color="auto"/>
        <w:left w:val="none" w:sz="0" w:space="0" w:color="auto"/>
        <w:bottom w:val="none" w:sz="0" w:space="0" w:color="auto"/>
        <w:right w:val="none" w:sz="0" w:space="0" w:color="auto"/>
      </w:divBdr>
    </w:div>
    <w:div w:id="977762759">
      <w:bodyDiv w:val="1"/>
      <w:marLeft w:val="0"/>
      <w:marRight w:val="0"/>
      <w:marTop w:val="0"/>
      <w:marBottom w:val="0"/>
      <w:divBdr>
        <w:top w:val="none" w:sz="0" w:space="0" w:color="auto"/>
        <w:left w:val="none" w:sz="0" w:space="0" w:color="auto"/>
        <w:bottom w:val="none" w:sz="0" w:space="0" w:color="auto"/>
        <w:right w:val="none" w:sz="0" w:space="0" w:color="auto"/>
      </w:divBdr>
    </w:div>
    <w:div w:id="1109163430">
      <w:bodyDiv w:val="1"/>
      <w:marLeft w:val="0"/>
      <w:marRight w:val="0"/>
      <w:marTop w:val="0"/>
      <w:marBottom w:val="0"/>
      <w:divBdr>
        <w:top w:val="none" w:sz="0" w:space="0" w:color="auto"/>
        <w:left w:val="none" w:sz="0" w:space="0" w:color="auto"/>
        <w:bottom w:val="none" w:sz="0" w:space="0" w:color="auto"/>
        <w:right w:val="none" w:sz="0" w:space="0" w:color="auto"/>
      </w:divBdr>
    </w:div>
    <w:div w:id="1286349196">
      <w:bodyDiv w:val="1"/>
      <w:marLeft w:val="0"/>
      <w:marRight w:val="0"/>
      <w:marTop w:val="0"/>
      <w:marBottom w:val="0"/>
      <w:divBdr>
        <w:top w:val="none" w:sz="0" w:space="0" w:color="auto"/>
        <w:left w:val="none" w:sz="0" w:space="0" w:color="auto"/>
        <w:bottom w:val="none" w:sz="0" w:space="0" w:color="auto"/>
        <w:right w:val="none" w:sz="0" w:space="0" w:color="auto"/>
      </w:divBdr>
    </w:div>
    <w:div w:id="1454788891">
      <w:bodyDiv w:val="1"/>
      <w:marLeft w:val="0"/>
      <w:marRight w:val="0"/>
      <w:marTop w:val="0"/>
      <w:marBottom w:val="0"/>
      <w:divBdr>
        <w:top w:val="none" w:sz="0" w:space="0" w:color="auto"/>
        <w:left w:val="none" w:sz="0" w:space="0" w:color="auto"/>
        <w:bottom w:val="none" w:sz="0" w:space="0" w:color="auto"/>
        <w:right w:val="none" w:sz="0" w:space="0" w:color="auto"/>
      </w:divBdr>
    </w:div>
    <w:div w:id="1498500454">
      <w:bodyDiv w:val="1"/>
      <w:marLeft w:val="0"/>
      <w:marRight w:val="0"/>
      <w:marTop w:val="0"/>
      <w:marBottom w:val="0"/>
      <w:divBdr>
        <w:top w:val="none" w:sz="0" w:space="0" w:color="auto"/>
        <w:left w:val="none" w:sz="0" w:space="0" w:color="auto"/>
        <w:bottom w:val="none" w:sz="0" w:space="0" w:color="auto"/>
        <w:right w:val="none" w:sz="0" w:space="0" w:color="auto"/>
      </w:divBdr>
    </w:div>
    <w:div w:id="1578902746">
      <w:bodyDiv w:val="1"/>
      <w:marLeft w:val="0"/>
      <w:marRight w:val="0"/>
      <w:marTop w:val="0"/>
      <w:marBottom w:val="0"/>
      <w:divBdr>
        <w:top w:val="none" w:sz="0" w:space="0" w:color="auto"/>
        <w:left w:val="none" w:sz="0" w:space="0" w:color="auto"/>
        <w:bottom w:val="none" w:sz="0" w:space="0" w:color="auto"/>
        <w:right w:val="none" w:sz="0" w:space="0" w:color="auto"/>
      </w:divBdr>
    </w:div>
    <w:div w:id="1995982988">
      <w:bodyDiv w:val="1"/>
      <w:marLeft w:val="0"/>
      <w:marRight w:val="0"/>
      <w:marTop w:val="0"/>
      <w:marBottom w:val="0"/>
      <w:divBdr>
        <w:top w:val="none" w:sz="0" w:space="0" w:color="auto"/>
        <w:left w:val="none" w:sz="0" w:space="0" w:color="auto"/>
        <w:bottom w:val="none" w:sz="0" w:space="0" w:color="auto"/>
        <w:right w:val="none" w:sz="0" w:space="0" w:color="auto"/>
      </w:divBdr>
      <w:divsChild>
        <w:div w:id="1783568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lewis-sbcag/Housing-Data-Downloads/blob/main/Availability.xlsx" TargetMode="External"/><Relationship Id="rId3" Type="http://schemas.openxmlformats.org/officeDocument/2006/relationships/settings" Target="settings.xml"/><Relationship Id="rId7" Type="http://schemas.openxmlformats.org/officeDocument/2006/relationships/hyperlink" Target="https://github.com/mlewis-sbcag/Housing-Data-Downloads/raw/main/Affordability.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lewis-sbcag/Housing-Data-Downloads/raw/main/RHNA.xlsx" TargetMode="External"/><Relationship Id="rId11" Type="http://schemas.openxmlformats.org/officeDocument/2006/relationships/theme" Target="theme/theme1.xml"/><Relationship Id="rId5" Type="http://schemas.openxmlformats.org/officeDocument/2006/relationships/hyperlink" Target="https://github.com/mlewis-sbcag/Housing-Data-Downloads/raw/main/HCD_APR.xls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lewis-sbcag/Housing-Data-Downloads/raw/main/Demographic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Lewis</dc:creator>
  <cp:keywords/>
  <dc:description/>
  <cp:lastModifiedBy>Mia Lewis</cp:lastModifiedBy>
  <cp:revision>1</cp:revision>
  <dcterms:created xsi:type="dcterms:W3CDTF">2025-02-24T22:49:00Z</dcterms:created>
  <dcterms:modified xsi:type="dcterms:W3CDTF">2025-02-24T23:28:00Z</dcterms:modified>
</cp:coreProperties>
</file>