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IMPROVED PORTFOLIO DIVERSIFICATION THROUGH UNSUPERVISED LEARNING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Lewis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August 6, 2019</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IMPROVED PORTFOLIO DIVERSIFICATION THROUGH UNSUPERVISED LEARNING</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the Recursive Clustering Risk Parity (RCRP) approach. The RCRP method builds on the philosophy first introduced in Hierarchical Risk Parity (HRP) in López de Prado [2016], leveraging unsupervised learning to recursively build am optimal portfolio. </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HRP introduced the concept of building a diversified portfolio using the inherent structure of the covariance matrix, utilizing graph theory and hierarchical clustering. In doing so, HRP avoided inverting the covariance matrix, a numerically unstable procedure when performed on the notoriously ill-conditioned, if not singular, covariance matrix. However, the procedure relies on sorting the underlying instruments and, in doing so, creating a quasi-diagonalization of the matrix,  thereby foregoing the underlying tree structure. RCRP builds on this premise by utilizing this underlying tree structure, leveraging improved clustering techniques and inversion approximations to enhance overall performance.</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Risk parity, tree graph, cluster, recursive, inverse rank-one update, metric space.</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 Classification: G0, G1, G2.</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Classification: 91G10, 91G60, 91G70, 60E.</w:t>
      </w:r>
    </w:p>
    <w:p w:rsidR="00000000" w:rsidDel="00000000" w:rsidP="00000000" w:rsidRDefault="00000000" w:rsidRPr="00000000" w14:paraId="0000003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OPTIMIZATION: A BACKGROUND</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 method to obtain two desirable portfolios: in particular, the minimum variance portfolio and the maximum sharpe ratio portfolio.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completeness, a portfolio is a vector of weights </w:t>
      </w:r>
      <m:oMath>
        <m:r>
          <w:rPr>
            <w:rFonts w:ascii="Times New Roman" w:cs="Times New Roman" w:eastAsia="Times New Roman" w:hAnsi="Times New Roman"/>
            <w:b w:val="1"/>
            <w:sz w:val="24"/>
            <w:szCs w:val="24"/>
          </w:rPr>
          <m:t xml:space="preserve">w</m:t>
        </m:r>
      </m:oMath>
      <w:r w:rsidDel="00000000" w:rsidR="00000000" w:rsidRPr="00000000">
        <w:rPr>
          <w:rFonts w:ascii="Times New Roman" w:cs="Times New Roman" w:eastAsia="Times New Roman" w:hAnsi="Times New Roman"/>
          <w:sz w:val="24"/>
          <w:szCs w:val="24"/>
          <w:rtl w:val="0"/>
        </w:rPr>
        <w:t xml:space="preserve">across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market instruments such that the weights sum to unity, or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m:t>
            </m:r>
          </m:e>
          <m:sup>
            <m:r>
              <w:rPr>
                <w:rFonts w:ascii="Times New Roman" w:cs="Times New Roman" w:eastAsia="Times New Roman" w:hAnsi="Times New Roman"/>
                <w:b w:val="1"/>
                <w:sz w:val="24"/>
                <w:szCs w:val="24"/>
              </w:rPr>
              <m:t xml:space="preserve">T</m:t>
            </m:r>
          </m:sup>
        </m:sSup>
        <m:r>
          <w:rPr>
            <w:rFonts w:ascii="Times New Roman" w:cs="Times New Roman" w:eastAsia="Times New Roman" w:hAnsi="Times New Roman"/>
            <w:b w:val="1"/>
            <w:sz w:val="24"/>
            <w:szCs w:val="24"/>
          </w:rPr>
          <m:t xml:space="preserve">w</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Given the covariance matrix </w:t>
      </w:r>
      <m:oMath>
        <m:r>
          <m:t>Σ</m:t>
        </m:r>
      </m:oMath>
      <w:r w:rsidDel="00000000" w:rsidR="00000000" w:rsidRPr="00000000">
        <w:rPr>
          <w:rFonts w:ascii="Times New Roman" w:cs="Times New Roman" w:eastAsia="Times New Roman" w:hAnsi="Times New Roman"/>
          <w:sz w:val="24"/>
          <w:szCs w:val="24"/>
          <w:rtl w:val="0"/>
        </w:rPr>
        <w:t xml:space="preserve">, expected excess returns vector </w:t>
      </w:r>
      <m:oMath>
        <m:r>
          <m:t>μ</m:t>
        </m:r>
      </m:oMath>
      <w:r w:rsidDel="00000000" w:rsidR="00000000" w:rsidRPr="00000000">
        <w:rPr>
          <w:rFonts w:ascii="Times New Roman" w:cs="Times New Roman" w:eastAsia="Times New Roman" w:hAnsi="Times New Roman"/>
          <w:sz w:val="24"/>
          <w:szCs w:val="24"/>
          <w:rtl w:val="0"/>
        </w:rPr>
        <w:t xml:space="preserve">, and portfolio weights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the variance of the portfolio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and the expected excess return of the portfolio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terminology in place, we will be discussing the minimum variance portfolio, which satisfies equation (1),</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argmin</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w</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oMath>
      <w:r w:rsidDel="00000000" w:rsidR="00000000" w:rsidRPr="00000000">
        <w:rPr>
          <w:rtl w:val="0"/>
        </w:rPr>
      </w:r>
    </w:p>
    <w:p w:rsidR="00000000" w:rsidDel="00000000" w:rsidP="00000000" w:rsidRDefault="00000000" w:rsidRPr="00000000" w14:paraId="00000038">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such that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w=1</m:t>
        </m:r>
      </m:oMath>
      <w:r w:rsidDel="00000000" w:rsidR="00000000" w:rsidRPr="00000000">
        <w:rPr>
          <w:rFonts w:ascii="Cambria Math" w:cs="Cambria Math" w:eastAsia="Cambria Math" w:hAnsi="Cambria Math"/>
          <w:sz w:val="24"/>
          <w:szCs w:val="24"/>
          <w:rtl w:val="0"/>
        </w:rPr>
        <w:t xml:space="preserve"> (1)</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 maximum sharpe ratio portfolio, which satisfies equation (2).</w:t>
      </w:r>
    </w:p>
    <w:p w:rsidR="00000000" w:rsidDel="00000000" w:rsidP="00000000" w:rsidRDefault="00000000" w:rsidRPr="00000000" w14:paraId="0000003B">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argmax</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w</m:t>
            </m:r>
          </m:sub>
        </m:sSub>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e>
            </m:rad>
          </m:den>
        </m:f>
      </m:oMath>
      <w:r w:rsidDel="00000000" w:rsidR="00000000" w:rsidRPr="00000000">
        <w:rPr>
          <w:rtl w:val="0"/>
        </w:rPr>
      </w:r>
    </w:p>
    <w:p w:rsidR="00000000" w:rsidDel="00000000" w:rsidP="00000000" w:rsidRDefault="00000000" w:rsidRPr="00000000" w14:paraId="0000003C">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such that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w=1</m:t>
        </m:r>
      </m:oMath>
      <w:r w:rsidDel="00000000" w:rsidR="00000000" w:rsidRPr="00000000">
        <w:rPr>
          <w:rFonts w:ascii="Cambria Math" w:cs="Cambria Math" w:eastAsia="Cambria Math" w:hAnsi="Cambria Math"/>
          <w:sz w:val="24"/>
          <w:szCs w:val="24"/>
          <w:rtl w:val="0"/>
        </w:rPr>
        <w:t xml:space="preserve"> (2)</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known optimal solution to equation (1) is setting </w:t>
      </w:r>
      <m:oMath>
        <m:r>
          <w:rPr>
            <w:rFonts w:ascii="Times New Roman" w:cs="Times New Roman" w:eastAsia="Times New Roman" w:hAnsi="Times New Roman"/>
            <w:sz w:val="24"/>
            <w:szCs w:val="24"/>
          </w:rPr>
          <m:t xml:space="preserve">w=</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den>
        </m:f>
      </m:oMath>
      <w:r w:rsidDel="00000000" w:rsidR="00000000" w:rsidRPr="00000000">
        <w:rPr>
          <w:rFonts w:ascii="Times New Roman" w:cs="Times New Roman" w:eastAsia="Times New Roman" w:hAnsi="Times New Roman"/>
          <w:sz w:val="24"/>
          <w:szCs w:val="24"/>
          <w:rtl w:val="0"/>
        </w:rPr>
        <w:t xml:space="preserve">, or equivalently </w:t>
      </w: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whereas the known optimal solution to equation (2) is setting </w:t>
      </w: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 Put more concisely, the solutions set </w:t>
      </w: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a=1</m:t>
        </m:r>
      </m:oMath>
      <w:r w:rsidDel="00000000" w:rsidR="00000000" w:rsidRPr="00000000">
        <w:rPr>
          <w:rFonts w:ascii="Times New Roman" w:cs="Times New Roman" w:eastAsia="Times New Roman" w:hAnsi="Times New Roman"/>
          <w:sz w:val="24"/>
          <w:szCs w:val="24"/>
          <w:rtl w:val="0"/>
        </w:rPr>
        <w:t xml:space="preserve">for the minimum variance portfolio, and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for the max sharpe ratio. Unfortunately, both solutions require inverting the covariance matrix, a numerically unstable task when it’s possible, and impossible when the covariance matrix is singular, as is often the case in practice when involving thousands of stocks. Aside from this inherent numerical instability, empirical covariance matrices can themselves be nosy when evaluated on a finite number of financial returns, further complicating matters. If for no other reasons, a method that is robust to noise and does not require ill-conditioned matrix inversion is desirable.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notable option for the minimum variance portfolio is the inverse variance portfolio. In this case, the weight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given to instrument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is set to be inversely proportional to its variance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ii</m:t>
            </m:r>
          </m:sub>
        </m:sSub>
      </m:oMath>
      <w:r w:rsidDel="00000000" w:rsidR="00000000" w:rsidRPr="00000000">
        <w:rPr>
          <w:rFonts w:ascii="Times New Roman" w:cs="Times New Roman" w:eastAsia="Times New Roman" w:hAnsi="Times New Roman"/>
          <w:sz w:val="24"/>
          <w:szCs w:val="24"/>
          <w:rtl w:val="0"/>
        </w:rPr>
        <w:t xml:space="preserve">, 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 Observe that this is the optimal solution in the special case where the instruments are independent, or equivalently </w:t>
      </w:r>
      <m:oMath>
        <m:r>
          <m:t>Σ</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diag</m:t>
            </m:r>
          </m:sub>
        </m:sSub>
      </m:oMath>
      <w:r w:rsidDel="00000000" w:rsidR="00000000" w:rsidRPr="00000000">
        <w:rPr>
          <w:rFonts w:ascii="Times New Roman" w:cs="Times New Roman" w:eastAsia="Times New Roman" w:hAnsi="Times New Roman"/>
          <w:sz w:val="24"/>
          <w:szCs w:val="24"/>
          <w:rtl w:val="0"/>
        </w:rPr>
        <w:t xml:space="preserve"> is a diagonal matrix with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for </w:t>
      </w:r>
      <m:oMath>
        <m:r>
          <w:rPr>
            <w:rFonts w:ascii="Times New Roman" w:cs="Times New Roman" w:eastAsia="Times New Roman" w:hAnsi="Times New Roman"/>
            <w:sz w:val="24"/>
            <w:szCs w:val="24"/>
          </w:rPr>
          <m:t xml:space="preserve">i≠j</m:t>
        </m:r>
      </m:oMath>
      <w:r w:rsidDel="00000000" w:rsidR="00000000" w:rsidRPr="00000000">
        <w:rPr>
          <w:rFonts w:ascii="Times New Roman" w:cs="Times New Roman" w:eastAsia="Times New Roman" w:hAnsi="Times New Roman"/>
          <w:sz w:val="24"/>
          <w:szCs w:val="24"/>
          <w:rtl w:val="0"/>
        </w:rPr>
        <w:t xml:space="preserve">. HRP notably uses this result when recursively evaluating the portfolio weights subsequent to quasi-diagonalizing the covariance matrix. However, in finance it is often the case that instruments are not independent, and for this reason the inverse variance portfolio is far from ideal.</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INVERSE APPROXIMATION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notable improvement to the inverse variance portfolio can be found in López de Prado and Lewis [2018]. Specifically, were we to assume a constant correlation</w:t>
      </w:r>
      <m:oMath>
        <m:r>
          <m:t>ρ</m:t>
        </m:r>
      </m:oMath>
      <w:r w:rsidDel="00000000" w:rsidR="00000000" w:rsidRPr="00000000">
        <w:rPr>
          <w:rFonts w:ascii="Times New Roman" w:cs="Times New Roman" w:eastAsia="Times New Roman" w:hAnsi="Times New Roman"/>
          <w:sz w:val="24"/>
          <w:szCs w:val="24"/>
          <w:rtl w:val="0"/>
        </w:rPr>
        <w:t xml:space="preserve">between each instrument </w:t>
      </w:r>
      <m:oMath>
        <m:r>
          <w:rPr>
            <w:rFonts w:ascii="Times New Roman" w:cs="Times New Roman" w:eastAsia="Times New Roman" w:hAnsi="Times New Roman"/>
            <w:sz w:val="24"/>
            <w:szCs w:val="24"/>
          </w:rPr>
          <m:t xml:space="preserve">i, j</m:t>
        </m:r>
      </m:oMath>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i≠j</m:t>
        </m:r>
      </m:oMath>
      <w:r w:rsidDel="00000000" w:rsidR="00000000" w:rsidRPr="00000000">
        <w:rPr>
          <w:rFonts w:ascii="Times New Roman" w:cs="Times New Roman" w:eastAsia="Times New Roman" w:hAnsi="Times New Roman"/>
          <w:sz w:val="24"/>
          <w:szCs w:val="24"/>
          <w:rtl w:val="0"/>
        </w:rPr>
        <w:t xml:space="preserve">, then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ρ</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and thus</w:t>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m:oMath>
        <m:r>
          <m:t>Σ</m:t>
        </m:r>
        <m:r>
          <w:rPr>
            <w:rFonts w:ascii="Cambria Math" w:cs="Cambria Math" w:eastAsia="Cambria Math" w:hAnsi="Cambria Math"/>
            <w:b w:val="1"/>
            <w:sz w:val="24"/>
            <w:szCs w:val="24"/>
          </w:rPr>
          <m:t xml:space="preserve">=(1-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Σ</m:t>
            </m:r>
          </m:e>
          <m:sub>
            <m:r>
              <w:rPr>
                <w:rFonts w:ascii="Cambria Math" w:cs="Cambria Math" w:eastAsia="Cambria Math" w:hAnsi="Cambria Math"/>
                <w:b w:val="1"/>
                <w:sz w:val="24"/>
                <w:szCs w:val="24"/>
              </w:rPr>
              <m:t xml:space="preserve">diag</m:t>
            </m:r>
          </m:sub>
        </m:sSub>
        <m:r>
          <w:rPr>
            <w:rFonts w:ascii="Cambria Math" w:cs="Cambria Math" w:eastAsia="Cambria Math" w:hAnsi="Cambria Math"/>
            <w:b w:val="1"/>
            <w:sz w:val="24"/>
            <w:szCs w:val="24"/>
          </w:rPr>
          <m:t xml:space="preserve">+</m:t>
        </m:r>
        <m:r>
          <w:rPr>
            <w:rFonts w:ascii="Cambria Math" w:cs="Cambria Math" w:eastAsia="Cambria Math" w:hAnsi="Cambria Math"/>
            <w:b w:val="1"/>
            <w:sz w:val="24"/>
            <w:szCs w:val="24"/>
          </w:rPr>
          <m:t>ρ</m:t>
        </m:r>
        <m:r>
          <w:rPr>
            <w:rFonts w:ascii="Cambria Math" w:cs="Cambria Math" w:eastAsia="Cambria Math" w:hAnsi="Cambria Math"/>
            <w:b w:val="1"/>
            <w:sz w:val="24"/>
            <w:szCs w:val="24"/>
          </w:rPr>
          <m:t>σ</m:t>
        </m:r>
        <m:sSup>
          <m:sSupPr>
            <m:ctrlPr>
              <w:rPr>
                <w:rFonts w:ascii="Cambria Math" w:cs="Cambria Math" w:eastAsia="Cambria Math" w:hAnsi="Cambria Math"/>
                <w:b w:val="1"/>
                <w:sz w:val="24"/>
                <w:szCs w:val="24"/>
              </w:rPr>
            </m:ctrlPr>
          </m:sSupPr>
          <m:e>
            <m:r>
              <w:rPr>
                <w:rFonts w:ascii="Cambria Math" w:cs="Cambria Math" w:eastAsia="Cambria Math" w:hAnsi="Cambria Math"/>
                <w:b w:val="1"/>
                <w:sz w:val="24"/>
                <w:szCs w:val="24"/>
              </w:rPr>
              <m:t>σ</m:t>
            </m:r>
          </m:e>
          <m:sup>
            <m:r>
              <w:rPr>
                <w:rFonts w:ascii="Cambria Math" w:cs="Cambria Math" w:eastAsia="Cambria Math" w:hAnsi="Cambria Math"/>
                <w:b w:val="1"/>
                <w:sz w:val="24"/>
                <w:szCs w:val="24"/>
              </w:rPr>
              <m:t xml:space="preserve">T</m:t>
            </m:r>
          </m:sup>
        </m:sSup>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is the identity matrix, and </w:t>
      </w:r>
      <m:oMath>
        <m:r>
          <m:t>σ</m:t>
        </m:r>
      </m:oMath>
      <w:r w:rsidDel="00000000" w:rsidR="00000000" w:rsidRPr="00000000">
        <w:rPr>
          <w:rFonts w:ascii="Times New Roman" w:cs="Times New Roman" w:eastAsia="Times New Roman" w:hAnsi="Times New Roman"/>
          <w:sz w:val="24"/>
          <w:szCs w:val="24"/>
          <w:rtl w:val="0"/>
        </w:rPr>
        <w:t xml:space="preserve">is the column vector of standard deviations. Given that this is simply a rank-one update to the matrix </w:t>
      </w:r>
      <m:oMath>
        <m:r>
          <w:rPr>
            <w:rFonts w:ascii="Times New Roman" w:cs="Times New Roman" w:eastAsia="Times New Roman" w:hAnsi="Times New Roman"/>
            <w:b w:val="1"/>
            <w:sz w:val="24"/>
            <w:szCs w:val="24"/>
          </w:rPr>
          <m:t xml:space="preserve">(1-</m:t>
        </m:r>
        <m:r>
          <w:rPr>
            <w:rFonts w:ascii="Times New Roman" w:cs="Times New Roman" w:eastAsia="Times New Roman" w:hAnsi="Times New Roman"/>
            <w:b w:val="1"/>
            <w:sz w:val="24"/>
            <w:szCs w:val="24"/>
          </w:rPr>
          <m:t>ρ</m:t>
        </m:r>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Σ</m:t>
            </m:r>
          </m:e>
          <m:sub>
            <m:r>
              <w:rPr>
                <w:rFonts w:ascii="Times New Roman" w:cs="Times New Roman" w:eastAsia="Times New Roman" w:hAnsi="Times New Roman"/>
                <w:b w:val="1"/>
                <w:sz w:val="24"/>
                <w:szCs w:val="24"/>
              </w:rPr>
              <m:t xml:space="preserve">diag</m:t>
            </m:r>
          </m:sub>
        </m:sSub>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 use the Sherman-Morrison Identity to evaluate its analytic inverse.</w:t>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m:oMath>
        <m:sSup>
          <m:sSupPr>
            <m:ctrlPr>
              <w:rPr>
                <w:rFonts w:ascii="Cambria Math" w:cs="Cambria Math" w:eastAsia="Cambria Math" w:hAnsi="Cambria Math"/>
                <w:sz w:val="24"/>
                <w:szCs w:val="24"/>
              </w:rPr>
            </m:ctrlPr>
          </m:sSupPr>
          <m:e>
            <m: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den>
        </m:f>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diag</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oMath>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equation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σ</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with slight abuse of notation, the vector with component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set to</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 Observe that, were the covariance matrix to have this form, then the optimal minimum variance portfolio would take the form</w:t>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optimal maximum sharpe ratio portfolio would take the form</w:t>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μ</m:t>
                </m:r>
              </m:e>
              <m:sub>
                <m:r>
                  <w:rPr>
                    <w:rFonts w:ascii="Cambria Math" w:cs="Cambria Math" w:eastAsia="Cambria Math" w:hAnsi="Cambria Math"/>
                    <w:sz w:val="24"/>
                    <w:szCs w:val="24"/>
                  </w:rPr>
                  <m:t xml:space="preserve">i</m:t>
                </m:r>
              </m:sub>
            </m:sSub>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μ</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should expect, this reduces to the inverse variance portfolio in the case where </w:t>
      </w:r>
      <m:oMath>
        <m:r>
          <m:t>ρ</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In practice, we can set </w:t>
      </w:r>
      <m:oMath>
        <m:r>
          <m:t>ρ</m:t>
        </m:r>
      </m:oMath>
      <w:r w:rsidDel="00000000" w:rsidR="00000000" w:rsidRPr="00000000">
        <w:rPr>
          <w:rFonts w:ascii="Times New Roman" w:cs="Times New Roman" w:eastAsia="Times New Roman" w:hAnsi="Times New Roman"/>
          <w:sz w:val="24"/>
          <w:szCs w:val="24"/>
          <w:rtl w:val="0"/>
        </w:rPr>
        <w:t xml:space="preserve">to equal the off-diagonal average correlation if we wish to approximate the covariance matrix this way.</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ENHANCEMENT VIA RECURSIVE CLUSTERING</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above enhancement may be a useful approximation in cases where the off-diagonal correlations are all similar, this clearly isn’t the typical case. We must therefore reconsider use of this method to better leverage this result.</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discussion, let us first consider a portfolio of stocks that are exclusively in the Industrial or the Technology sector. In this scenario, we expect Industrial stocks to have returns similar to other Industrial stocks, and likewise Technology stocks returns similar to other Technology stocks. However, Industrial stock performance will be less similar to Technology stocks. Were we to sort the indices to place the Industrials first followed by the Technology stocks, we should expect the correlation matrix matrix to have a block-like formation. See Exhibit 1 for such an example of a hypothetical correlation matrix. Consider first the portfolio of just Industrials as portfolio 1, and the portfolio of just Technology stocks as portfolio 2. We could optimize portfolio 1, then do similarly for portfolio 2, and finally optimize this portfolio of optimized portfolios. While technically suboptimal, its performance would likely be near optimal.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thought experiment brings up a few discussion questions:</w:t>
      </w:r>
    </w:p>
    <w:p w:rsidR="00000000" w:rsidDel="00000000" w:rsidP="00000000" w:rsidRDefault="00000000" w:rsidRPr="00000000" w14:paraId="0000005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Industrial stocks performs more similarly to Technology stocks than other Industrials, so why delineate by sector?</w:t>
      </w:r>
    </w:p>
    <w:p w:rsidR="00000000" w:rsidDel="00000000" w:rsidP="00000000" w:rsidRDefault="00000000" w:rsidRPr="00000000" w14:paraId="0000005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the Technology sector, stocks A and B may perform more similarly to one another and less like stock C, so why not further dissect the stocks within each sector?</w:t>
      </w:r>
    </w:p>
    <w:p w:rsidR="00000000" w:rsidDel="00000000" w:rsidP="00000000" w:rsidRDefault="00000000" w:rsidRPr="00000000" w14:paraId="0000005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limit the analysis to a portfolio of just Industrials and Technology stocks?</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for a more general portfolio, we must generalize this optimization procedure</w:t>
      </w:r>
    </w:p>
    <w:p w:rsidR="00000000" w:rsidDel="00000000" w:rsidP="00000000" w:rsidRDefault="00000000" w:rsidRPr="00000000" w14:paraId="0000005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 to this generalized optimal portfolio procedure as Recursive Clustering Risk Parity (RCRP), which takes as inputs a covariance matrix of returns </w:t>
      </w:r>
      <m:oMath>
        <m:r>
          <m:t>Σ</m:t>
        </m:r>
      </m:oMath>
      <w:r w:rsidDel="00000000" w:rsidR="00000000" w:rsidRPr="00000000">
        <w:rPr>
          <w:rFonts w:ascii="Times New Roman" w:cs="Times New Roman" w:eastAsia="Times New Roman" w:hAnsi="Times New Roman"/>
          <w:sz w:val="24"/>
          <w:szCs w:val="24"/>
          <w:rtl w:val="0"/>
        </w:rPr>
        <w:t xml:space="preserve"> and vector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with </w:t>
      </w:r>
      <m:oMath>
        <m:r>
          <w:rPr>
            <w:rFonts w:ascii="Times New Roman" w:cs="Times New Roman" w:eastAsia="Times New Roman" w:hAnsi="Times New Roman"/>
            <w:sz w:val="24"/>
            <w:szCs w:val="24"/>
          </w:rPr>
          <m:t xml:space="preserve">a=1</m:t>
        </m:r>
      </m:oMath>
      <w:r w:rsidDel="00000000" w:rsidR="00000000" w:rsidRPr="00000000">
        <w:rPr>
          <w:rFonts w:ascii="Times New Roman" w:cs="Times New Roman" w:eastAsia="Times New Roman" w:hAnsi="Times New Roman"/>
          <w:sz w:val="24"/>
          <w:szCs w:val="24"/>
          <w:rtl w:val="0"/>
        </w:rPr>
        <w:t xml:space="preserve">in the case of the minimum variance portfolio and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 in the max sharpe ratio portfolio. The procedure can be described as follows:</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the correlation matrix </w:t>
      </w:r>
      <m:oMath>
        <m:r>
          <m:t>ρ</m:t>
        </m:r>
      </m:oMath>
      <w:r w:rsidDel="00000000" w:rsidR="00000000" w:rsidRPr="00000000">
        <w:rPr>
          <w:rFonts w:ascii="Times New Roman" w:cs="Times New Roman" w:eastAsia="Times New Roman" w:hAnsi="Times New Roman"/>
          <w:sz w:val="24"/>
          <w:szCs w:val="24"/>
          <w:rtl w:val="0"/>
        </w:rPr>
        <w:t xml:space="preserve">from the covariance matrix </w:t>
      </w:r>
      <m:oMath>
        <m:r>
          <m:t>Σ</m:t>
        </m:r>
      </m:oMath>
      <w:r w:rsidDel="00000000" w:rsidR="00000000" w:rsidRPr="00000000">
        <w:rPr>
          <w:rFonts w:ascii="Times New Roman" w:cs="Times New Roman" w:eastAsia="Times New Roman" w:hAnsi="Times New Roman"/>
          <w:sz w:val="24"/>
          <w:szCs w:val="24"/>
          <w:rtl w:val="0"/>
        </w:rPr>
        <w:t xml:space="preserve"> for a certain set of instruments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advanced unsupervised learning techniques to cluster </w:t>
      </w:r>
      <m:oMath>
        <m:r>
          <m:t>ρ</m:t>
        </m:r>
      </m:oMath>
      <w:r w:rsidDel="00000000" w:rsidR="00000000" w:rsidRPr="00000000">
        <w:rPr>
          <w:rFonts w:ascii="Times New Roman" w:cs="Times New Roman" w:eastAsia="Times New Roman" w:hAnsi="Times New Roman"/>
          <w:sz w:val="24"/>
          <w:szCs w:val="24"/>
          <w:rtl w:val="0"/>
        </w:rPr>
        <w:t xml:space="preserve">and partition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into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disjoint sets of instruments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extract the covariance matrix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vector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restricted to those instruments</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is too small for clustering, find the optimal portfolio vector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via the improve inverse portfolio optimization above using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Otherwise,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=RCRP(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Note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has dimension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to define the change in basis elements, create the compressed covariance matrix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 and compressed vector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sSub>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for our portfolio of portfolios. Observe that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comp</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e>
          <m:sup>
            <m:r>
              <w:rPr>
                <w:rFonts w:ascii="Times New Roman" w:cs="Times New Roman" w:eastAsia="Times New Roman" w:hAnsi="Times New Roman"/>
                <w:sz w:val="24"/>
                <w:szCs w:val="24"/>
              </w:rPr>
              <m:t xml:space="preserve">comp</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is the submatrix of </w:t>
      </w:r>
      <m:oMath>
        <m:r>
          <m:t>Σ</m:t>
        </m:r>
      </m:oMath>
      <w:r w:rsidDel="00000000" w:rsidR="00000000" w:rsidRPr="00000000">
        <w:rPr>
          <w:rFonts w:ascii="Times New Roman" w:cs="Times New Roman" w:eastAsia="Times New Roman" w:hAnsi="Times New Roman"/>
          <w:sz w:val="24"/>
          <w:szCs w:val="24"/>
          <w:rtl w:val="0"/>
        </w:rPr>
        <w:t xml:space="preserve"> with rows related to instruments in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columns related to instruments in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Find the cluster weights vector</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via the improved inverse portfolio optimization using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 Note that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has dimension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v=1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m:oMath>
        <m:r>
          <w:rPr>
            <w:rFonts w:ascii="Times New Roman" w:cs="Times New Roman" w:eastAsia="Times New Roman" w:hAnsi="Times New Roman"/>
            <w:sz w:val="24"/>
            <w:szCs w:val="24"/>
          </w:rPr>
          <m:t xml:space="preserve">i=1, ..., k</m:t>
        </m:r>
      </m:oMath>
      <w:r w:rsidDel="00000000" w:rsidR="00000000" w:rsidRPr="00000000">
        <w:rPr>
          <w:rFonts w:ascii="Times New Roman" w:cs="Times New Roman" w:eastAsia="Times New Roman" w:hAnsi="Times New Roman"/>
          <w:sz w:val="24"/>
          <w:szCs w:val="24"/>
          <w:rtl w:val="0"/>
        </w:rPr>
        <w:t xml:space="preserve">,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then concatenate the weight vectors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into a single vector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and return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Note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w=1</m:t>
        </m:r>
      </m:oMath>
      <w:r w:rsidDel="00000000" w:rsidR="00000000" w:rsidRPr="00000000">
        <w:rPr>
          <w:rFonts w:ascii="Times New Roman" w:cs="Times New Roman" w:eastAsia="Times New Roman" w:hAnsi="Times New Roman"/>
          <w:sz w:val="24"/>
          <w:szCs w:val="24"/>
          <w:rtl w:val="0"/>
        </w:rPr>
        <w:t xml:space="preserve"> as desired.</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step (2) in our procedure, we consider the clustering method formulated in López de Prado and Lewis [2018], though this can be enhanced should improved clustering techniques arise.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EXAMPLES: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this analysis, written in Python,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https://github.com/mlewis1729</w:t>
        </w:r>
      </w:hyperlink>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takeaway is that there is significant improved performance to industry alternatives.</w:t>
      </w: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a new procedure.</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05050"/>
          <w:sz w:val="24"/>
          <w:szCs w:val="24"/>
          <w:highlight w:val="white"/>
          <w:rtl w:val="0"/>
        </w:rPr>
        <w:t xml:space="preserve">López de Prado, Marcos, Building Diversified Portfolios that Outperform Out-of-Sample (May 23, 2016). Journal of Portfolio Management, 2016; </w:t>
      </w:r>
      <w:hyperlink r:id="rId7">
        <w:r w:rsidDel="00000000" w:rsidR="00000000" w:rsidRPr="00000000">
          <w:rPr>
            <w:rFonts w:ascii="Times New Roman" w:cs="Times New Roman" w:eastAsia="Times New Roman" w:hAnsi="Times New Roman"/>
            <w:color w:val="505050"/>
            <w:sz w:val="24"/>
            <w:szCs w:val="24"/>
            <w:highlight w:val="white"/>
            <w:u w:val="single"/>
            <w:rtl w:val="0"/>
          </w:rPr>
          <w:t xml:space="preserve">https://doi.org/10.3905/jpm.2016.42.4.059</w:t>
        </w:r>
      </w:hyperlink>
      <w:r w:rsidDel="00000000" w:rsidR="00000000" w:rsidRPr="00000000">
        <w:rPr>
          <w:rFonts w:ascii="Times New Roman" w:cs="Times New Roman" w:eastAsia="Times New Roman" w:hAnsi="Times New Roman"/>
          <w:color w:val="505050"/>
          <w:sz w:val="24"/>
          <w:szCs w:val="24"/>
          <w:highlight w:val="white"/>
          <w:rtl w:val="0"/>
        </w:rPr>
        <w:t xml:space="preserve">. . Available at SSRN: </w:t>
      </w:r>
      <w:hyperlink r:id="rId8">
        <w:r w:rsidDel="00000000" w:rsidR="00000000" w:rsidRPr="00000000">
          <w:rPr>
            <w:rFonts w:ascii="Times New Roman" w:cs="Times New Roman" w:eastAsia="Times New Roman" w:hAnsi="Times New Roman"/>
            <w:color w:val="505050"/>
            <w:sz w:val="24"/>
            <w:szCs w:val="24"/>
            <w:highlight w:val="white"/>
            <w:u w:val="single"/>
            <w:rtl w:val="0"/>
          </w:rPr>
          <w:t xml:space="preserve">https://ssrn.com/abstract=2708678</w:t>
        </w:r>
      </w:hyperlink>
      <w:r w:rsidDel="00000000" w:rsidR="00000000" w:rsidRPr="00000000">
        <w:rPr>
          <w:rFonts w:ascii="Times New Roman" w:cs="Times New Roman" w:eastAsia="Times New Roman" w:hAnsi="Times New Roman"/>
          <w:color w:val="505050"/>
          <w:sz w:val="24"/>
          <w:szCs w:val="24"/>
          <w:highlight w:val="white"/>
          <w:rtl w:val="0"/>
        </w:rPr>
        <w:t xml:space="preserve"> or </w:t>
      </w:r>
      <w:hyperlink r:id="rId9">
        <w:r w:rsidDel="00000000" w:rsidR="00000000" w:rsidRPr="00000000">
          <w:rPr>
            <w:rFonts w:ascii="Times New Roman" w:cs="Times New Roman" w:eastAsia="Times New Roman" w:hAnsi="Times New Roman"/>
            <w:color w:val="505050"/>
            <w:sz w:val="24"/>
            <w:szCs w:val="24"/>
            <w:highlight w:val="white"/>
            <w:u w:val="single"/>
            <w:rtl w:val="0"/>
          </w:rPr>
          <w:t xml:space="preserve">http://dx.doi.org/10.2139/ssrn.2708678</w:t>
        </w:r>
      </w:hyperlink>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05050"/>
          <w:sz w:val="24"/>
          <w:szCs w:val="24"/>
          <w:highlight w:val="white"/>
          <w:rtl w:val="0"/>
        </w:rPr>
        <w:t xml:space="preserve">López de Prado, Marcos and Lewis, Michael J., Detection of False Investment Strategies Using Unsupervised Learning Methods (August 18, 2018). Available at SSRN: </w:t>
      </w:r>
      <w:hyperlink r:id="rId10">
        <w:r w:rsidDel="00000000" w:rsidR="00000000" w:rsidRPr="00000000">
          <w:rPr>
            <w:rFonts w:ascii="Times New Roman" w:cs="Times New Roman" w:eastAsia="Times New Roman" w:hAnsi="Times New Roman"/>
            <w:color w:val="505050"/>
            <w:sz w:val="24"/>
            <w:szCs w:val="24"/>
            <w:highlight w:val="white"/>
            <w:u w:val="single"/>
            <w:rtl w:val="0"/>
          </w:rPr>
          <w:t xml:space="preserve">https://ssrn.com/abstract=3167017</w:t>
        </w:r>
      </w:hyperlink>
      <w:r w:rsidDel="00000000" w:rsidR="00000000" w:rsidRPr="00000000">
        <w:rPr>
          <w:rFonts w:ascii="Times New Roman" w:cs="Times New Roman" w:eastAsia="Times New Roman" w:hAnsi="Times New Roman"/>
          <w:color w:val="505050"/>
          <w:sz w:val="24"/>
          <w:szCs w:val="24"/>
          <w:highlight w:val="white"/>
          <w:rtl w:val="0"/>
        </w:rPr>
        <w:t xml:space="preserve"> or </w:t>
      </w:r>
      <w:hyperlink r:id="rId11">
        <w:r w:rsidDel="00000000" w:rsidR="00000000" w:rsidRPr="00000000">
          <w:rPr>
            <w:rFonts w:ascii="Times New Roman" w:cs="Times New Roman" w:eastAsia="Times New Roman" w:hAnsi="Times New Roman"/>
            <w:color w:val="505050"/>
            <w:sz w:val="24"/>
            <w:szCs w:val="24"/>
            <w:highlight w:val="white"/>
            <w:u w:val="single"/>
            <w:rtl w:val="0"/>
          </w:rPr>
          <w:t xml:space="preserve">http://dx.doi.org/10.2139/ssrn.3167017</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x.doi.org/10.2139/ssrn.3167017" TargetMode="External"/><Relationship Id="rId10" Type="http://schemas.openxmlformats.org/officeDocument/2006/relationships/hyperlink" Target="https://ssrn.com/abstract=3167017" TargetMode="External"/><Relationship Id="rId9" Type="http://schemas.openxmlformats.org/officeDocument/2006/relationships/hyperlink" Target="https://dx.doi.org/10.2139/ssrn.2708678" TargetMode="External"/><Relationship Id="rId5" Type="http://schemas.openxmlformats.org/officeDocument/2006/relationships/styles" Target="styles.xml"/><Relationship Id="rId6" Type="http://schemas.openxmlformats.org/officeDocument/2006/relationships/hyperlink" Target="https://github.com/mlewis1729" TargetMode="External"/><Relationship Id="rId7" Type="http://schemas.openxmlformats.org/officeDocument/2006/relationships/hyperlink" Target="https://doi.org/10.3905/jpm.2016.42.4.059" TargetMode="External"/><Relationship Id="rId8" Type="http://schemas.openxmlformats.org/officeDocument/2006/relationships/hyperlink" Target="https://ssrn.com/abstract=27086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