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b/>
          <w:i w:val="0"/>
          <w:sz w:val="22"/>
        </w:rPr>
        <w:t>University of New Mexico</w:t>
      </w:r>
    </w:p>
    <w:p>
      <w:pPr>
        <w:spacing w:before="0" w:after="120"/>
        <w:jc w:val="center"/>
      </w:pPr>
      <w:r>
        <w:rPr>
          <w:rFonts w:ascii="Arial" w:hAnsi="Arial"/>
          <w:b w:val="0"/>
          <w:i w:val="0"/>
          <w:sz w:val="20"/>
        </w:rPr>
        <w:t>Neutrosophic Computing and Machine Learning, 2026</w:t>
      </w:r>
    </w:p>
    <w:p>
      <w:pPr>
        <w:spacing w:after="120"/>
        <w:pBdr>
          <w:bottom w:val="single" w:sz="6" w:space="1" w:color="000000"/>
        </w:pBdr>
      </w:pPr>
    </w:p>
    <w:p>
      <w:pPr>
        <w:spacing w:before="120" w:after="40"/>
        <w:jc w:val="center"/>
      </w:pPr>
      <w:r>
        <w:rPr>
          <w:rFonts w:ascii="Arial" w:hAnsi="Arial"/>
          <w:b/>
          <w:i w:val="0"/>
          <w:sz w:val="32"/>
        </w:rPr>
        <w:t>El Prestigio Institucional como Sesgo Geográfico en los Grandes Modelos de Lenguaje: Un Análisis Neutrosófico con Intervalos de Confianza Bootstrap</w:t>
      </w:r>
    </w:p>
    <w:p>
      <w:pPr>
        <w:spacing w:before="0" w:after="160"/>
        <w:jc w:val="center"/>
      </w:pPr>
      <w:r>
        <w:rPr>
          <w:rFonts w:ascii="Arial" w:hAnsi="Arial"/>
          <w:b w:val="0"/>
          <w:i/>
          <w:sz w:val="28"/>
        </w:rPr>
        <w:t>Institutional Prestige as Geographic Bias in Large Language Models: A Two-Study Neutrosophic Analysis with Bootstrap Confidence Intervals</w:t>
      </w:r>
    </w:p>
    <w:p>
      <w:pPr>
        <w:spacing w:before="0" w:after="80"/>
        <w:jc w:val="center"/>
      </w:pPr>
      <w:r>
        <w:rPr>
          <w:rFonts w:ascii="Arial" w:hAnsi="Arial"/>
          <w:b w:val="0"/>
          <w:i w:val="0"/>
          <w:sz w:val="22"/>
        </w:rPr>
        <w:t>Maikel Leyva-Vázquez¹*, Florentin Smarandache²</w:t>
      </w:r>
    </w:p>
    <w:p>
      <w:pPr>
        <w:spacing w:before="0" w:after="40"/>
        <w:jc w:val="left"/>
      </w:pPr>
      <w:r>
        <w:rPr>
          <w:rFonts w:ascii="Arial" w:hAnsi="Arial"/>
          <w:b w:val="0"/>
          <w:i w:val="0"/>
          <w:sz w:val="16"/>
        </w:rPr>
        <w:t>¹ Universidad Bolivariana del Ecuador; Universidad de Guayaquil, Ecuador. Editor-in-Chief, Neutrosophic Computing and Machine Learning. ORCID: 0000-0001-7911-5879</w:t>
      </w:r>
    </w:p>
    <w:p>
      <w:pPr>
        <w:spacing w:before="0" w:after="40"/>
        <w:jc w:val="left"/>
      </w:pPr>
      <w:r>
        <w:rPr>
          <w:rFonts w:ascii="Arial" w:hAnsi="Arial"/>
          <w:b w:val="0"/>
          <w:i w:val="0"/>
          <w:sz w:val="16"/>
        </w:rPr>
        <w:t>² University of New Mexico, Gallup, NM 87301, USA. Editor-in-Chief, Neutrosophic Sets and Systems. ORCID: 0000-0002-5560-5926</w:t>
      </w:r>
    </w:p>
    <w:p>
      <w:pPr>
        <w:spacing w:before="0" w:after="160"/>
        <w:jc w:val="left"/>
      </w:pPr>
      <w:r>
        <w:rPr>
          <w:rFonts w:ascii="Arial" w:hAnsi="Arial"/>
          <w:b w:val="0"/>
          <w:i w:val="0"/>
          <w:sz w:val="18"/>
        </w:rPr>
        <w:t>* Corresponding author: mleyvaz@gmail.com</w:t>
      </w:r>
    </w:p>
    <w:p>
      <w:pPr>
        <w:spacing w:before="80" w:after="40"/>
        <w:jc w:val="both"/>
      </w:pPr>
      <w:r>
        <w:rPr>
          <w:rFonts w:ascii="Arial" w:hAnsi="Arial"/>
          <w:b/>
          <w:i w:val="0"/>
          <w:sz w:val="24"/>
        </w:rPr>
        <w:t>Resumen</w:t>
      </w:r>
    </w:p>
    <w:p>
      <w:pPr>
        <w:spacing w:before="0" w:after="40"/>
        <w:jc w:val="both"/>
      </w:pPr>
      <w:r>
        <w:rPr>
          <w:rFonts w:ascii="Arial" w:hAnsi="Arial"/>
          <w:b w:val="0"/>
          <w:i w:val="0"/>
          <w:sz w:val="22"/>
        </w:rPr>
        <w:t>Se investiga si los grandes modelos de lenguaje (LLMs) discriminan sistemáticamente en evaluaciones de candidatos según el origen étnico del nombre y/o el prestigio e ubicación geográfica de la institución de procedencia. Se reportan dos experimentos factoriales (2,880 llamadas API, cuatro modelos, cinco dominios). El Estudio 1 (diseño 3×4; 1,440 llamadas) encuentra un gradiente institucional de +0.297 puntos (IC 95%: +0.175, +0.422), estadísticamente robusto, mientras que los efectos del origen del nombre son negligibles e indistinguibles del azar (±0.094; IC 95% cruza cero). El Estudio 2 (diseño 2×2 Prestigio × País; 1,440 llamadas) rompe el confound prestigio-geografía: el efecto de prestigio (+0.185; IC 95%: +0.093, +0.275) supera al efecto de país (+0.126; IC 95%: +0.037, +0.218) en un factor de 1.5×. El contraste UNAM vs. Framingham State University confirma que los modelos responden al prestigio, no simplemente a la geografía del mundo en desarrollo. Los resultados se cuantifican mediante el Índice de Sesgo Neutrosófico NBI⟨T,I,F⟩; el componente I revela mayor inconsistencia evaluativa para perfiles de baja prestige (desventaja epistémica). Código y datos: https://github.com/mleyvaz/geo-bias-llm.</w:t>
      </w:r>
    </w:p>
    <w:p>
      <w:pPr>
        <w:spacing w:before="0" w:after="160"/>
        <w:jc w:val="both"/>
      </w:pPr>
      <w:r>
        <w:rPr>
          <w:rFonts w:ascii="Arial" w:hAnsi="Arial"/>
          <w:b/>
          <w:i w:val="0"/>
          <w:sz w:val="20"/>
        </w:rPr>
        <w:t xml:space="preserve">Palabras clave: </w:t>
      </w:r>
      <w:r>
        <w:rPr>
          <w:rFonts w:ascii="Arial" w:hAnsi="Arial"/>
          <w:b w:val="0"/>
          <w:i w:val="0"/>
          <w:sz w:val="20"/>
        </w:rPr>
        <w:t>sesgo institucional; modelos de lenguaje; bootstrap; índice neutrosófico; experimento factorial</w:t>
      </w:r>
    </w:p>
    <w:p>
      <w:pPr>
        <w:spacing w:before="0" w:after="40"/>
        <w:jc w:val="both"/>
      </w:pPr>
      <w:r>
        <w:rPr>
          <w:rFonts w:ascii="Arial" w:hAnsi="Arial"/>
          <w:b/>
          <w:i w:val="0"/>
          <w:sz w:val="24"/>
        </w:rPr>
        <w:t>Abstract</w:t>
      </w:r>
    </w:p>
    <w:p>
      <w:pPr>
        <w:spacing w:before="0" w:after="40"/>
        <w:jc w:val="both"/>
      </w:pPr>
      <w:r>
        <w:rPr>
          <w:rFonts w:ascii="Arial" w:hAnsi="Arial"/>
          <w:b w:val="0"/>
          <w:i w:val="0"/>
          <w:sz w:val="22"/>
        </w:rPr>
        <w:t>We investigate whether large language models (LLMs) systematically discriminate in candidate evaluations based on applicant name ethnicity and/or institutional prestige and geographic location. Two factorial experiments are reported (2,880 total API calls, four LLMs, five professional domains). Study 1 (3×4 design; 1,440 calls) finds a statistically robust institution gradient of +0.297 points (10-point scale; 95% bootstrap CI: +0.175, +0.422), while name-origin effects are negligible and statistically non-significant (±0.094; 95% CI crosses zero). Study 2 (2×2 Prestige × Country design; 1,440 calls) breaks the prestige-geography confound: the prestige effect (+0.185; 95% CI: +0.093, +0.275) exceeds the country-of-origin effect (+0.126; 95% CI: +0.037, +0.218) by 1.5×. The critical UNAM (high prestige, Mexico) vs. Framingham State University (low prestige, USA) contrast confirms models reward prestige, not developing-country geography per se. Results are quantified using the Neutrosophic Bias Index NBI⟨T,I,F⟩ (introduced in this paper); the I component reveals elevated evaluation inconsistency for low-prestige profiles, constituting an epistemic disadvantage not captured by mean-only metrics. Code and data: https://github.com/mleyvaz/geo-bias-llm.</w:t>
      </w:r>
    </w:p>
    <w:p>
      <w:pPr>
        <w:spacing w:before="0" w:after="160"/>
        <w:jc w:val="both"/>
      </w:pPr>
      <w:r>
        <w:rPr>
          <w:rFonts w:ascii="Arial" w:hAnsi="Arial"/>
          <w:b/>
          <w:i w:val="0"/>
          <w:sz w:val="20"/>
        </w:rPr>
        <w:t xml:space="preserve">Keywords: </w:t>
      </w:r>
      <w:r>
        <w:rPr>
          <w:rFonts w:ascii="Arial" w:hAnsi="Arial"/>
          <w:b w:val="0"/>
          <w:i w:val="0"/>
          <w:sz w:val="20"/>
        </w:rPr>
        <w:t>institutional prestige bias; large language models; bootstrap CI; neutrosophic bias index; factorial experiment</w:t>
      </w:r>
    </w:p>
    <w:p>
      <w:pPr>
        <w:spacing w:before="120" w:after="80"/>
        <w:jc w:val="both"/>
      </w:pPr>
      <w:r>
        <w:rPr>
          <w:rFonts w:ascii="Arial" w:hAnsi="Arial"/>
          <w:b/>
          <w:i w:val="0"/>
          <w:sz w:val="24"/>
        </w:rPr>
        <w:t>1. Introduction</w:t>
      </w:r>
    </w:p>
    <w:p>
      <w:pPr>
        <w:spacing w:before="0" w:after="80"/>
        <w:ind w:firstLine="283"/>
        <w:jc w:val="both"/>
      </w:pPr>
      <w:r>
        <w:rPr>
          <w:rFonts w:ascii="Arial" w:hAnsi="Arial"/>
          <w:b w:val="0"/>
          <w:i w:val="0"/>
          <w:sz w:val="22"/>
        </w:rPr>
        <w:t>Large language models are increasingly deployed as automated evaluators in scholarship selection, hiring pipelines, credit assessment, and research funding [1,2]. Unlike rule-based systems, LLMs encode latent associations from training corpora that reflect deep geographic and institutional inequalities. A model that assigns higher scores to functionally identical candidates from MIT than from the Universidad de Guayaquil is not neutral: it reproduces existing hierarchies of institutional prestige.</w:t>
      </w:r>
    </w:p>
    <w:p>
      <w:pPr>
        <w:spacing w:before="0" w:after="80"/>
        <w:ind w:firstLine="283"/>
        <w:jc w:val="both"/>
      </w:pPr>
      <w:r>
        <w:rPr>
          <w:rFonts w:ascii="Arial" w:hAnsi="Arial"/>
          <w:b w:val="0"/>
          <w:i w:val="0"/>
          <w:sz w:val="22"/>
        </w:rPr>
        <w:t>Prior work on LLM bias has focused on gender [3], race [4], and name-based ethnic signaling [5,6]. More recently, institutional prestige bias has been documented in peer review [7] and university recommendation contexts [8], with prestige identified as the dominant bias channel [9]. However, no study has used a clean factorial design to disentangle whether LLMs respond to prestige per se or to country-of-origin geography. This paper closes that gap with two contributions.</w:t>
      </w:r>
    </w:p>
    <w:p>
      <w:pPr>
        <w:spacing w:before="0" w:after="80"/>
        <w:ind w:firstLine="283"/>
        <w:jc w:val="both"/>
      </w:pPr>
      <w:r>
        <w:rPr>
          <w:rFonts w:ascii="Arial" w:hAnsi="Arial"/>
          <w:b w:val="0"/>
          <w:i w:val="0"/>
          <w:sz w:val="22"/>
        </w:rPr>
        <w:t>First, a 3×4 factorial experiment establishes an institution-tier gradient across four LLMs and five professional domains (Study 1). Second, a 2×2 Prestige × Country design isolates institutional prestige from geographic stereotyping (Study 2). Both studies report 10,000-iteration bootstrap 95% confidence intervals — a methodological improvement over prior LLM bias audits that report descriptive means only. Results are analyzed using the Neutrosophic Bias Index NBI⟨T,I,F⟩ (Section 3.4), whose I component reveals a previously unreported epistemic disadvantage for candidates from low-prestige institutions.</w:t>
      </w:r>
    </w:p>
    <w:p>
      <w:pPr>
        <w:spacing w:before="120" w:after="80"/>
        <w:jc w:val="both"/>
      </w:pPr>
      <w:r>
        <w:rPr>
          <w:rFonts w:ascii="Arial" w:hAnsi="Arial"/>
          <w:b/>
          <w:i w:val="0"/>
          <w:sz w:val="24"/>
        </w:rPr>
        <w:t>2. Related Work</w:t>
      </w:r>
    </w:p>
    <w:p>
      <w:pPr>
        <w:spacing w:before="0" w:after="80"/>
        <w:ind w:firstLine="283"/>
        <w:jc w:val="both"/>
      </w:pPr>
      <w:r>
        <w:rPr>
          <w:rFonts w:ascii="Arial" w:hAnsi="Arial"/>
          <w:b w:val="0"/>
          <w:i w:val="0"/>
          <w:sz w:val="22"/>
        </w:rPr>
        <w:t>Research on LLM bias spans demographic, institutional, and geographic dimensions. Tamkin et al. [4] demonstrate lower creditworthiness scores for African-American-associated names. Wan et al. [6] show gender asymmetries in LLM recommendation letters. Large-scale audits with up to 750,000 prompts confirm race and ethnicity effects in hiring [5], though alignment-trained models show reduced name-based discrimination.</w:t>
      </w:r>
    </w:p>
    <w:p>
      <w:pPr>
        <w:spacing w:before="0" w:after="80"/>
        <w:ind w:firstLine="283"/>
        <w:jc w:val="both"/>
      </w:pPr>
      <w:r>
        <w:rPr>
          <w:rFonts w:ascii="Arial" w:hAnsi="Arial"/>
          <w:b w:val="0"/>
          <w:i w:val="0"/>
          <w:sz w:val="22"/>
        </w:rPr>
        <w:t>Institutional prestige bias has emerged as a distinct phenomenon. Researchers find that LLMs overrepresent elite universities — 72.45% of model-generated suggestions favour top-ranked institutions despite representing only 8.56% of real enrolment [8]. In peer review simulation, a factorial audit using four prestige levels identifies institutional affiliation as the dominant bias channel, with low-prestige manuscripts facing clear rejection penalties [7]. The ICE-Guard framework tests 11 LLMs across 3,000 vignettes and finds authority/prestige bias equally consequential but less studied than demographic bias [9]. In hiring, educational prestige biases persist even when demographic biases have been reduced by alignment training [10].</w:t>
      </w:r>
    </w:p>
    <w:p>
      <w:pPr>
        <w:spacing w:before="0" w:after="80"/>
        <w:ind w:firstLine="283"/>
        <w:jc w:val="both"/>
      </w:pPr>
      <w:r>
        <w:rPr>
          <w:rFonts w:ascii="Arial" w:hAnsi="Arial"/>
          <w:b w:val="0"/>
          <w:i w:val="0"/>
          <w:sz w:val="22"/>
        </w:rPr>
        <w:t>Geographic bias intersects with institutional bias but has been studied separately. Naous et al. [11] document a Western default in LLM cultural knowledge. Country-of-origin effects appear in occupation recommendations [12] and hiring evaluations [13]. None of these studies apply a clean Prestige × Country factorial design to separate the two effects, nor do they report bootstrap confidence intervals. The present study addresses both gaps and introduces the NBI framework (Section 3.4) as a tool for quantifying bias within neutrosophic logic.</w:t>
      </w:r>
    </w:p>
    <w:p>
      <w:pPr>
        <w:spacing w:before="120" w:after="80"/>
        <w:jc w:val="both"/>
      </w:pPr>
      <w:r>
        <w:rPr>
          <w:rFonts w:ascii="Arial" w:hAnsi="Arial"/>
          <w:b/>
          <w:i w:val="0"/>
          <w:sz w:val="24"/>
        </w:rPr>
        <w:t>3. Methodology</w:t>
      </w:r>
    </w:p>
    <w:p>
      <w:pPr>
        <w:spacing w:before="0" w:after="40"/>
        <w:jc w:val="both"/>
      </w:pPr>
      <w:r>
        <w:rPr>
          <w:rFonts w:ascii="Arial" w:hAnsi="Arial"/>
          <w:b/>
          <w:i w:val="0"/>
          <w:sz w:val="22"/>
        </w:rPr>
        <w:t>3.1 Common Elements</w:t>
      </w:r>
    </w:p>
    <w:p>
      <w:pPr>
        <w:spacing w:before="0" w:after="80"/>
        <w:ind w:firstLine="283"/>
        <w:jc w:val="both"/>
      </w:pPr>
      <w:r>
        <w:rPr>
          <w:rFonts w:ascii="Arial" w:hAnsi="Arial"/>
          <w:b w:val="0"/>
          <w:i w:val="0"/>
          <w:sz w:val="22"/>
        </w:rPr>
        <w:t>Both studies use the same evaluation framework. Four LLMs are tested via OpenRouter: Claude Haiku 4.5 (Anthropic), GPT-4o-mini (OpenAI), Gemini 2.0 Flash (Google), and Llama 3.1 8B Instruct (Meta), at temperature=0.1. Three name origins are varied: Anglo (John Smith), Latino (Juan Carlos Rodriguez), and Arabic (Omar Al-Hassan). Candidate credentials are held constant; only name and institution vary.</w:t>
      </w:r>
    </w:p>
    <w:p>
      <w:pPr>
        <w:spacing w:before="0" w:after="80"/>
        <w:ind w:firstLine="283"/>
        <w:jc w:val="both"/>
      </w:pPr>
      <w:r>
        <w:rPr>
          <w:rFonts w:ascii="Arial" w:hAnsi="Arial"/>
          <w:b w:val="0"/>
          <w:i w:val="0"/>
          <w:sz w:val="22"/>
        </w:rPr>
        <w:t>Thirty evaluation scenarios span five professional domains (6 each): scholarship (graduate admissions committee), hiring (senior HR recruiter), credit (commercial bank loan officer), health (research funding committee), and public policy (international development agency). The neutral system prompt assigns the evaluator role without anti-bias instructions, capturing default model behaviour. Scores are extracted from the mandatory SCORE: [0–10] format; fewer than 0.5% of responses required a fallback.</w:t>
      </w:r>
    </w:p>
    <w:p>
      <w:pPr>
        <w:spacing w:before="0" w:after="40"/>
        <w:jc w:val="both"/>
      </w:pPr>
      <w:r>
        <w:rPr>
          <w:rFonts w:ascii="Arial" w:hAnsi="Arial"/>
          <w:b/>
          <w:i w:val="0"/>
          <w:sz w:val="22"/>
        </w:rPr>
        <w:t>3.2 Study 1: Institution-Tier Gradient (3×4 Design)</w:t>
      </w:r>
    </w:p>
    <w:p>
      <w:pPr>
        <w:spacing w:before="0" w:after="80"/>
        <w:ind w:firstLine="283"/>
        <w:jc w:val="both"/>
      </w:pPr>
      <w:r>
        <w:rPr>
          <w:rFonts w:ascii="Arial" w:hAnsi="Arial"/>
          <w:b w:val="0"/>
          <w:i w:val="0"/>
          <w:sz w:val="22"/>
        </w:rPr>
        <w:t>Factor A (Name, 3 levels) × Factor B (Institution Tier, 4 levels): T1 = MIT (Cambridge, USA), T2 = Universidad de Chile (Santiago), T3 = Universidad Nacional de Colombia (Bogotá), T5 = Universidad de Guayaquil (Ecuador). Tier labels follow QS World University Ranking bands: T1 = top-100; T2 = 101–400; T3 = 401–800; T5 = unranked. No institution from the T4 band (801–1200) was included, as candidates in that band cluster geographically with T3, preserving interpretive clarity. This yields 12 profiles × 30 stimuli × 4 models = 1,440 API calls. Limitation: in Study 1, institution tier and country co-vary — Study 2 addresses this directly.</w:t>
      </w:r>
    </w:p>
    <w:p>
      <w:pPr>
        <w:spacing w:before="0" w:after="40"/>
        <w:jc w:val="both"/>
      </w:pPr>
      <w:r>
        <w:rPr>
          <w:rFonts w:ascii="Arial" w:hAnsi="Arial"/>
          <w:b/>
          <w:i w:val="0"/>
          <w:sz w:val="22"/>
        </w:rPr>
        <w:t>3.3 Study 2: Breaking the Prestige-Country Confound (2×2 Design)</w:t>
      </w:r>
    </w:p>
    <w:p>
      <w:pPr>
        <w:spacing w:before="0" w:after="80"/>
        <w:ind w:firstLine="283"/>
        <w:jc w:val="both"/>
      </w:pPr>
      <w:r>
        <w:rPr>
          <w:rFonts w:ascii="Arial" w:hAnsi="Arial"/>
          <w:b w:val="0"/>
          <w:i w:val="0"/>
          <w:sz w:val="22"/>
        </w:rPr>
        <w:t>A 2×2 Prestige (High/Low) × Country (Developed/Developing) design uses: MIT (high prestige, USA), UNAM — Universidad Nacional Autónoma de México (high prestige, Mexico; QS rank ≈100–200), Framingham State University (FSU; a regional public liberal-arts university in Massachusetts, USA, unranked in QS; low prestige), and Universidad de Guayaquil (low prestige, Ecuador). Main effects: Prestige = [(MIT+UNAM)−(FSU+UGye)]/2; Country = [(MIT+FSU)−(UNAM+UGye)]/2; Interaction = (MIT−UNAM)−(FSU−UGye). Critical contrast: UNAM vs. FSU. If prestige drives the effect, UNAM &gt; FSU; if country drives it, FSU &gt; UNAM.</w:t>
      </w:r>
    </w:p>
    <w:p>
      <w:pPr>
        <w:spacing w:before="0" w:after="40"/>
        <w:jc w:val="both"/>
      </w:pPr>
      <w:r>
        <w:rPr>
          <w:rFonts w:ascii="Arial" w:hAnsi="Arial"/>
          <w:b/>
          <w:i w:val="0"/>
          <w:sz w:val="22"/>
        </w:rPr>
        <w:t>3.4 Neutrosophic Bias Index (NBI)</w:t>
      </w:r>
    </w:p>
    <w:p>
      <w:pPr>
        <w:spacing w:before="0" w:after="80"/>
        <w:ind w:firstLine="283"/>
        <w:jc w:val="both"/>
      </w:pPr>
      <w:r>
        <w:rPr>
          <w:rFonts w:ascii="Arial" w:hAnsi="Arial"/>
          <w:b w:val="0"/>
          <w:i w:val="0"/>
          <w:sz w:val="22"/>
        </w:rPr>
        <w:t>For each model–profile combination, NBI = ⟨T, I, F⟩ is defined as:</w:t>
      </w:r>
    </w:p>
    <w:p>
      <w:pPr>
        <w:spacing w:before="0" w:after="80"/>
        <w:jc w:val="both"/>
      </w:pPr>
      <w:r>
        <w:rPr>
          <w:rFonts w:ascii="Arial" w:hAnsi="Arial"/>
          <w:b w:val="0"/>
          <w:i w:val="0"/>
          <w:sz w:val="20"/>
        </w:rPr>
        <w:t xml:space="preserve">    T = mean_score / 10          [normalized favorability, T ∈ [0,1]]</w:t>
      </w:r>
    </w:p>
    <w:p>
      <w:pPr>
        <w:spacing w:before="0" w:after="80"/>
        <w:jc w:val="both"/>
      </w:pPr>
      <w:r>
        <w:rPr>
          <w:rFonts w:ascii="Arial" w:hAnsi="Arial"/>
          <w:b w:val="0"/>
          <w:i w:val="0"/>
          <w:sz w:val="20"/>
        </w:rPr>
        <w:t xml:space="preserve">    I = min(std_score / 5, 1.0)  [normalized inconsistency, I ∈ [0,1]]</w:t>
      </w:r>
    </w:p>
    <w:p>
      <w:pPr>
        <w:spacing w:before="0" w:after="80"/>
        <w:jc w:val="both"/>
      </w:pPr>
      <w:r>
        <w:rPr>
          <w:rFonts w:ascii="Arial" w:hAnsi="Arial"/>
          <w:b w:val="0"/>
          <w:i w:val="0"/>
          <w:sz w:val="20"/>
        </w:rPr>
        <w:t xml:space="preserve">    F = max(0, (ref_mean − mean_score) / 10)  [systematic penalty, F ∈ [0,1]]</w:t>
      </w:r>
    </w:p>
    <w:p>
      <w:pPr>
        <w:spacing w:before="0" w:after="80"/>
        <w:ind w:firstLine="283"/>
        <w:jc w:val="both"/>
      </w:pPr>
      <w:r>
        <w:rPr>
          <w:rFonts w:ascii="Arial" w:hAnsi="Arial"/>
          <w:b w:val="0"/>
          <w:i w:val="0"/>
          <w:sz w:val="22"/>
        </w:rPr>
        <w:t>The divisor 5 equals the theoretical maximum standard deviation for a uniform distribution on {0,…,10} (σ_max = 5), bounding I to [0,1] for any empirically plausible score distribution. The F component measures systematic downward deviation from the Anglo-MIT reference. If T+I+F &gt; 1, the triplet is normalized. Bootstrap 95% CIs for all main effects are computed with 10,000 iterations by resampling the 30 stimuli with replacement independently for each comparison; all intervals reported are percentile CIs.</w:t>
      </w:r>
    </w:p>
    <w:p>
      <w:pPr>
        <w:spacing w:before="120" w:after="80"/>
        <w:jc w:val="both"/>
      </w:pPr>
      <w:r>
        <w:rPr>
          <w:rFonts w:ascii="Arial" w:hAnsi="Arial"/>
          <w:b/>
          <w:i w:val="0"/>
          <w:sz w:val="24"/>
        </w:rPr>
        <w:t>4. Results</w:t>
      </w:r>
    </w:p>
    <w:p>
      <w:pPr>
        <w:spacing w:before="0" w:after="40"/>
        <w:jc w:val="both"/>
      </w:pPr>
      <w:r>
        <w:rPr>
          <w:rFonts w:ascii="Arial" w:hAnsi="Arial"/>
          <w:b/>
          <w:i w:val="0"/>
          <w:sz w:val="22"/>
        </w:rPr>
        <w:t>4.1 Study 1: Institution-Tier Gradient</w:t>
      </w:r>
    </w:p>
    <w:p>
      <w:pPr>
        <w:spacing w:before="0" w:after="80"/>
        <w:ind w:firstLine="283"/>
        <w:jc w:val="both"/>
      </w:pPr>
      <w:r>
        <w:rPr>
          <w:rFonts w:ascii="Arial" w:hAnsi="Arial"/>
          <w:b w:val="0"/>
          <w:i w:val="0"/>
          <w:sz w:val="22"/>
        </w:rPr>
        <w:t>Table 1 shows mean scores by institution tier. Three of four models show a broadly decreasing pattern from T1 to T5. The cross-model gradient is +0.297 (95% CI: +0.175, +0.422), with the confidence interval entirely positive — confirming the effect is statistically robust. The T1 vs. T2 contrast (+0.189; 95% CI: +0.064, +0.311) is significant, while T2 vs. T3 (−0.011; 95% CI: −0.133, +0.114) is not, confirming that {T2 ≈ T3}. Llama 3.1 8B is not strictly monotonic (T3=7.589 &gt; T2=7.444 by 0.144 points), though this difference falls within typical score variance.</w:t>
      </w:r>
    </w:p>
    <w:p>
      <w:pPr>
        <w:spacing w:before="80" w:after="40"/>
        <w:jc w:val="center"/>
      </w:pPr>
      <w:r>
        <w:rPr>
          <w:rFonts w:ascii="Arial" w:hAnsi="Arial"/>
          <w:b/>
          <w:i w:val="0"/>
          <w:sz w:val="20"/>
        </w:rPr>
        <w:t>Table 1. Study 1 — Mean Score by Institution Tier (cross-model mean, all name origins)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BFBFBF"/>
          </w:tcPr>
          <w:p>
            <w:pPr>
              <w:jc w:val="center"/>
            </w:pPr>
            <w:r>
              <w:rPr>
                <w:rFonts w:ascii="Arial" w:hAnsi="Arial"/>
                <w:b/>
                <w:sz w:val="18"/>
              </w:rPr>
              <w:t>Model</w:t>
            </w:r>
          </w:p>
        </w:tc>
        <w:tc>
          <w:tcPr>
            <w:tcW w:type="dxa" w:w="1344"/>
            <w:shd w:val="clear" w:color="auto" w:fill="BFBFBF"/>
          </w:tcPr>
          <w:p>
            <w:pPr>
              <w:jc w:val="center"/>
            </w:pPr>
            <w:r>
              <w:rPr>
                <w:rFonts w:ascii="Arial" w:hAnsi="Arial"/>
                <w:b/>
                <w:sz w:val="18"/>
              </w:rPr>
              <w:t>T1 MIT</w:t>
            </w:r>
          </w:p>
        </w:tc>
        <w:tc>
          <w:tcPr>
            <w:tcW w:type="dxa" w:w="1344"/>
            <w:shd w:val="clear" w:color="auto" w:fill="BFBFBF"/>
          </w:tcPr>
          <w:p>
            <w:pPr>
              <w:jc w:val="center"/>
            </w:pPr>
            <w:r>
              <w:rPr>
                <w:rFonts w:ascii="Arial" w:hAnsi="Arial"/>
                <w:b/>
                <w:sz w:val="18"/>
              </w:rPr>
              <w:t>T2 UChile</w:t>
            </w:r>
          </w:p>
        </w:tc>
        <w:tc>
          <w:tcPr>
            <w:tcW w:type="dxa" w:w="1344"/>
            <w:shd w:val="clear" w:color="auto" w:fill="BFBFBF"/>
          </w:tcPr>
          <w:p>
            <w:pPr>
              <w:jc w:val="center"/>
            </w:pPr>
            <w:r>
              <w:rPr>
                <w:rFonts w:ascii="Arial" w:hAnsi="Arial"/>
                <w:b/>
                <w:sz w:val="18"/>
              </w:rPr>
              <w:t>T3 UNAL</w:t>
            </w:r>
          </w:p>
        </w:tc>
        <w:tc>
          <w:tcPr>
            <w:tcW w:type="dxa" w:w="1344"/>
            <w:shd w:val="clear" w:color="auto" w:fill="BFBFBF"/>
          </w:tcPr>
          <w:p>
            <w:pPr>
              <w:jc w:val="center"/>
            </w:pPr>
            <w:r>
              <w:rPr>
                <w:rFonts w:ascii="Arial" w:hAnsi="Arial"/>
                <w:b/>
                <w:sz w:val="18"/>
              </w:rPr>
              <w:t>T5 UGye</w:t>
            </w:r>
          </w:p>
        </w:tc>
        <w:tc>
          <w:tcPr>
            <w:tcW w:type="dxa" w:w="1344"/>
            <w:shd w:val="clear" w:color="auto" w:fill="BFBFBF"/>
          </w:tcPr>
          <w:p>
            <w:pPr>
              <w:jc w:val="center"/>
            </w:pPr>
            <w:r>
              <w:rPr>
                <w:rFonts w:ascii="Arial" w:hAnsi="Arial"/>
                <w:b/>
                <w:sz w:val="18"/>
              </w:rPr>
              <w:t>Gradient T1−T5</w:t>
            </w:r>
          </w:p>
        </w:tc>
        <w:tc>
          <w:tcPr>
            <w:tcW w:type="dxa" w:w="1344"/>
            <w:shd w:val="clear" w:color="auto" w:fill="BFBFBF"/>
          </w:tcPr>
          <w:p>
            <w:pPr>
              <w:jc w:val="center"/>
            </w:pPr>
            <w:r>
              <w:rPr>
                <w:rFonts w:ascii="Arial" w:hAnsi="Arial"/>
                <w:b/>
                <w:sz w:val="18"/>
              </w:rPr>
              <w:t>95% CI</w:t>
            </w:r>
          </w:p>
        </w:tc>
      </w:tr>
      <w:tr>
        <w:tc>
          <w:tcPr>
            <w:tcW w:type="dxa" w:w="1344"/>
          </w:tcPr>
          <w:p>
            <w:pPr>
              <w:jc w:val="left"/>
            </w:pPr>
            <w:r>
              <w:rPr>
                <w:rFonts w:ascii="Arial" w:hAnsi="Arial"/>
                <w:sz w:val="18"/>
              </w:rPr>
              <w:t>Claude Haiku 4.5</w:t>
            </w:r>
          </w:p>
        </w:tc>
        <w:tc>
          <w:tcPr>
            <w:tcW w:type="dxa" w:w="1344"/>
          </w:tcPr>
          <w:p>
            <w:pPr>
              <w:jc w:val="center"/>
            </w:pPr>
            <w:r>
              <w:rPr>
                <w:rFonts w:ascii="Arial" w:hAnsi="Arial"/>
                <w:sz w:val="18"/>
              </w:rPr>
              <w:t>7.433</w:t>
            </w:r>
          </w:p>
        </w:tc>
        <w:tc>
          <w:tcPr>
            <w:tcW w:type="dxa" w:w="1344"/>
          </w:tcPr>
          <w:p>
            <w:pPr>
              <w:jc w:val="center"/>
            </w:pPr>
            <w:r>
              <w:rPr>
                <w:rFonts w:ascii="Arial" w:hAnsi="Arial"/>
                <w:sz w:val="18"/>
              </w:rPr>
              <w:t>7.233</w:t>
            </w:r>
          </w:p>
        </w:tc>
        <w:tc>
          <w:tcPr>
            <w:tcW w:type="dxa" w:w="1344"/>
          </w:tcPr>
          <w:p>
            <w:pPr>
              <w:jc w:val="center"/>
            </w:pPr>
            <w:r>
              <w:rPr>
                <w:rFonts w:ascii="Arial" w:hAnsi="Arial"/>
                <w:sz w:val="18"/>
              </w:rPr>
              <w:t>7.222</w:t>
            </w:r>
          </w:p>
        </w:tc>
        <w:tc>
          <w:tcPr>
            <w:tcW w:type="dxa" w:w="1344"/>
          </w:tcPr>
          <w:p>
            <w:pPr>
              <w:jc w:val="center"/>
            </w:pPr>
            <w:r>
              <w:rPr>
                <w:rFonts w:ascii="Arial" w:hAnsi="Arial"/>
                <w:sz w:val="18"/>
              </w:rPr>
              <w:t>7.133</w:t>
            </w:r>
          </w:p>
        </w:tc>
        <w:tc>
          <w:tcPr>
            <w:tcW w:type="dxa" w:w="1344"/>
          </w:tcPr>
          <w:p>
            <w:pPr>
              <w:jc w:val="center"/>
            </w:pPr>
            <w:r>
              <w:rPr>
                <w:rFonts w:ascii="Arial" w:hAnsi="Arial"/>
                <w:sz w:val="18"/>
              </w:rPr>
              <w:t>+0.300</w:t>
            </w:r>
          </w:p>
        </w:tc>
        <w:tc>
          <w:tcPr>
            <w:tcW w:type="dxa" w:w="1344"/>
          </w:tcPr>
          <w:p>
            <w:pPr>
              <w:jc w:val="center"/>
            </w:pPr>
            <w:r>
              <w:rPr>
                <w:rFonts w:ascii="Arial" w:hAnsi="Arial"/>
                <w:sz w:val="18"/>
              </w:rPr>
              <w:t>[+0.111,+0.478]</w:t>
            </w:r>
          </w:p>
        </w:tc>
      </w:tr>
      <w:tr>
        <w:tc>
          <w:tcPr>
            <w:tcW w:type="dxa" w:w="1344"/>
          </w:tcPr>
          <w:p>
            <w:pPr>
              <w:jc w:val="left"/>
            </w:pPr>
            <w:r>
              <w:rPr>
                <w:rFonts w:ascii="Arial" w:hAnsi="Arial"/>
                <w:sz w:val="18"/>
              </w:rPr>
              <w:t>GPT-4o-mini</w:t>
            </w:r>
          </w:p>
        </w:tc>
        <w:tc>
          <w:tcPr>
            <w:tcW w:type="dxa" w:w="1344"/>
          </w:tcPr>
          <w:p>
            <w:pPr>
              <w:jc w:val="center"/>
            </w:pPr>
            <w:r>
              <w:rPr>
                <w:rFonts w:ascii="Arial" w:hAnsi="Arial"/>
                <w:sz w:val="18"/>
              </w:rPr>
              <w:t>8.378</w:t>
            </w:r>
          </w:p>
        </w:tc>
        <w:tc>
          <w:tcPr>
            <w:tcW w:type="dxa" w:w="1344"/>
          </w:tcPr>
          <w:p>
            <w:pPr>
              <w:jc w:val="center"/>
            </w:pPr>
            <w:r>
              <w:rPr>
                <w:rFonts w:ascii="Arial" w:hAnsi="Arial"/>
                <w:sz w:val="18"/>
              </w:rPr>
              <w:t>8.233</w:t>
            </w:r>
          </w:p>
        </w:tc>
        <w:tc>
          <w:tcPr>
            <w:tcW w:type="dxa" w:w="1344"/>
          </w:tcPr>
          <w:p>
            <w:pPr>
              <w:jc w:val="center"/>
            </w:pPr>
            <w:r>
              <w:rPr>
                <w:rFonts w:ascii="Arial" w:hAnsi="Arial"/>
                <w:sz w:val="18"/>
              </w:rPr>
              <w:t>8.211</w:t>
            </w:r>
          </w:p>
        </w:tc>
        <w:tc>
          <w:tcPr>
            <w:tcW w:type="dxa" w:w="1344"/>
          </w:tcPr>
          <w:p>
            <w:pPr>
              <w:jc w:val="center"/>
            </w:pPr>
            <w:r>
              <w:rPr>
                <w:rFonts w:ascii="Arial" w:hAnsi="Arial"/>
                <w:sz w:val="18"/>
              </w:rPr>
              <w:t>8.156</w:t>
            </w:r>
          </w:p>
        </w:tc>
        <w:tc>
          <w:tcPr>
            <w:tcW w:type="dxa" w:w="1344"/>
          </w:tcPr>
          <w:p>
            <w:pPr>
              <w:jc w:val="center"/>
            </w:pPr>
            <w:r>
              <w:rPr>
                <w:rFonts w:ascii="Arial" w:hAnsi="Arial"/>
                <w:sz w:val="18"/>
              </w:rPr>
              <w:t>+0.222</w:t>
            </w:r>
          </w:p>
        </w:tc>
        <w:tc>
          <w:tcPr>
            <w:tcW w:type="dxa" w:w="1344"/>
          </w:tcPr>
          <w:p>
            <w:pPr>
              <w:jc w:val="center"/>
            </w:pPr>
            <w:r>
              <w:rPr>
                <w:rFonts w:ascii="Arial" w:hAnsi="Arial"/>
                <w:sz w:val="18"/>
              </w:rPr>
              <w:t>[+0.022,+0.422]</w:t>
            </w:r>
          </w:p>
        </w:tc>
      </w:tr>
      <w:tr>
        <w:tc>
          <w:tcPr>
            <w:tcW w:type="dxa" w:w="1344"/>
          </w:tcPr>
          <w:p>
            <w:pPr>
              <w:jc w:val="left"/>
            </w:pPr>
            <w:r>
              <w:rPr>
                <w:rFonts w:ascii="Arial" w:hAnsi="Arial"/>
                <w:sz w:val="18"/>
              </w:rPr>
              <w:t>Gemini 2.0 Flash</w:t>
            </w:r>
          </w:p>
        </w:tc>
        <w:tc>
          <w:tcPr>
            <w:tcW w:type="dxa" w:w="1344"/>
          </w:tcPr>
          <w:p>
            <w:pPr>
              <w:jc w:val="center"/>
            </w:pPr>
            <w:r>
              <w:rPr>
                <w:rFonts w:ascii="Arial" w:hAnsi="Arial"/>
                <w:sz w:val="18"/>
              </w:rPr>
              <w:t>7.556</w:t>
            </w:r>
          </w:p>
        </w:tc>
        <w:tc>
          <w:tcPr>
            <w:tcW w:type="dxa" w:w="1344"/>
          </w:tcPr>
          <w:p>
            <w:pPr>
              <w:jc w:val="center"/>
            </w:pPr>
            <w:r>
              <w:rPr>
                <w:rFonts w:ascii="Arial" w:hAnsi="Arial"/>
                <w:sz w:val="18"/>
              </w:rPr>
              <w:t>7.378</w:t>
            </w:r>
          </w:p>
        </w:tc>
        <w:tc>
          <w:tcPr>
            <w:tcW w:type="dxa" w:w="1344"/>
          </w:tcPr>
          <w:p>
            <w:pPr>
              <w:jc w:val="center"/>
            </w:pPr>
            <w:r>
              <w:rPr>
                <w:rFonts w:ascii="Arial" w:hAnsi="Arial"/>
                <w:sz w:val="18"/>
              </w:rPr>
              <w:t>7.311</w:t>
            </w:r>
          </w:p>
        </w:tc>
        <w:tc>
          <w:tcPr>
            <w:tcW w:type="dxa" w:w="1344"/>
          </w:tcPr>
          <w:p>
            <w:pPr>
              <w:jc w:val="center"/>
            </w:pPr>
            <w:r>
              <w:rPr>
                <w:rFonts w:ascii="Arial" w:hAnsi="Arial"/>
                <w:sz w:val="18"/>
              </w:rPr>
              <w:t>7.189</w:t>
            </w:r>
          </w:p>
        </w:tc>
        <w:tc>
          <w:tcPr>
            <w:tcW w:type="dxa" w:w="1344"/>
          </w:tcPr>
          <w:p>
            <w:pPr>
              <w:jc w:val="center"/>
            </w:pPr>
            <w:r>
              <w:rPr>
                <w:rFonts w:ascii="Arial" w:hAnsi="Arial"/>
                <w:sz w:val="18"/>
              </w:rPr>
              <w:t>+0.367</w:t>
            </w:r>
          </w:p>
        </w:tc>
        <w:tc>
          <w:tcPr>
            <w:tcW w:type="dxa" w:w="1344"/>
          </w:tcPr>
          <w:p>
            <w:pPr>
              <w:jc w:val="center"/>
            </w:pPr>
            <w:r>
              <w:rPr>
                <w:rFonts w:ascii="Arial" w:hAnsi="Arial"/>
                <w:sz w:val="18"/>
              </w:rPr>
              <w:t>[+0.133,+0.611]</w:t>
            </w:r>
          </w:p>
        </w:tc>
      </w:tr>
      <w:tr>
        <w:tc>
          <w:tcPr>
            <w:tcW w:type="dxa" w:w="1344"/>
          </w:tcPr>
          <w:p>
            <w:pPr>
              <w:jc w:val="left"/>
            </w:pPr>
            <w:r>
              <w:rPr>
                <w:rFonts w:ascii="Arial" w:hAnsi="Arial"/>
                <w:sz w:val="18"/>
              </w:rPr>
              <w:t>Llama 3.1 8B</w:t>
            </w:r>
          </w:p>
        </w:tc>
        <w:tc>
          <w:tcPr>
            <w:tcW w:type="dxa" w:w="1344"/>
          </w:tcPr>
          <w:p>
            <w:pPr>
              <w:jc w:val="center"/>
            </w:pPr>
            <w:r>
              <w:rPr>
                <w:rFonts w:ascii="Arial" w:hAnsi="Arial"/>
                <w:sz w:val="18"/>
              </w:rPr>
              <w:t>7.678</w:t>
            </w:r>
          </w:p>
        </w:tc>
        <w:tc>
          <w:tcPr>
            <w:tcW w:type="dxa" w:w="1344"/>
          </w:tcPr>
          <w:p>
            <w:pPr>
              <w:jc w:val="center"/>
            </w:pPr>
            <w:r>
              <w:rPr>
                <w:rFonts w:ascii="Arial" w:hAnsi="Arial"/>
                <w:sz w:val="18"/>
              </w:rPr>
              <w:t>7.444</w:t>
            </w:r>
          </w:p>
        </w:tc>
        <w:tc>
          <w:tcPr>
            <w:tcW w:type="dxa" w:w="1344"/>
          </w:tcPr>
          <w:p>
            <w:pPr>
              <w:jc w:val="center"/>
            </w:pPr>
            <w:r>
              <w:rPr>
                <w:rFonts w:ascii="Arial" w:hAnsi="Arial"/>
                <w:sz w:val="18"/>
              </w:rPr>
              <w:t>7.589*</w:t>
            </w:r>
          </w:p>
        </w:tc>
        <w:tc>
          <w:tcPr>
            <w:tcW w:type="dxa" w:w="1344"/>
          </w:tcPr>
          <w:p>
            <w:pPr>
              <w:jc w:val="center"/>
            </w:pPr>
            <w:r>
              <w:rPr>
                <w:rFonts w:ascii="Arial" w:hAnsi="Arial"/>
                <w:sz w:val="18"/>
              </w:rPr>
              <w:t>7.378</w:t>
            </w:r>
          </w:p>
        </w:tc>
        <w:tc>
          <w:tcPr>
            <w:tcW w:type="dxa" w:w="1344"/>
          </w:tcPr>
          <w:p>
            <w:pPr>
              <w:jc w:val="center"/>
            </w:pPr>
            <w:r>
              <w:rPr>
                <w:rFonts w:ascii="Arial" w:hAnsi="Arial"/>
                <w:sz w:val="18"/>
              </w:rPr>
              <w:t>+0.300</w:t>
            </w:r>
          </w:p>
        </w:tc>
        <w:tc>
          <w:tcPr>
            <w:tcW w:type="dxa" w:w="1344"/>
          </w:tcPr>
          <w:p>
            <w:pPr>
              <w:jc w:val="center"/>
            </w:pPr>
            <w:r>
              <w:rPr>
                <w:rFonts w:ascii="Arial" w:hAnsi="Arial"/>
                <w:sz w:val="18"/>
              </w:rPr>
              <w:t>[+0.044,+0.556]</w:t>
            </w:r>
          </w:p>
        </w:tc>
      </w:tr>
      <w:tr>
        <w:tc>
          <w:tcPr>
            <w:tcW w:type="dxa" w:w="1344"/>
            <w:shd w:val="clear" w:color="auto" w:fill="E0E0E0"/>
          </w:tcPr>
          <w:p>
            <w:pPr>
              <w:jc w:val="left"/>
            </w:pPr>
            <w:r>
              <w:rPr>
                <w:rFonts w:ascii="Arial" w:hAnsi="Arial"/>
                <w:b/>
                <w:sz w:val="18"/>
              </w:rPr>
              <w:t>Cross-model</w:t>
            </w:r>
          </w:p>
        </w:tc>
        <w:tc>
          <w:tcPr>
            <w:tcW w:type="dxa" w:w="1344"/>
            <w:shd w:val="clear" w:color="auto" w:fill="E0E0E0"/>
          </w:tcPr>
          <w:p>
            <w:pPr>
              <w:jc w:val="center"/>
            </w:pPr>
            <w:r>
              <w:rPr>
                <w:rFonts w:ascii="Arial" w:hAnsi="Arial"/>
                <w:b/>
                <w:sz w:val="18"/>
              </w:rPr>
              <w:t>7.761</w:t>
            </w:r>
          </w:p>
        </w:tc>
        <w:tc>
          <w:tcPr>
            <w:tcW w:type="dxa" w:w="1344"/>
            <w:shd w:val="clear" w:color="auto" w:fill="E0E0E0"/>
          </w:tcPr>
          <w:p>
            <w:pPr>
              <w:jc w:val="center"/>
            </w:pPr>
            <w:r>
              <w:rPr>
                <w:rFonts w:ascii="Arial" w:hAnsi="Arial"/>
                <w:b/>
                <w:sz w:val="18"/>
              </w:rPr>
              <w:t>7.572</w:t>
            </w:r>
          </w:p>
        </w:tc>
        <w:tc>
          <w:tcPr>
            <w:tcW w:type="dxa" w:w="1344"/>
            <w:shd w:val="clear" w:color="auto" w:fill="E0E0E0"/>
          </w:tcPr>
          <w:p>
            <w:pPr>
              <w:jc w:val="center"/>
            </w:pPr>
            <w:r>
              <w:rPr>
                <w:rFonts w:ascii="Arial" w:hAnsi="Arial"/>
                <w:b/>
                <w:sz w:val="18"/>
              </w:rPr>
              <w:t>7.583</w:t>
            </w:r>
          </w:p>
        </w:tc>
        <w:tc>
          <w:tcPr>
            <w:tcW w:type="dxa" w:w="1344"/>
            <w:shd w:val="clear" w:color="auto" w:fill="E0E0E0"/>
          </w:tcPr>
          <w:p>
            <w:pPr>
              <w:jc w:val="center"/>
            </w:pPr>
            <w:r>
              <w:rPr>
                <w:rFonts w:ascii="Arial" w:hAnsi="Arial"/>
                <w:b/>
                <w:sz w:val="18"/>
              </w:rPr>
              <w:t>7.464</w:t>
            </w:r>
          </w:p>
        </w:tc>
        <w:tc>
          <w:tcPr>
            <w:tcW w:type="dxa" w:w="1344"/>
            <w:shd w:val="clear" w:color="auto" w:fill="E0E0E0"/>
          </w:tcPr>
          <w:p>
            <w:pPr>
              <w:jc w:val="center"/>
            </w:pPr>
            <w:r>
              <w:rPr>
                <w:rFonts w:ascii="Arial" w:hAnsi="Arial"/>
                <w:b/>
                <w:sz w:val="18"/>
              </w:rPr>
              <w:t>+0.297</w:t>
            </w:r>
          </w:p>
        </w:tc>
        <w:tc>
          <w:tcPr>
            <w:tcW w:type="dxa" w:w="1344"/>
            <w:shd w:val="clear" w:color="auto" w:fill="E0E0E0"/>
          </w:tcPr>
          <w:p>
            <w:pPr>
              <w:jc w:val="center"/>
            </w:pPr>
            <w:r>
              <w:rPr>
                <w:rFonts w:ascii="Arial" w:hAnsi="Arial"/>
                <w:b/>
                <w:sz w:val="18"/>
              </w:rPr>
              <w:t>[+0.175,+0.422] ✓</w:t>
            </w:r>
          </w:p>
        </w:tc>
      </w:tr>
    </w:tbl>
    <w:p/>
    <w:p>
      <w:pPr>
        <w:spacing w:before="0" w:after="120"/>
        <w:jc w:val="both"/>
      </w:pPr>
      <w:r>
        <w:rPr>
          <w:rFonts w:ascii="Arial" w:hAnsi="Arial"/>
          <w:b w:val="0"/>
          <w:i w:val="0"/>
          <w:sz w:val="18"/>
        </w:rPr>
        <w:t>* Llama not monotonic: T3 &gt; T2 by 0.144 pts. ✓ = 95% CI entirely positive (statistically robust).</w:t>
      </w:r>
    </w:p>
    <w:p>
      <w:pPr>
        <w:spacing w:before="80" w:after="40"/>
        <w:jc w:val="center"/>
      </w:pPr>
      <w:r>
        <w:rPr>
          <w:rFonts w:ascii="Arial" w:hAnsi="Arial"/>
          <w:b/>
          <w:i w:val="0"/>
          <w:sz w:val="20"/>
        </w:rPr>
        <w:t>Figure 2. Study 1: Institution-Tier Gradient by Model with 95% Bootstrap CI (cross-model)</w:t>
      </w:r>
    </w:p>
    <w:p>
      <w:pPr>
        <w:jc w:val="center"/>
      </w:pPr>
      <w:r>
        <w:drawing>
          <wp:inline xmlns:a="http://schemas.openxmlformats.org/drawingml/2006/main" xmlns:pic="http://schemas.openxmlformats.org/drawingml/2006/picture">
            <wp:extent cx="5303520" cy="2499205"/>
            <wp:docPr id="1" name="Picture 1"/>
            <wp:cNvGraphicFramePr>
              <a:graphicFrameLocks noChangeAspect="1"/>
            </wp:cNvGraphicFramePr>
            <a:graphic>
              <a:graphicData uri="http://schemas.openxmlformats.org/drawingml/2006/picture">
                <pic:pic>
                  <pic:nvPicPr>
                    <pic:cNvPr id="0" name="geo_bias_fig2.png"/>
                    <pic:cNvPicPr/>
                  </pic:nvPicPr>
                  <pic:blipFill>
                    <a:blip r:embed="rId9"/>
                    <a:stretch>
                      <a:fillRect/>
                    </a:stretch>
                  </pic:blipFill>
                  <pic:spPr>
                    <a:xfrm>
                      <a:off x="0" y="0"/>
                      <a:ext cx="5303520" cy="2499205"/>
                    </a:xfrm>
                    <a:prstGeom prst="rect"/>
                  </pic:spPr>
                </pic:pic>
              </a:graphicData>
            </a:graphic>
          </wp:inline>
        </w:drawing>
      </w:r>
    </w:p>
    <w:p/>
    <w:p>
      <w:pPr>
        <w:spacing w:before="0" w:after="40"/>
        <w:jc w:val="both"/>
      </w:pPr>
      <w:r>
        <w:rPr>
          <w:rFonts w:ascii="Arial" w:hAnsi="Arial"/>
          <w:b/>
          <w:i w:val="0"/>
          <w:sz w:val="22"/>
        </w:rPr>
        <w:t>4.2 Study 1: Name-Origin Effect</w:t>
      </w:r>
    </w:p>
    <w:p>
      <w:pPr>
        <w:spacing w:before="0" w:after="80"/>
        <w:ind w:firstLine="283"/>
        <w:jc w:val="both"/>
      </w:pPr>
      <w:r>
        <w:rPr>
          <w:rFonts w:ascii="Arial" w:hAnsi="Arial"/>
          <w:b w:val="0"/>
          <w:i w:val="0"/>
          <w:sz w:val="22"/>
        </w:rPr>
        <w:t>Table 2 shows that Anglo names receive the lowest cross-model mean (7.540), while Arabic (7.633) and Latino (7.612) names receive marginally higher scores. Critically, bootstrap CIs for both contrasts cross zero: the Arabic–Anglo difference is +0.094 (95% CI: −0.015, +0.204) and the Latino–Anglo difference is +0.073 (95% CI: −0.033, +0.181). Neither reaches statistical significance at the 95% level. The observed reversal (non-Anglo names scoring marginally higher) is consistent with alignment training aimed at suppressing ethnic name bias.</w:t>
      </w:r>
    </w:p>
    <w:p>
      <w:pPr>
        <w:spacing w:before="80" w:after="40"/>
        <w:jc w:val="center"/>
      </w:pPr>
      <w:r>
        <w:rPr>
          <w:rFonts w:ascii="Arial" w:hAnsi="Arial"/>
          <w:b/>
          <w:i w:val="0"/>
          <w:sz w:val="20"/>
        </w:rPr>
        <w:t>Table 2. Study 1 — Mean Score by Name Origin (all tiers; bootstrap CIs cross zero for all contrasts)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BFBFBF"/>
          </w:tcPr>
          <w:p>
            <w:pPr>
              <w:jc w:val="center"/>
            </w:pPr>
            <w:r>
              <w:rPr>
                <w:rFonts w:ascii="Arial" w:hAnsi="Arial"/>
                <w:b/>
                <w:sz w:val="18"/>
              </w:rPr>
              <w:t>Model</w:t>
            </w:r>
          </w:p>
        </w:tc>
        <w:tc>
          <w:tcPr>
            <w:tcW w:type="dxa" w:w="1568"/>
            <w:shd w:val="clear" w:color="auto" w:fill="BFBFBF"/>
          </w:tcPr>
          <w:p>
            <w:pPr>
              <w:jc w:val="center"/>
            </w:pPr>
            <w:r>
              <w:rPr>
                <w:rFonts w:ascii="Arial" w:hAnsi="Arial"/>
                <w:b/>
                <w:sz w:val="18"/>
              </w:rPr>
              <w:t>Anglo</w:t>
            </w:r>
          </w:p>
        </w:tc>
        <w:tc>
          <w:tcPr>
            <w:tcW w:type="dxa" w:w="1568"/>
            <w:shd w:val="clear" w:color="auto" w:fill="BFBFBF"/>
          </w:tcPr>
          <w:p>
            <w:pPr>
              <w:jc w:val="center"/>
            </w:pPr>
            <w:r>
              <w:rPr>
                <w:rFonts w:ascii="Arial" w:hAnsi="Arial"/>
                <w:b/>
                <w:sz w:val="18"/>
              </w:rPr>
              <w:t>Latino</w:t>
            </w:r>
          </w:p>
        </w:tc>
        <w:tc>
          <w:tcPr>
            <w:tcW w:type="dxa" w:w="1568"/>
            <w:shd w:val="clear" w:color="auto" w:fill="BFBFBF"/>
          </w:tcPr>
          <w:p>
            <w:pPr>
              <w:jc w:val="center"/>
            </w:pPr>
            <w:r>
              <w:rPr>
                <w:rFonts w:ascii="Arial" w:hAnsi="Arial"/>
                <w:b/>
                <w:sz w:val="18"/>
              </w:rPr>
              <w:t>Arabic</w:t>
            </w:r>
          </w:p>
        </w:tc>
        <w:tc>
          <w:tcPr>
            <w:tcW w:type="dxa" w:w="1568"/>
            <w:shd w:val="clear" w:color="auto" w:fill="BFBFBF"/>
          </w:tcPr>
          <w:p>
            <w:pPr>
              <w:jc w:val="center"/>
            </w:pPr>
            <w:r>
              <w:rPr>
                <w:rFonts w:ascii="Arial" w:hAnsi="Arial"/>
                <w:b/>
                <w:sz w:val="18"/>
              </w:rPr>
              <w:t>Max gap</w:t>
            </w:r>
          </w:p>
        </w:tc>
        <w:tc>
          <w:tcPr>
            <w:tcW w:type="dxa" w:w="1568"/>
            <w:shd w:val="clear" w:color="auto" w:fill="BFBFBF"/>
          </w:tcPr>
          <w:p>
            <w:pPr>
              <w:jc w:val="center"/>
            </w:pPr>
            <w:r>
              <w:rPr>
                <w:rFonts w:ascii="Arial" w:hAnsi="Arial"/>
                <w:b/>
                <w:sz w:val="18"/>
              </w:rPr>
              <w:t>Significant?</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7.208</w:t>
            </w:r>
          </w:p>
        </w:tc>
        <w:tc>
          <w:tcPr>
            <w:tcW w:type="dxa" w:w="1568"/>
          </w:tcPr>
          <w:p>
            <w:pPr>
              <w:jc w:val="center"/>
            </w:pPr>
            <w:r>
              <w:rPr>
                <w:rFonts w:ascii="Arial" w:hAnsi="Arial"/>
                <w:sz w:val="18"/>
              </w:rPr>
              <w:t>7.233</w:t>
            </w:r>
          </w:p>
        </w:tc>
        <w:tc>
          <w:tcPr>
            <w:tcW w:type="dxa" w:w="1568"/>
          </w:tcPr>
          <w:p>
            <w:pPr>
              <w:jc w:val="center"/>
            </w:pPr>
            <w:r>
              <w:rPr>
                <w:rFonts w:ascii="Arial" w:hAnsi="Arial"/>
                <w:sz w:val="18"/>
              </w:rPr>
              <w:t>7.325</w:t>
            </w:r>
          </w:p>
        </w:tc>
        <w:tc>
          <w:tcPr>
            <w:tcW w:type="dxa" w:w="1568"/>
          </w:tcPr>
          <w:p>
            <w:pPr>
              <w:jc w:val="center"/>
            </w:pPr>
            <w:r>
              <w:rPr>
                <w:rFonts w:ascii="Arial" w:hAnsi="Arial"/>
                <w:sz w:val="18"/>
              </w:rPr>
              <w:t>0.117</w:t>
            </w:r>
          </w:p>
        </w:tc>
        <w:tc>
          <w:tcPr>
            <w:tcW w:type="dxa" w:w="1568"/>
          </w:tcPr>
          <w:p>
            <w:pPr>
              <w:jc w:val="center"/>
            </w:pPr>
            <w:r>
              <w:rPr>
                <w:rFonts w:ascii="Arial" w:hAnsi="Arial"/>
                <w:sz w:val="18"/>
              </w:rPr>
              <w:t>No</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8.217</w:t>
            </w:r>
          </w:p>
        </w:tc>
        <w:tc>
          <w:tcPr>
            <w:tcW w:type="dxa" w:w="1568"/>
          </w:tcPr>
          <w:p>
            <w:pPr>
              <w:jc w:val="center"/>
            </w:pPr>
            <w:r>
              <w:rPr>
                <w:rFonts w:ascii="Arial" w:hAnsi="Arial"/>
                <w:sz w:val="18"/>
              </w:rPr>
              <w:t>8.250</w:t>
            </w:r>
          </w:p>
        </w:tc>
        <w:tc>
          <w:tcPr>
            <w:tcW w:type="dxa" w:w="1568"/>
          </w:tcPr>
          <w:p>
            <w:pPr>
              <w:jc w:val="center"/>
            </w:pPr>
            <w:r>
              <w:rPr>
                <w:rFonts w:ascii="Arial" w:hAnsi="Arial"/>
                <w:sz w:val="18"/>
              </w:rPr>
              <w:t>8.267</w:t>
            </w:r>
          </w:p>
        </w:tc>
        <w:tc>
          <w:tcPr>
            <w:tcW w:type="dxa" w:w="1568"/>
          </w:tcPr>
          <w:p>
            <w:pPr>
              <w:jc w:val="center"/>
            </w:pPr>
            <w:r>
              <w:rPr>
                <w:rFonts w:ascii="Arial" w:hAnsi="Arial"/>
                <w:sz w:val="18"/>
              </w:rPr>
              <w:t>0.050</w:t>
            </w:r>
          </w:p>
        </w:tc>
        <w:tc>
          <w:tcPr>
            <w:tcW w:type="dxa" w:w="1568"/>
          </w:tcPr>
          <w:p>
            <w:pPr>
              <w:jc w:val="center"/>
            </w:pPr>
            <w:r>
              <w:rPr>
                <w:rFonts w:ascii="Arial" w:hAnsi="Arial"/>
                <w:sz w:val="18"/>
              </w:rPr>
              <w:t>No</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7.267</w:t>
            </w:r>
          </w:p>
        </w:tc>
        <w:tc>
          <w:tcPr>
            <w:tcW w:type="dxa" w:w="1568"/>
          </w:tcPr>
          <w:p>
            <w:pPr>
              <w:jc w:val="center"/>
            </w:pPr>
            <w:r>
              <w:rPr>
                <w:rFonts w:ascii="Arial" w:hAnsi="Arial"/>
                <w:sz w:val="18"/>
              </w:rPr>
              <w:t>7.417</w:t>
            </w:r>
          </w:p>
        </w:tc>
        <w:tc>
          <w:tcPr>
            <w:tcW w:type="dxa" w:w="1568"/>
          </w:tcPr>
          <w:p>
            <w:pPr>
              <w:jc w:val="center"/>
            </w:pPr>
            <w:r>
              <w:rPr>
                <w:rFonts w:ascii="Arial" w:hAnsi="Arial"/>
                <w:sz w:val="18"/>
              </w:rPr>
              <w:t>7.392</w:t>
            </w:r>
          </w:p>
        </w:tc>
        <w:tc>
          <w:tcPr>
            <w:tcW w:type="dxa" w:w="1568"/>
          </w:tcPr>
          <w:p>
            <w:pPr>
              <w:jc w:val="center"/>
            </w:pPr>
            <w:r>
              <w:rPr>
                <w:rFonts w:ascii="Arial" w:hAnsi="Arial"/>
                <w:sz w:val="18"/>
              </w:rPr>
              <w:t>0.150</w:t>
            </w:r>
          </w:p>
        </w:tc>
        <w:tc>
          <w:tcPr>
            <w:tcW w:type="dxa" w:w="1568"/>
          </w:tcPr>
          <w:p>
            <w:pPr>
              <w:jc w:val="center"/>
            </w:pPr>
            <w:r>
              <w:rPr>
                <w:rFonts w:ascii="Arial" w:hAnsi="Arial"/>
                <w:sz w:val="18"/>
              </w:rPr>
              <w:t>No</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7.467</w:t>
            </w:r>
          </w:p>
        </w:tc>
        <w:tc>
          <w:tcPr>
            <w:tcW w:type="dxa" w:w="1568"/>
          </w:tcPr>
          <w:p>
            <w:pPr>
              <w:jc w:val="center"/>
            </w:pPr>
            <w:r>
              <w:rPr>
                <w:rFonts w:ascii="Arial" w:hAnsi="Arial"/>
                <w:sz w:val="18"/>
              </w:rPr>
              <w:t>7.550</w:t>
            </w:r>
          </w:p>
        </w:tc>
        <w:tc>
          <w:tcPr>
            <w:tcW w:type="dxa" w:w="1568"/>
          </w:tcPr>
          <w:p>
            <w:pPr>
              <w:jc w:val="center"/>
            </w:pPr>
            <w:r>
              <w:rPr>
                <w:rFonts w:ascii="Arial" w:hAnsi="Arial"/>
                <w:sz w:val="18"/>
              </w:rPr>
              <w:t>7.550</w:t>
            </w:r>
          </w:p>
        </w:tc>
        <w:tc>
          <w:tcPr>
            <w:tcW w:type="dxa" w:w="1568"/>
          </w:tcPr>
          <w:p>
            <w:pPr>
              <w:jc w:val="center"/>
            </w:pPr>
            <w:r>
              <w:rPr>
                <w:rFonts w:ascii="Arial" w:hAnsi="Arial"/>
                <w:sz w:val="18"/>
              </w:rPr>
              <w:t>0.083</w:t>
            </w:r>
          </w:p>
        </w:tc>
        <w:tc>
          <w:tcPr>
            <w:tcW w:type="dxa" w:w="1568"/>
          </w:tcPr>
          <w:p>
            <w:pPr>
              <w:jc w:val="center"/>
            </w:pPr>
            <w:r>
              <w:rPr>
                <w:rFonts w:ascii="Arial" w:hAnsi="Arial"/>
                <w:sz w:val="18"/>
              </w:rPr>
              <w:t>No</w:t>
            </w:r>
          </w:p>
        </w:tc>
      </w:tr>
      <w:tr>
        <w:tc>
          <w:tcPr>
            <w:tcW w:type="dxa" w:w="1568"/>
            <w:shd w:val="clear" w:color="auto" w:fill="E0E0E0"/>
          </w:tcPr>
          <w:p>
            <w:pPr>
              <w:jc w:val="left"/>
            </w:pPr>
            <w:r>
              <w:rPr>
                <w:rFonts w:ascii="Arial" w:hAnsi="Arial"/>
                <w:b/>
                <w:sz w:val="18"/>
              </w:rPr>
              <w:t>Cross-model</w:t>
            </w:r>
          </w:p>
        </w:tc>
        <w:tc>
          <w:tcPr>
            <w:tcW w:type="dxa" w:w="1568"/>
            <w:shd w:val="clear" w:color="auto" w:fill="E0E0E0"/>
          </w:tcPr>
          <w:p>
            <w:pPr>
              <w:jc w:val="center"/>
            </w:pPr>
            <w:r>
              <w:rPr>
                <w:rFonts w:ascii="Arial" w:hAnsi="Arial"/>
                <w:b/>
                <w:sz w:val="18"/>
              </w:rPr>
              <w:t>7.540</w:t>
            </w:r>
          </w:p>
        </w:tc>
        <w:tc>
          <w:tcPr>
            <w:tcW w:type="dxa" w:w="1568"/>
            <w:shd w:val="clear" w:color="auto" w:fill="E0E0E0"/>
          </w:tcPr>
          <w:p>
            <w:pPr>
              <w:jc w:val="center"/>
            </w:pPr>
            <w:r>
              <w:rPr>
                <w:rFonts w:ascii="Arial" w:hAnsi="Arial"/>
                <w:b/>
                <w:sz w:val="18"/>
              </w:rPr>
              <w:t>7.612</w:t>
            </w:r>
          </w:p>
        </w:tc>
        <w:tc>
          <w:tcPr>
            <w:tcW w:type="dxa" w:w="1568"/>
            <w:shd w:val="clear" w:color="auto" w:fill="E0E0E0"/>
          </w:tcPr>
          <w:p>
            <w:pPr>
              <w:jc w:val="center"/>
            </w:pPr>
            <w:r>
              <w:rPr>
                <w:rFonts w:ascii="Arial" w:hAnsi="Arial"/>
                <w:b/>
                <w:sz w:val="18"/>
              </w:rPr>
              <w:t>7.633</w:t>
            </w:r>
          </w:p>
        </w:tc>
        <w:tc>
          <w:tcPr>
            <w:tcW w:type="dxa" w:w="1568"/>
            <w:shd w:val="clear" w:color="auto" w:fill="E0E0E0"/>
          </w:tcPr>
          <w:p>
            <w:pPr>
              <w:jc w:val="center"/>
            </w:pPr>
            <w:r>
              <w:rPr>
                <w:rFonts w:ascii="Arial" w:hAnsi="Arial"/>
                <w:b/>
                <w:sz w:val="18"/>
              </w:rPr>
              <w:t>0.094</w:t>
            </w:r>
          </w:p>
        </w:tc>
        <w:tc>
          <w:tcPr>
            <w:tcW w:type="dxa" w:w="1568"/>
            <w:shd w:val="clear" w:color="auto" w:fill="E0E0E0"/>
          </w:tcPr>
          <w:p>
            <w:pPr>
              <w:jc w:val="center"/>
            </w:pPr>
            <w:r>
              <w:rPr>
                <w:rFonts w:ascii="Arial" w:hAnsi="Arial"/>
                <w:b/>
                <w:sz w:val="18"/>
              </w:rPr>
              <w:t>No (CI crosses zero)</w:t>
            </w:r>
          </w:p>
        </w:tc>
      </w:tr>
    </w:tbl>
    <w:p/>
    <w:p>
      <w:pPr>
        <w:spacing w:before="0" w:after="40"/>
        <w:jc w:val="both"/>
      </w:pPr>
      <w:r>
        <w:rPr>
          <w:rFonts w:ascii="Arial" w:hAnsi="Arial"/>
          <w:b/>
          <w:i w:val="0"/>
          <w:sz w:val="22"/>
        </w:rPr>
        <w:t>4.3 Study 2: Prestige vs. Country-of-Origin Effect</w:t>
      </w:r>
    </w:p>
    <w:p>
      <w:pPr>
        <w:spacing w:before="0" w:after="80"/>
        <w:ind w:firstLine="283"/>
        <w:jc w:val="both"/>
      </w:pPr>
      <w:r>
        <w:rPr>
          <w:rFonts w:ascii="Arial" w:hAnsi="Arial"/>
          <w:b w:val="0"/>
          <w:i w:val="0"/>
          <w:sz w:val="22"/>
        </w:rPr>
        <w:t>Table 3 presents the 2×2 cell means and factorial effects. The cross-model prestige effect (+0.185; 95% CI: +0.093, +0.275) and country effect (+0.126; 95% CI: +0.037, +0.218) are both statistically significant — their CIs do not include zero. Prestige exceeds country by a factor of 1.5×. Figure 1 visualises the four cell means per model. At the individual model level, Haiku and Gemini show clearly significant prestige effects, while GPT-4o-mini and Llama have wider CIs.</w:t>
      </w:r>
    </w:p>
    <w:p>
      <w:pPr>
        <w:spacing w:before="80" w:after="40"/>
        <w:jc w:val="center"/>
      </w:pPr>
      <w:r>
        <w:rPr>
          <w:rFonts w:ascii="Arial" w:hAnsi="Arial"/>
          <w:b/>
          <w:i w:val="0"/>
          <w:sz w:val="20"/>
        </w:rPr>
        <w:t>Table 3. Study 2 — 2×2 Cell Means and Factorial Effects with 95% Bootstrap CIs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BFBFBF"/>
          </w:tcPr>
          <w:p>
            <w:pPr>
              <w:jc w:val="center"/>
            </w:pPr>
            <w:r>
              <w:rPr>
                <w:rFonts w:ascii="Arial" w:hAnsi="Arial"/>
                <w:b/>
                <w:sz w:val="18"/>
              </w:rPr>
              <w:t>Model</w:t>
            </w:r>
          </w:p>
        </w:tc>
        <w:tc>
          <w:tcPr>
            <w:tcW w:type="dxa" w:w="1176"/>
            <w:shd w:val="clear" w:color="auto" w:fill="BFBFBF"/>
          </w:tcPr>
          <w:p>
            <w:pPr>
              <w:jc w:val="center"/>
            </w:pPr>
            <w:r>
              <w:rPr>
                <w:rFonts w:ascii="Arial" w:hAnsi="Arial"/>
                <w:b/>
                <w:sz w:val="18"/>
              </w:rPr>
              <w:t>MIT</w:t>
              <w:br/>
              <w:t>(Hi,Dev)</w:t>
            </w:r>
          </w:p>
        </w:tc>
        <w:tc>
          <w:tcPr>
            <w:tcW w:type="dxa" w:w="1176"/>
            <w:shd w:val="clear" w:color="auto" w:fill="BFBFBF"/>
          </w:tcPr>
          <w:p>
            <w:pPr>
              <w:jc w:val="center"/>
            </w:pPr>
            <w:r>
              <w:rPr>
                <w:rFonts w:ascii="Arial" w:hAnsi="Arial"/>
                <w:b/>
                <w:sz w:val="18"/>
              </w:rPr>
              <w:t>UNAM</w:t>
              <w:br/>
              <w:t>(Hi,Dvlp)</w:t>
            </w:r>
          </w:p>
        </w:tc>
        <w:tc>
          <w:tcPr>
            <w:tcW w:type="dxa" w:w="1176"/>
            <w:shd w:val="clear" w:color="auto" w:fill="BFBFBF"/>
          </w:tcPr>
          <w:p>
            <w:pPr>
              <w:jc w:val="center"/>
            </w:pPr>
            <w:r>
              <w:rPr>
                <w:rFonts w:ascii="Arial" w:hAnsi="Arial"/>
                <w:b/>
                <w:sz w:val="18"/>
              </w:rPr>
              <w:t>FSU</w:t>
              <w:br/>
              <w:t>(Lo,Dev)</w:t>
            </w:r>
          </w:p>
        </w:tc>
        <w:tc>
          <w:tcPr>
            <w:tcW w:type="dxa" w:w="1176"/>
            <w:shd w:val="clear" w:color="auto" w:fill="BFBFBF"/>
          </w:tcPr>
          <w:p>
            <w:pPr>
              <w:jc w:val="center"/>
            </w:pPr>
            <w:r>
              <w:rPr>
                <w:rFonts w:ascii="Arial" w:hAnsi="Arial"/>
                <w:b/>
                <w:sz w:val="18"/>
              </w:rPr>
              <w:t>UGye</w:t>
              <w:br/>
              <w:t>(Lo,Dvlp)</w:t>
            </w:r>
          </w:p>
        </w:tc>
        <w:tc>
          <w:tcPr>
            <w:tcW w:type="dxa" w:w="1176"/>
            <w:shd w:val="clear" w:color="auto" w:fill="BFBFBF"/>
          </w:tcPr>
          <w:p>
            <w:pPr>
              <w:jc w:val="center"/>
            </w:pPr>
            <w:r>
              <w:rPr>
                <w:rFonts w:ascii="Arial" w:hAnsi="Arial"/>
                <w:b/>
                <w:sz w:val="18"/>
              </w:rPr>
              <w:t>Prestige</w:t>
              <w:br/>
              <w:t>(95% CI)</w:t>
            </w:r>
          </w:p>
        </w:tc>
        <w:tc>
          <w:tcPr>
            <w:tcW w:type="dxa" w:w="1176"/>
            <w:shd w:val="clear" w:color="auto" w:fill="BFBFBF"/>
          </w:tcPr>
          <w:p>
            <w:pPr>
              <w:jc w:val="center"/>
            </w:pPr>
            <w:r>
              <w:rPr>
                <w:rFonts w:ascii="Arial" w:hAnsi="Arial"/>
                <w:b/>
                <w:sz w:val="18"/>
              </w:rPr>
              <w:t>Country</w:t>
              <w:br/>
              <w:t>(95% CI)</w:t>
            </w:r>
          </w:p>
        </w:tc>
        <w:tc>
          <w:tcPr>
            <w:tcW w:type="dxa" w:w="1176"/>
            <w:shd w:val="clear" w:color="auto" w:fill="BFBFBF"/>
          </w:tcPr>
          <w:p>
            <w:pPr>
              <w:jc w:val="center"/>
            </w:pPr>
            <w:r>
              <w:rPr>
                <w:rFonts w:ascii="Arial" w:hAnsi="Arial"/>
                <w:b/>
                <w:sz w:val="18"/>
              </w:rPr>
              <w:t>Dominant</w:t>
            </w:r>
          </w:p>
        </w:tc>
      </w:tr>
      <w:tr>
        <w:tc>
          <w:tcPr>
            <w:tcW w:type="dxa" w:w="1176"/>
          </w:tcPr>
          <w:p>
            <w:pPr>
              <w:jc w:val="left"/>
            </w:pPr>
            <w:r>
              <w:rPr>
                <w:rFonts w:ascii="Arial" w:hAnsi="Arial"/>
                <w:sz w:val="18"/>
              </w:rPr>
              <w:t>Claude Haiku 4.5</w:t>
            </w:r>
          </w:p>
        </w:tc>
        <w:tc>
          <w:tcPr>
            <w:tcW w:type="dxa" w:w="1176"/>
          </w:tcPr>
          <w:p>
            <w:pPr>
              <w:jc w:val="center"/>
            </w:pPr>
            <w:r>
              <w:rPr>
                <w:rFonts w:ascii="Arial" w:hAnsi="Arial"/>
                <w:sz w:val="18"/>
              </w:rPr>
              <w:t>7.411</w:t>
            </w:r>
          </w:p>
        </w:tc>
        <w:tc>
          <w:tcPr>
            <w:tcW w:type="dxa" w:w="1176"/>
          </w:tcPr>
          <w:p>
            <w:pPr>
              <w:jc w:val="center"/>
            </w:pPr>
            <w:r>
              <w:rPr>
                <w:rFonts w:ascii="Arial" w:hAnsi="Arial"/>
                <w:sz w:val="18"/>
              </w:rPr>
              <w:t>7.233</w:t>
            </w:r>
          </w:p>
        </w:tc>
        <w:tc>
          <w:tcPr>
            <w:tcW w:type="dxa" w:w="1176"/>
          </w:tcPr>
          <w:p>
            <w:pPr>
              <w:jc w:val="center"/>
            </w:pPr>
            <w:r>
              <w:rPr>
                <w:rFonts w:ascii="Arial" w:hAnsi="Arial"/>
                <w:sz w:val="18"/>
              </w:rPr>
              <w:t>7.011</w:t>
            </w:r>
          </w:p>
        </w:tc>
        <w:tc>
          <w:tcPr>
            <w:tcW w:type="dxa" w:w="1176"/>
          </w:tcPr>
          <w:p>
            <w:pPr>
              <w:jc w:val="center"/>
            </w:pPr>
            <w:r>
              <w:rPr>
                <w:rFonts w:ascii="Arial" w:hAnsi="Arial"/>
                <w:sz w:val="18"/>
              </w:rPr>
              <w:t>7.144</w:t>
            </w:r>
          </w:p>
        </w:tc>
        <w:tc>
          <w:tcPr>
            <w:tcW w:type="dxa" w:w="1176"/>
          </w:tcPr>
          <w:p>
            <w:pPr>
              <w:jc w:val="center"/>
            </w:pPr>
            <w:r>
              <w:rPr>
                <w:rFonts w:ascii="Arial" w:hAnsi="Arial"/>
                <w:sz w:val="18"/>
              </w:rPr>
              <w:t>+0.244 [+0.106,+0.383]†</w:t>
            </w:r>
          </w:p>
        </w:tc>
        <w:tc>
          <w:tcPr>
            <w:tcW w:type="dxa" w:w="1176"/>
          </w:tcPr>
          <w:p>
            <w:pPr>
              <w:jc w:val="center"/>
            </w:pPr>
            <w:r>
              <w:rPr>
                <w:rFonts w:ascii="Arial" w:hAnsi="Arial"/>
                <w:sz w:val="18"/>
              </w:rPr>
              <w:t>+0.022 [−0.117,+0.167]</w:t>
            </w:r>
          </w:p>
        </w:tc>
        <w:tc>
          <w:tcPr>
            <w:tcW w:type="dxa" w:w="1176"/>
          </w:tcPr>
          <w:p>
            <w:pPr>
              <w:jc w:val="center"/>
            </w:pPr>
            <w:r>
              <w:rPr>
                <w:rFonts w:ascii="Arial" w:hAnsi="Arial"/>
                <w:sz w:val="18"/>
              </w:rPr>
              <w:t>Prestige</w:t>
            </w:r>
          </w:p>
        </w:tc>
      </w:tr>
      <w:tr>
        <w:tc>
          <w:tcPr>
            <w:tcW w:type="dxa" w:w="1176"/>
          </w:tcPr>
          <w:p>
            <w:pPr>
              <w:jc w:val="left"/>
            </w:pPr>
            <w:r>
              <w:rPr>
                <w:rFonts w:ascii="Arial" w:hAnsi="Arial"/>
                <w:sz w:val="18"/>
              </w:rPr>
              <w:t>GPT-4o-mini</w:t>
            </w:r>
          </w:p>
        </w:tc>
        <w:tc>
          <w:tcPr>
            <w:tcW w:type="dxa" w:w="1176"/>
          </w:tcPr>
          <w:p>
            <w:pPr>
              <w:jc w:val="center"/>
            </w:pPr>
            <w:r>
              <w:rPr>
                <w:rFonts w:ascii="Arial" w:hAnsi="Arial"/>
                <w:sz w:val="18"/>
              </w:rPr>
              <w:t>8.389</w:t>
            </w:r>
          </w:p>
        </w:tc>
        <w:tc>
          <w:tcPr>
            <w:tcW w:type="dxa" w:w="1176"/>
          </w:tcPr>
          <w:p>
            <w:pPr>
              <w:jc w:val="center"/>
            </w:pPr>
            <w:r>
              <w:rPr>
                <w:rFonts w:ascii="Arial" w:hAnsi="Arial"/>
                <w:sz w:val="18"/>
              </w:rPr>
              <w:t>8.222</w:t>
            </w:r>
          </w:p>
        </w:tc>
        <w:tc>
          <w:tcPr>
            <w:tcW w:type="dxa" w:w="1176"/>
          </w:tcPr>
          <w:p>
            <w:pPr>
              <w:jc w:val="center"/>
            </w:pPr>
            <w:r>
              <w:rPr>
                <w:rFonts w:ascii="Arial" w:hAnsi="Arial"/>
                <w:sz w:val="18"/>
              </w:rPr>
              <w:t>8.178</w:t>
            </w:r>
          </w:p>
        </w:tc>
        <w:tc>
          <w:tcPr>
            <w:tcW w:type="dxa" w:w="1176"/>
          </w:tcPr>
          <w:p>
            <w:pPr>
              <w:jc w:val="center"/>
            </w:pPr>
            <w:r>
              <w:rPr>
                <w:rFonts w:ascii="Arial" w:hAnsi="Arial"/>
                <w:sz w:val="18"/>
              </w:rPr>
              <w:t>8.156</w:t>
            </w:r>
          </w:p>
        </w:tc>
        <w:tc>
          <w:tcPr>
            <w:tcW w:type="dxa" w:w="1176"/>
          </w:tcPr>
          <w:p>
            <w:pPr>
              <w:jc w:val="center"/>
            </w:pPr>
            <w:r>
              <w:rPr>
                <w:rFonts w:ascii="Arial" w:hAnsi="Arial"/>
                <w:sz w:val="18"/>
              </w:rPr>
              <w:t>+0.139 [+0.000,+0.278]</w:t>
            </w:r>
          </w:p>
        </w:tc>
        <w:tc>
          <w:tcPr>
            <w:tcW w:type="dxa" w:w="1176"/>
          </w:tcPr>
          <w:p>
            <w:pPr>
              <w:jc w:val="center"/>
            </w:pPr>
            <w:r>
              <w:rPr>
                <w:rFonts w:ascii="Arial" w:hAnsi="Arial"/>
                <w:sz w:val="18"/>
              </w:rPr>
              <w:t>+0.094 [−0.044,+0.233]</w:t>
            </w:r>
          </w:p>
        </w:tc>
        <w:tc>
          <w:tcPr>
            <w:tcW w:type="dxa" w:w="1176"/>
          </w:tcPr>
          <w:p>
            <w:pPr>
              <w:jc w:val="center"/>
            </w:pPr>
            <w:r>
              <w:rPr>
                <w:rFonts w:ascii="Arial" w:hAnsi="Arial"/>
                <w:sz w:val="18"/>
              </w:rPr>
              <w:t>Prestige</w:t>
            </w:r>
          </w:p>
        </w:tc>
      </w:tr>
      <w:tr>
        <w:tc>
          <w:tcPr>
            <w:tcW w:type="dxa" w:w="1176"/>
          </w:tcPr>
          <w:p>
            <w:pPr>
              <w:jc w:val="left"/>
            </w:pPr>
            <w:r>
              <w:rPr>
                <w:rFonts w:ascii="Arial" w:hAnsi="Arial"/>
                <w:sz w:val="18"/>
              </w:rPr>
              <w:t>Gemini 2.0 Flash</w:t>
            </w:r>
          </w:p>
        </w:tc>
        <w:tc>
          <w:tcPr>
            <w:tcW w:type="dxa" w:w="1176"/>
          </w:tcPr>
          <w:p>
            <w:pPr>
              <w:jc w:val="center"/>
            </w:pPr>
            <w:r>
              <w:rPr>
                <w:rFonts w:ascii="Arial" w:hAnsi="Arial"/>
                <w:sz w:val="18"/>
              </w:rPr>
              <w:t>7.578</w:t>
            </w:r>
          </w:p>
        </w:tc>
        <w:tc>
          <w:tcPr>
            <w:tcW w:type="dxa" w:w="1176"/>
          </w:tcPr>
          <w:p>
            <w:pPr>
              <w:jc w:val="center"/>
            </w:pPr>
            <w:r>
              <w:rPr>
                <w:rFonts w:ascii="Arial" w:hAnsi="Arial"/>
                <w:sz w:val="18"/>
              </w:rPr>
              <w:t>7.300</w:t>
            </w:r>
          </w:p>
        </w:tc>
        <w:tc>
          <w:tcPr>
            <w:tcW w:type="dxa" w:w="1176"/>
          </w:tcPr>
          <w:p>
            <w:pPr>
              <w:jc w:val="center"/>
            </w:pPr>
            <w:r>
              <w:rPr>
                <w:rFonts w:ascii="Arial" w:hAnsi="Arial"/>
                <w:sz w:val="18"/>
              </w:rPr>
              <w:t>7.300</w:t>
            </w:r>
          </w:p>
        </w:tc>
        <w:tc>
          <w:tcPr>
            <w:tcW w:type="dxa" w:w="1176"/>
          </w:tcPr>
          <w:p>
            <w:pPr>
              <w:jc w:val="center"/>
            </w:pPr>
            <w:r>
              <w:rPr>
                <w:rFonts w:ascii="Arial" w:hAnsi="Arial"/>
                <w:sz w:val="18"/>
              </w:rPr>
              <w:t>7.167</w:t>
            </w:r>
          </w:p>
        </w:tc>
        <w:tc>
          <w:tcPr>
            <w:tcW w:type="dxa" w:w="1176"/>
          </w:tcPr>
          <w:p>
            <w:pPr>
              <w:jc w:val="center"/>
            </w:pPr>
            <w:r>
              <w:rPr>
                <w:rFonts w:ascii="Arial" w:hAnsi="Arial"/>
                <w:sz w:val="18"/>
              </w:rPr>
              <w:t>+0.206 [+0.039,+0.372]†</w:t>
            </w:r>
          </w:p>
        </w:tc>
        <w:tc>
          <w:tcPr>
            <w:tcW w:type="dxa" w:w="1176"/>
          </w:tcPr>
          <w:p>
            <w:pPr>
              <w:jc w:val="center"/>
            </w:pPr>
            <w:r>
              <w:rPr>
                <w:rFonts w:ascii="Arial" w:hAnsi="Arial"/>
                <w:sz w:val="18"/>
              </w:rPr>
              <w:t>+0.206 [+0.044,+0.372]†</w:t>
            </w:r>
          </w:p>
        </w:tc>
        <w:tc>
          <w:tcPr>
            <w:tcW w:type="dxa" w:w="1176"/>
          </w:tcPr>
          <w:p>
            <w:pPr>
              <w:jc w:val="center"/>
            </w:pPr>
            <w:r>
              <w:rPr>
                <w:rFonts w:ascii="Arial" w:hAnsi="Arial"/>
                <w:sz w:val="18"/>
              </w:rPr>
              <w:t>Tied</w:t>
            </w:r>
          </w:p>
        </w:tc>
      </w:tr>
      <w:tr>
        <w:tc>
          <w:tcPr>
            <w:tcW w:type="dxa" w:w="1176"/>
          </w:tcPr>
          <w:p>
            <w:pPr>
              <w:jc w:val="left"/>
            </w:pPr>
            <w:r>
              <w:rPr>
                <w:rFonts w:ascii="Arial" w:hAnsi="Arial"/>
                <w:sz w:val="18"/>
              </w:rPr>
              <w:t>Llama 3.1 8B</w:t>
            </w:r>
          </w:p>
        </w:tc>
        <w:tc>
          <w:tcPr>
            <w:tcW w:type="dxa" w:w="1176"/>
          </w:tcPr>
          <w:p>
            <w:pPr>
              <w:jc w:val="center"/>
            </w:pPr>
            <w:r>
              <w:rPr>
                <w:rFonts w:ascii="Arial" w:hAnsi="Arial"/>
                <w:sz w:val="18"/>
              </w:rPr>
              <w:t>7.656</w:t>
            </w:r>
          </w:p>
        </w:tc>
        <w:tc>
          <w:tcPr>
            <w:tcW w:type="dxa" w:w="1176"/>
          </w:tcPr>
          <w:p>
            <w:pPr>
              <w:jc w:val="center"/>
            </w:pPr>
            <w:r>
              <w:rPr>
                <w:rFonts w:ascii="Arial" w:hAnsi="Arial"/>
                <w:sz w:val="18"/>
              </w:rPr>
              <w:t>7.344</w:t>
            </w:r>
          </w:p>
        </w:tc>
        <w:tc>
          <w:tcPr>
            <w:tcW w:type="dxa" w:w="1176"/>
          </w:tcPr>
          <w:p>
            <w:pPr>
              <w:jc w:val="center"/>
            </w:pPr>
            <w:r>
              <w:rPr>
                <w:rFonts w:ascii="Arial" w:hAnsi="Arial"/>
                <w:sz w:val="18"/>
              </w:rPr>
              <w:t>7.378</w:t>
            </w:r>
          </w:p>
        </w:tc>
        <w:tc>
          <w:tcPr>
            <w:tcW w:type="dxa" w:w="1176"/>
          </w:tcPr>
          <w:p>
            <w:pPr>
              <w:jc w:val="center"/>
            </w:pPr>
            <w:r>
              <w:rPr>
                <w:rFonts w:ascii="Arial" w:hAnsi="Arial"/>
                <w:sz w:val="18"/>
              </w:rPr>
              <w:t>7.322</w:t>
            </w:r>
          </w:p>
        </w:tc>
        <w:tc>
          <w:tcPr>
            <w:tcW w:type="dxa" w:w="1176"/>
          </w:tcPr>
          <w:p>
            <w:pPr>
              <w:jc w:val="center"/>
            </w:pPr>
            <w:r>
              <w:rPr>
                <w:rFonts w:ascii="Arial" w:hAnsi="Arial"/>
                <w:sz w:val="18"/>
              </w:rPr>
              <w:t>+0.150 [−0.045,+0.344]</w:t>
            </w:r>
          </w:p>
        </w:tc>
        <w:tc>
          <w:tcPr>
            <w:tcW w:type="dxa" w:w="1176"/>
          </w:tcPr>
          <w:p>
            <w:pPr>
              <w:jc w:val="center"/>
            </w:pPr>
            <w:r>
              <w:rPr>
                <w:rFonts w:ascii="Arial" w:hAnsi="Arial"/>
                <w:sz w:val="18"/>
              </w:rPr>
              <w:t>+0.183 [−0.017,+0.378]</w:t>
            </w:r>
          </w:p>
        </w:tc>
        <w:tc>
          <w:tcPr>
            <w:tcW w:type="dxa" w:w="1176"/>
          </w:tcPr>
          <w:p>
            <w:pPr>
              <w:jc w:val="center"/>
            </w:pPr>
            <w:r>
              <w:rPr>
                <w:rFonts w:ascii="Arial" w:hAnsi="Arial"/>
                <w:sz w:val="18"/>
              </w:rPr>
              <w:t>Country</w:t>
            </w:r>
          </w:p>
        </w:tc>
      </w:tr>
      <w:tr>
        <w:tc>
          <w:tcPr>
            <w:tcW w:type="dxa" w:w="1176"/>
            <w:shd w:val="clear" w:color="auto" w:fill="E0E0E0"/>
          </w:tcPr>
          <w:p>
            <w:pPr>
              <w:jc w:val="left"/>
            </w:pPr>
            <w:r>
              <w:rPr>
                <w:rFonts w:ascii="Arial" w:hAnsi="Arial"/>
                <w:b/>
                <w:sz w:val="18"/>
              </w:rPr>
              <w:t>Cross-model</w:t>
            </w:r>
          </w:p>
        </w:tc>
        <w:tc>
          <w:tcPr>
            <w:tcW w:type="dxa" w:w="1176"/>
            <w:shd w:val="clear" w:color="auto" w:fill="E0E0E0"/>
          </w:tcPr>
          <w:p>
            <w:pPr>
              <w:jc w:val="center"/>
            </w:pPr>
            <w:r>
              <w:rPr>
                <w:rFonts w:ascii="Arial" w:hAnsi="Arial"/>
                <w:b/>
                <w:sz w:val="18"/>
              </w:rPr>
              <w:t>7.758</w:t>
            </w:r>
          </w:p>
        </w:tc>
        <w:tc>
          <w:tcPr>
            <w:tcW w:type="dxa" w:w="1176"/>
            <w:shd w:val="clear" w:color="auto" w:fill="E0E0E0"/>
          </w:tcPr>
          <w:p>
            <w:pPr>
              <w:jc w:val="center"/>
            </w:pPr>
            <w:r>
              <w:rPr>
                <w:rFonts w:ascii="Arial" w:hAnsi="Arial"/>
                <w:b/>
                <w:sz w:val="18"/>
              </w:rPr>
              <w:t>7.525</w:t>
            </w:r>
          </w:p>
        </w:tc>
        <w:tc>
          <w:tcPr>
            <w:tcW w:type="dxa" w:w="1176"/>
            <w:shd w:val="clear" w:color="auto" w:fill="E0E0E0"/>
          </w:tcPr>
          <w:p>
            <w:pPr>
              <w:jc w:val="center"/>
            </w:pPr>
            <w:r>
              <w:rPr>
                <w:rFonts w:ascii="Arial" w:hAnsi="Arial"/>
                <w:b/>
                <w:sz w:val="18"/>
              </w:rPr>
              <w:t>7.467</w:t>
            </w:r>
          </w:p>
        </w:tc>
        <w:tc>
          <w:tcPr>
            <w:tcW w:type="dxa" w:w="1176"/>
            <w:shd w:val="clear" w:color="auto" w:fill="E0E0E0"/>
          </w:tcPr>
          <w:p>
            <w:pPr>
              <w:jc w:val="center"/>
            </w:pPr>
            <w:r>
              <w:rPr>
                <w:rFonts w:ascii="Arial" w:hAnsi="Arial"/>
                <w:b/>
                <w:sz w:val="18"/>
              </w:rPr>
              <w:t>7.447</w:t>
            </w:r>
          </w:p>
        </w:tc>
        <w:tc>
          <w:tcPr>
            <w:tcW w:type="dxa" w:w="1176"/>
            <w:shd w:val="clear" w:color="auto" w:fill="E0E0E0"/>
          </w:tcPr>
          <w:p>
            <w:pPr>
              <w:jc w:val="center"/>
            </w:pPr>
            <w:r>
              <w:rPr>
                <w:rFonts w:ascii="Arial" w:hAnsi="Arial"/>
                <w:b/>
                <w:sz w:val="18"/>
              </w:rPr>
              <w:t>+0.185 [+0.093,+0.275]†</w:t>
            </w:r>
          </w:p>
        </w:tc>
        <w:tc>
          <w:tcPr>
            <w:tcW w:type="dxa" w:w="1176"/>
            <w:shd w:val="clear" w:color="auto" w:fill="E0E0E0"/>
          </w:tcPr>
          <w:p>
            <w:pPr>
              <w:jc w:val="center"/>
            </w:pPr>
            <w:r>
              <w:rPr>
                <w:rFonts w:ascii="Arial" w:hAnsi="Arial"/>
                <w:b/>
                <w:sz w:val="18"/>
              </w:rPr>
              <w:t>+0.126 [+0.037,+0.218]†</w:t>
            </w:r>
          </w:p>
        </w:tc>
        <w:tc>
          <w:tcPr>
            <w:tcW w:type="dxa" w:w="1176"/>
            <w:shd w:val="clear" w:color="auto" w:fill="E0E0E0"/>
          </w:tcPr>
          <w:p>
            <w:pPr>
              <w:jc w:val="center"/>
            </w:pPr>
            <w:r>
              <w:rPr>
                <w:rFonts w:ascii="Arial" w:hAnsi="Arial"/>
                <w:b/>
                <w:sz w:val="18"/>
              </w:rPr>
              <w:t>Prestige 1.5×</w:t>
            </w:r>
          </w:p>
        </w:tc>
      </w:tr>
    </w:tbl>
    <w:p/>
    <w:p>
      <w:pPr>
        <w:spacing w:before="0" w:after="80"/>
        <w:jc w:val="both"/>
      </w:pPr>
      <w:r>
        <w:rPr>
          <w:rFonts w:ascii="Arial" w:hAnsi="Arial"/>
          <w:b w:val="0"/>
          <w:i w:val="0"/>
          <w:sz w:val="18"/>
        </w:rPr>
        <w:t>† = CI entirely positive (statistically significant at 95% level).</w:t>
      </w:r>
    </w:p>
    <w:p>
      <w:pPr>
        <w:spacing w:before="80" w:after="40"/>
        <w:jc w:val="center"/>
      </w:pPr>
      <w:r>
        <w:rPr>
          <w:rFonts w:ascii="Arial" w:hAnsi="Arial"/>
          <w:b/>
          <w:i w:val="0"/>
          <w:sz w:val="20"/>
        </w:rPr>
        <w:t>Figure 1. Study 2: Mean Scores by Model and Institution (2×2 Prestige × Country)</w:t>
      </w:r>
    </w:p>
    <w:p>
      <w:pPr>
        <w:jc w:val="center"/>
      </w:pPr>
      <w:r>
        <w:drawing>
          <wp:inline xmlns:a="http://schemas.openxmlformats.org/drawingml/2006/main" xmlns:pic="http://schemas.openxmlformats.org/drawingml/2006/picture">
            <wp:extent cx="5303520" cy="2505901"/>
            <wp:docPr id="2" name="Picture 2"/>
            <wp:cNvGraphicFramePr>
              <a:graphicFrameLocks noChangeAspect="1"/>
            </wp:cNvGraphicFramePr>
            <a:graphic>
              <a:graphicData uri="http://schemas.openxmlformats.org/drawingml/2006/picture">
                <pic:pic>
                  <pic:nvPicPr>
                    <pic:cNvPr id="0" name="geo_bias_fig1.png"/>
                    <pic:cNvPicPr/>
                  </pic:nvPicPr>
                  <pic:blipFill>
                    <a:blip r:embed="rId10"/>
                    <a:stretch>
                      <a:fillRect/>
                    </a:stretch>
                  </pic:blipFill>
                  <pic:spPr>
                    <a:xfrm>
                      <a:off x="0" y="0"/>
                      <a:ext cx="5303520" cy="2505901"/>
                    </a:xfrm>
                    <a:prstGeom prst="rect"/>
                  </pic:spPr>
                </pic:pic>
              </a:graphicData>
            </a:graphic>
          </wp:inline>
        </w:drawing>
      </w:r>
    </w:p>
    <w:p/>
    <w:p>
      <w:pPr>
        <w:spacing w:before="0" w:after="40"/>
        <w:jc w:val="both"/>
      </w:pPr>
      <w:r>
        <w:rPr>
          <w:rFonts w:ascii="Arial" w:hAnsi="Arial"/>
          <w:b/>
          <w:i w:val="0"/>
          <w:sz w:val="22"/>
        </w:rPr>
        <w:t>4.4 The Confound-Breaking Contrast: UNAM vs. Framingham State</w:t>
      </w:r>
    </w:p>
    <w:p>
      <w:pPr>
        <w:spacing w:before="0" w:after="80"/>
        <w:ind w:firstLine="283"/>
        <w:jc w:val="both"/>
      </w:pPr>
      <w:r>
        <w:rPr>
          <w:rFonts w:ascii="Arial" w:hAnsi="Arial"/>
          <w:b w:val="0"/>
          <w:i w:val="0"/>
          <w:sz w:val="22"/>
        </w:rPr>
        <w:t>Table 4 shows the critical test. Haiku rates UNAM +0.222 above FSU. GPT, Gemini, and Llama show near-zero differences (range: −0.033 to +0.044). Cross-model UNAM−FSU = +0.058 (95% CI: −0.072, +0.186), which crosses zero. Three of four models give UNAM ≥ FSU; none gives FSU &gt; UNAM by more than 0.033 points. Taken together, the evidence rules out pure country bias as the driver: a low-prestige US institution is not systematically preferred over a high-prestige Latin American one.</w:t>
      </w:r>
    </w:p>
    <w:p>
      <w:pPr>
        <w:spacing w:before="80" w:after="40"/>
        <w:jc w:val="center"/>
      </w:pPr>
      <w:r>
        <w:rPr>
          <w:rFonts w:ascii="Arial" w:hAnsi="Arial"/>
          <w:b/>
          <w:i w:val="0"/>
          <w:sz w:val="20"/>
        </w:rPr>
        <w:t>Table 4. Study 2 — Critical Contrast: UNAM vs. Framingham State University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FBFBF"/>
          </w:tcPr>
          <w:p>
            <w:pPr>
              <w:jc w:val="center"/>
            </w:pPr>
            <w:r>
              <w:rPr>
                <w:rFonts w:ascii="Arial" w:hAnsi="Arial"/>
                <w:b/>
                <w:sz w:val="18"/>
              </w:rPr>
              <w:t>Model</w:t>
            </w:r>
          </w:p>
        </w:tc>
        <w:tc>
          <w:tcPr>
            <w:tcW w:type="dxa" w:w="1881"/>
            <w:shd w:val="clear" w:color="auto" w:fill="BFBFBF"/>
          </w:tcPr>
          <w:p>
            <w:pPr>
              <w:jc w:val="center"/>
            </w:pPr>
            <w:r>
              <w:rPr>
                <w:rFonts w:ascii="Arial" w:hAnsi="Arial"/>
                <w:b/>
                <w:sz w:val="18"/>
              </w:rPr>
              <w:t>UNAM (Mexico)</w:t>
            </w:r>
          </w:p>
        </w:tc>
        <w:tc>
          <w:tcPr>
            <w:tcW w:type="dxa" w:w="1881"/>
            <w:shd w:val="clear" w:color="auto" w:fill="BFBFBF"/>
          </w:tcPr>
          <w:p>
            <w:pPr>
              <w:jc w:val="center"/>
            </w:pPr>
            <w:r>
              <w:rPr>
                <w:rFonts w:ascii="Arial" w:hAnsi="Arial"/>
                <w:b/>
                <w:sz w:val="18"/>
              </w:rPr>
              <w:t>Framingham State (USA)</w:t>
            </w:r>
          </w:p>
        </w:tc>
        <w:tc>
          <w:tcPr>
            <w:tcW w:type="dxa" w:w="1881"/>
            <w:shd w:val="clear" w:color="auto" w:fill="BFBFBF"/>
          </w:tcPr>
          <w:p>
            <w:pPr>
              <w:jc w:val="center"/>
            </w:pPr>
            <w:r>
              <w:rPr>
                <w:rFonts w:ascii="Arial" w:hAnsi="Arial"/>
                <w:b/>
                <w:sz w:val="18"/>
              </w:rPr>
              <w:t>UNAM−FSU</w:t>
            </w:r>
          </w:p>
        </w:tc>
        <w:tc>
          <w:tcPr>
            <w:tcW w:type="dxa" w:w="1881"/>
            <w:shd w:val="clear" w:color="auto" w:fill="BFBFBF"/>
          </w:tcPr>
          <w:p>
            <w:pPr>
              <w:jc w:val="center"/>
            </w:pPr>
            <w:r>
              <w:rPr>
                <w:rFonts w:ascii="Arial" w:hAnsi="Arial"/>
                <w:b/>
                <w:sz w:val="18"/>
              </w:rPr>
              <w:t>Interpretation</w:t>
            </w:r>
          </w:p>
        </w:tc>
      </w:tr>
      <w:tr>
        <w:tc>
          <w:tcPr>
            <w:tcW w:type="dxa" w:w="1881"/>
          </w:tcPr>
          <w:p>
            <w:pPr>
              <w:jc w:val="left"/>
            </w:pPr>
            <w:r>
              <w:rPr>
                <w:rFonts w:ascii="Arial" w:hAnsi="Arial"/>
                <w:sz w:val="18"/>
              </w:rPr>
              <w:t>Claude Haiku 4.5</w:t>
            </w:r>
          </w:p>
        </w:tc>
        <w:tc>
          <w:tcPr>
            <w:tcW w:type="dxa" w:w="1881"/>
          </w:tcPr>
          <w:p>
            <w:pPr>
              <w:jc w:val="center"/>
            </w:pPr>
            <w:r>
              <w:rPr>
                <w:rFonts w:ascii="Arial" w:hAnsi="Arial"/>
                <w:sz w:val="18"/>
              </w:rPr>
              <w:t>7.233</w:t>
            </w:r>
          </w:p>
        </w:tc>
        <w:tc>
          <w:tcPr>
            <w:tcW w:type="dxa" w:w="1881"/>
          </w:tcPr>
          <w:p>
            <w:pPr>
              <w:jc w:val="center"/>
            </w:pPr>
            <w:r>
              <w:rPr>
                <w:rFonts w:ascii="Arial" w:hAnsi="Arial"/>
                <w:sz w:val="18"/>
              </w:rPr>
              <w:t>7.011</w:t>
            </w:r>
          </w:p>
        </w:tc>
        <w:tc>
          <w:tcPr>
            <w:tcW w:type="dxa" w:w="1881"/>
          </w:tcPr>
          <w:p>
            <w:pPr>
              <w:jc w:val="center"/>
            </w:pPr>
            <w:r>
              <w:rPr>
                <w:rFonts w:ascii="Arial" w:hAnsi="Arial"/>
                <w:sz w:val="18"/>
              </w:rPr>
              <w:t>+0.222</w:t>
            </w:r>
          </w:p>
        </w:tc>
        <w:tc>
          <w:tcPr>
            <w:tcW w:type="dxa" w:w="1881"/>
          </w:tcPr>
          <w:p>
            <w:pPr>
              <w:jc w:val="center"/>
            </w:pPr>
            <w:r>
              <w:rPr>
                <w:rFonts w:ascii="Arial" w:hAnsi="Arial"/>
                <w:sz w:val="18"/>
              </w:rPr>
              <w:t>Prestige wins</w:t>
            </w:r>
          </w:p>
        </w:tc>
      </w:tr>
      <w:tr>
        <w:tc>
          <w:tcPr>
            <w:tcW w:type="dxa" w:w="1881"/>
          </w:tcPr>
          <w:p>
            <w:pPr>
              <w:jc w:val="left"/>
            </w:pPr>
            <w:r>
              <w:rPr>
                <w:rFonts w:ascii="Arial" w:hAnsi="Arial"/>
                <w:sz w:val="18"/>
              </w:rPr>
              <w:t>GPT-4o-mini</w:t>
            </w:r>
          </w:p>
        </w:tc>
        <w:tc>
          <w:tcPr>
            <w:tcW w:type="dxa" w:w="1881"/>
          </w:tcPr>
          <w:p>
            <w:pPr>
              <w:jc w:val="center"/>
            </w:pPr>
            <w:r>
              <w:rPr>
                <w:rFonts w:ascii="Arial" w:hAnsi="Arial"/>
                <w:sz w:val="18"/>
              </w:rPr>
              <w:t>8.222</w:t>
            </w:r>
          </w:p>
        </w:tc>
        <w:tc>
          <w:tcPr>
            <w:tcW w:type="dxa" w:w="1881"/>
          </w:tcPr>
          <w:p>
            <w:pPr>
              <w:jc w:val="center"/>
            </w:pPr>
            <w:r>
              <w:rPr>
                <w:rFonts w:ascii="Arial" w:hAnsi="Arial"/>
                <w:sz w:val="18"/>
              </w:rPr>
              <w:t>8.178</w:t>
            </w:r>
          </w:p>
        </w:tc>
        <w:tc>
          <w:tcPr>
            <w:tcW w:type="dxa" w:w="1881"/>
          </w:tcPr>
          <w:p>
            <w:pPr>
              <w:jc w:val="center"/>
            </w:pPr>
            <w:r>
              <w:rPr>
                <w:rFonts w:ascii="Arial" w:hAnsi="Arial"/>
                <w:sz w:val="18"/>
              </w:rPr>
              <w:t>+0.044</w:t>
            </w:r>
          </w:p>
        </w:tc>
        <w:tc>
          <w:tcPr>
            <w:tcW w:type="dxa" w:w="1881"/>
          </w:tcPr>
          <w:p>
            <w:pPr>
              <w:jc w:val="center"/>
            </w:pPr>
            <w:r>
              <w:rPr>
                <w:rFonts w:ascii="Arial" w:hAnsi="Arial"/>
                <w:sz w:val="18"/>
              </w:rPr>
              <w:t>~Equal</w:t>
            </w:r>
          </w:p>
        </w:tc>
      </w:tr>
      <w:tr>
        <w:tc>
          <w:tcPr>
            <w:tcW w:type="dxa" w:w="1881"/>
          </w:tcPr>
          <w:p>
            <w:pPr>
              <w:jc w:val="left"/>
            </w:pPr>
            <w:r>
              <w:rPr>
                <w:rFonts w:ascii="Arial" w:hAnsi="Arial"/>
                <w:sz w:val="18"/>
              </w:rPr>
              <w:t>Gemini 2.0 Flash</w:t>
            </w:r>
          </w:p>
        </w:tc>
        <w:tc>
          <w:tcPr>
            <w:tcW w:type="dxa" w:w="1881"/>
          </w:tcPr>
          <w:p>
            <w:pPr>
              <w:jc w:val="center"/>
            </w:pPr>
            <w:r>
              <w:rPr>
                <w:rFonts w:ascii="Arial" w:hAnsi="Arial"/>
                <w:sz w:val="18"/>
              </w:rPr>
              <w:t>7.300</w:t>
            </w:r>
          </w:p>
        </w:tc>
        <w:tc>
          <w:tcPr>
            <w:tcW w:type="dxa" w:w="1881"/>
          </w:tcPr>
          <w:p>
            <w:pPr>
              <w:jc w:val="center"/>
            </w:pPr>
            <w:r>
              <w:rPr>
                <w:rFonts w:ascii="Arial" w:hAnsi="Arial"/>
                <w:sz w:val="18"/>
              </w:rPr>
              <w:t>7.300</w:t>
            </w:r>
          </w:p>
        </w:tc>
        <w:tc>
          <w:tcPr>
            <w:tcW w:type="dxa" w:w="1881"/>
          </w:tcPr>
          <w:p>
            <w:pPr>
              <w:jc w:val="center"/>
            </w:pPr>
            <w:r>
              <w:rPr>
                <w:rFonts w:ascii="Arial" w:hAnsi="Arial"/>
                <w:sz w:val="18"/>
              </w:rPr>
              <w:t xml:space="preserve"> 0.000</w:t>
            </w:r>
          </w:p>
        </w:tc>
        <w:tc>
          <w:tcPr>
            <w:tcW w:type="dxa" w:w="1881"/>
          </w:tcPr>
          <w:p>
            <w:pPr>
              <w:jc w:val="center"/>
            </w:pPr>
            <w:r>
              <w:rPr>
                <w:rFonts w:ascii="Arial" w:hAnsi="Arial"/>
                <w:sz w:val="18"/>
              </w:rPr>
              <w:t>~Equal</w:t>
            </w:r>
          </w:p>
        </w:tc>
      </w:tr>
      <w:tr>
        <w:tc>
          <w:tcPr>
            <w:tcW w:type="dxa" w:w="1881"/>
          </w:tcPr>
          <w:p>
            <w:pPr>
              <w:jc w:val="left"/>
            </w:pPr>
            <w:r>
              <w:rPr>
                <w:rFonts w:ascii="Arial" w:hAnsi="Arial"/>
                <w:sz w:val="18"/>
              </w:rPr>
              <w:t>Llama 3.1 8B</w:t>
            </w:r>
          </w:p>
        </w:tc>
        <w:tc>
          <w:tcPr>
            <w:tcW w:type="dxa" w:w="1881"/>
          </w:tcPr>
          <w:p>
            <w:pPr>
              <w:jc w:val="center"/>
            </w:pPr>
            <w:r>
              <w:rPr>
                <w:rFonts w:ascii="Arial" w:hAnsi="Arial"/>
                <w:sz w:val="18"/>
              </w:rPr>
              <w:t>7.344</w:t>
            </w:r>
          </w:p>
        </w:tc>
        <w:tc>
          <w:tcPr>
            <w:tcW w:type="dxa" w:w="1881"/>
          </w:tcPr>
          <w:p>
            <w:pPr>
              <w:jc w:val="center"/>
            </w:pPr>
            <w:r>
              <w:rPr>
                <w:rFonts w:ascii="Arial" w:hAnsi="Arial"/>
                <w:sz w:val="18"/>
              </w:rPr>
              <w:t>7.378</w:t>
            </w:r>
          </w:p>
        </w:tc>
        <w:tc>
          <w:tcPr>
            <w:tcW w:type="dxa" w:w="1881"/>
          </w:tcPr>
          <w:p>
            <w:pPr>
              <w:jc w:val="center"/>
            </w:pPr>
            <w:r>
              <w:rPr>
                <w:rFonts w:ascii="Arial" w:hAnsi="Arial"/>
                <w:sz w:val="18"/>
              </w:rPr>
              <w:t>−0.033</w:t>
            </w:r>
          </w:p>
        </w:tc>
        <w:tc>
          <w:tcPr>
            <w:tcW w:type="dxa" w:w="1881"/>
          </w:tcPr>
          <w:p>
            <w:pPr>
              <w:jc w:val="center"/>
            </w:pPr>
            <w:r>
              <w:rPr>
                <w:rFonts w:ascii="Arial" w:hAnsi="Arial"/>
                <w:sz w:val="18"/>
              </w:rPr>
              <w:t>~Equal</w:t>
            </w:r>
          </w:p>
        </w:tc>
      </w:tr>
      <w:tr>
        <w:tc>
          <w:tcPr>
            <w:tcW w:type="dxa" w:w="1881"/>
            <w:shd w:val="clear" w:color="auto" w:fill="E0E0E0"/>
          </w:tcPr>
          <w:p>
            <w:pPr>
              <w:jc w:val="left"/>
            </w:pPr>
            <w:r>
              <w:rPr>
                <w:rFonts w:ascii="Arial" w:hAnsi="Arial"/>
                <w:b/>
                <w:sz w:val="18"/>
              </w:rPr>
              <w:t>Cross-model</w:t>
            </w:r>
          </w:p>
        </w:tc>
        <w:tc>
          <w:tcPr>
            <w:tcW w:type="dxa" w:w="1881"/>
            <w:shd w:val="clear" w:color="auto" w:fill="E0E0E0"/>
          </w:tcPr>
          <w:p>
            <w:pPr>
              <w:jc w:val="center"/>
            </w:pPr>
            <w:r>
              <w:rPr>
                <w:rFonts w:ascii="Arial" w:hAnsi="Arial"/>
                <w:b/>
                <w:sz w:val="18"/>
              </w:rPr>
              <w:t>7.525</w:t>
            </w:r>
          </w:p>
        </w:tc>
        <w:tc>
          <w:tcPr>
            <w:tcW w:type="dxa" w:w="1881"/>
            <w:shd w:val="clear" w:color="auto" w:fill="E0E0E0"/>
          </w:tcPr>
          <w:p>
            <w:pPr>
              <w:jc w:val="center"/>
            </w:pPr>
            <w:r>
              <w:rPr>
                <w:rFonts w:ascii="Arial" w:hAnsi="Arial"/>
                <w:b/>
                <w:sz w:val="18"/>
              </w:rPr>
              <w:t>7.467</w:t>
            </w:r>
          </w:p>
        </w:tc>
        <w:tc>
          <w:tcPr>
            <w:tcW w:type="dxa" w:w="1881"/>
            <w:shd w:val="clear" w:color="auto" w:fill="E0E0E0"/>
          </w:tcPr>
          <w:p>
            <w:pPr>
              <w:jc w:val="center"/>
            </w:pPr>
            <w:r>
              <w:rPr>
                <w:rFonts w:ascii="Arial" w:hAnsi="Arial"/>
                <w:b/>
                <w:sz w:val="18"/>
              </w:rPr>
              <w:t>+0.058</w:t>
            </w:r>
          </w:p>
        </w:tc>
        <w:tc>
          <w:tcPr>
            <w:tcW w:type="dxa" w:w="1881"/>
            <w:shd w:val="clear" w:color="auto" w:fill="E0E0E0"/>
          </w:tcPr>
          <w:p>
            <w:pPr>
              <w:jc w:val="center"/>
            </w:pPr>
            <w:r>
              <w:rPr>
                <w:rFonts w:ascii="Arial" w:hAnsi="Arial"/>
                <w:b/>
                <w:sz w:val="18"/>
              </w:rPr>
              <w:t>[−0.072,+0.186] — trend, not sig.</w:t>
            </w:r>
          </w:p>
        </w:tc>
      </w:tr>
    </w:tbl>
    <w:p/>
    <w:p>
      <w:pPr>
        <w:spacing w:before="0" w:after="40"/>
        <w:jc w:val="both"/>
      </w:pPr>
      <w:r>
        <w:rPr>
          <w:rFonts w:ascii="Arial" w:hAnsi="Arial"/>
          <w:b/>
          <w:i w:val="0"/>
          <w:sz w:val="22"/>
        </w:rPr>
        <w:t>4.5 Domain-Level Analysis</w:t>
      </w:r>
    </w:p>
    <w:p>
      <w:pPr>
        <w:spacing w:before="0" w:after="80"/>
        <w:ind w:firstLine="283"/>
        <w:jc w:val="both"/>
      </w:pPr>
      <w:r>
        <w:rPr>
          <w:rFonts w:ascii="Arial" w:hAnsi="Arial"/>
          <w:b w:val="0"/>
          <w:i w:val="0"/>
          <w:sz w:val="22"/>
        </w:rPr>
        <w:t>Table 5 breaks down prestige and country effects by domain. Prestige is statistically significant (CI &gt; 0) in two domains: hiring (+0.160; CI: +0.035, +0.292) and credit (+0.278; CI: +0.076, +0.479). Public policy shows a significant prestige effect (+0.201; CI: +0.028, +0.375) but no country effect (−0.007; CI: −0.181, +0.167). Country effect is significant only in hiring (+0.187; CI: +0.062, +0.312) and credit (+0.264; CI: +0.062, +0.465). Scholarship and health effects do not reach significance at 95%.</w:t>
      </w:r>
    </w:p>
    <w:p>
      <w:pPr>
        <w:spacing w:before="80" w:after="40"/>
        <w:jc w:val="center"/>
      </w:pPr>
      <w:r>
        <w:rPr>
          <w:rFonts w:ascii="Arial" w:hAnsi="Arial"/>
          <w:b/>
          <w:i w:val="0"/>
          <w:sz w:val="20"/>
        </w:rPr>
        <w:t>Table 5. Study 2 — Prestige vs. Country Effect by Domain with 95% Bootstrap CIs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FBFBF"/>
          </w:tcPr>
          <w:p>
            <w:pPr>
              <w:jc w:val="center"/>
            </w:pPr>
            <w:r>
              <w:rPr>
                <w:rFonts w:ascii="Arial" w:hAnsi="Arial"/>
                <w:b/>
                <w:sz w:val="18"/>
              </w:rPr>
              <w:t>Domain</w:t>
            </w:r>
          </w:p>
        </w:tc>
        <w:tc>
          <w:tcPr>
            <w:tcW w:type="dxa" w:w="1881"/>
            <w:shd w:val="clear" w:color="auto" w:fill="BFBFBF"/>
          </w:tcPr>
          <w:p>
            <w:pPr>
              <w:jc w:val="center"/>
            </w:pPr>
            <w:r>
              <w:rPr>
                <w:rFonts w:ascii="Arial" w:hAnsi="Arial"/>
                <w:b/>
                <w:sz w:val="18"/>
              </w:rPr>
              <w:t>Prestige effect (95% CI)</w:t>
            </w:r>
          </w:p>
        </w:tc>
        <w:tc>
          <w:tcPr>
            <w:tcW w:type="dxa" w:w="1881"/>
            <w:shd w:val="clear" w:color="auto" w:fill="BFBFBF"/>
          </w:tcPr>
          <w:p>
            <w:pPr>
              <w:jc w:val="center"/>
            </w:pPr>
            <w:r>
              <w:rPr>
                <w:rFonts w:ascii="Arial" w:hAnsi="Arial"/>
                <w:b/>
                <w:sz w:val="18"/>
              </w:rPr>
              <w:t>Country effect (95% CI)</w:t>
            </w:r>
          </w:p>
        </w:tc>
        <w:tc>
          <w:tcPr>
            <w:tcW w:type="dxa" w:w="1881"/>
            <w:shd w:val="clear" w:color="auto" w:fill="BFBFBF"/>
          </w:tcPr>
          <w:p>
            <w:pPr>
              <w:jc w:val="center"/>
            </w:pPr>
            <w:r>
              <w:rPr>
                <w:rFonts w:ascii="Arial" w:hAnsi="Arial"/>
                <w:b/>
                <w:sz w:val="18"/>
              </w:rPr>
              <w:t>Dominant</w:t>
            </w:r>
          </w:p>
        </w:tc>
        <w:tc>
          <w:tcPr>
            <w:tcW w:type="dxa" w:w="1881"/>
            <w:shd w:val="clear" w:color="auto" w:fill="BFBFBF"/>
          </w:tcPr>
          <w:p>
            <w:pPr>
              <w:jc w:val="center"/>
            </w:pPr>
            <w:r>
              <w:rPr>
                <w:rFonts w:ascii="Arial" w:hAnsi="Arial"/>
                <w:b/>
                <w:sz w:val="18"/>
              </w:rPr>
              <w:t>Normative note</w:t>
            </w:r>
          </w:p>
        </w:tc>
      </w:tr>
      <w:tr>
        <w:tc>
          <w:tcPr>
            <w:tcW w:type="dxa" w:w="1881"/>
          </w:tcPr>
          <w:p>
            <w:pPr>
              <w:jc w:val="left"/>
            </w:pPr>
            <w:r>
              <w:rPr>
                <w:rFonts w:ascii="Arial" w:hAnsi="Arial"/>
                <w:sz w:val="18"/>
              </w:rPr>
              <w:t>Scholarship</w:t>
            </w:r>
          </w:p>
        </w:tc>
        <w:tc>
          <w:tcPr>
            <w:tcW w:type="dxa" w:w="1881"/>
          </w:tcPr>
          <w:p>
            <w:pPr>
              <w:jc w:val="center"/>
            </w:pPr>
            <w:r>
              <w:rPr>
                <w:rFonts w:ascii="Arial" w:hAnsi="Arial"/>
                <w:sz w:val="18"/>
              </w:rPr>
              <w:t>+0.160 [−0.021,+0.340]</w:t>
            </w:r>
          </w:p>
        </w:tc>
        <w:tc>
          <w:tcPr>
            <w:tcW w:type="dxa" w:w="1881"/>
          </w:tcPr>
          <w:p>
            <w:pPr>
              <w:jc w:val="center"/>
            </w:pPr>
            <w:r>
              <w:rPr>
                <w:rFonts w:ascii="Arial" w:hAnsi="Arial"/>
                <w:sz w:val="18"/>
              </w:rPr>
              <w:t>+0.090 [−0.090,+0.271]</w:t>
            </w:r>
          </w:p>
        </w:tc>
        <w:tc>
          <w:tcPr>
            <w:tcW w:type="dxa" w:w="1881"/>
          </w:tcPr>
          <w:p>
            <w:pPr>
              <w:jc w:val="center"/>
            </w:pPr>
            <w:r>
              <w:rPr>
                <w:rFonts w:ascii="Arial" w:hAnsi="Arial"/>
                <w:sz w:val="18"/>
              </w:rPr>
              <w:t>—</w:t>
            </w:r>
          </w:p>
        </w:tc>
        <w:tc>
          <w:tcPr>
            <w:tcW w:type="dxa" w:w="1881"/>
          </w:tcPr>
          <w:p>
            <w:pPr>
              <w:jc w:val="center"/>
            </w:pPr>
            <w:r>
              <w:rPr>
                <w:rFonts w:ascii="Arial" w:hAnsi="Arial"/>
                <w:sz w:val="18"/>
              </w:rPr>
              <w:t>Partially justified</w:t>
            </w:r>
          </w:p>
        </w:tc>
      </w:tr>
      <w:tr>
        <w:tc>
          <w:tcPr>
            <w:tcW w:type="dxa" w:w="1881"/>
          </w:tcPr>
          <w:p>
            <w:pPr>
              <w:jc w:val="left"/>
            </w:pPr>
            <w:r>
              <w:rPr>
                <w:rFonts w:ascii="Arial" w:hAnsi="Arial"/>
                <w:sz w:val="18"/>
              </w:rPr>
              <w:t>Hiring</w:t>
            </w:r>
          </w:p>
        </w:tc>
        <w:tc>
          <w:tcPr>
            <w:tcW w:type="dxa" w:w="1881"/>
          </w:tcPr>
          <w:p>
            <w:pPr>
              <w:jc w:val="center"/>
            </w:pPr>
            <w:r>
              <w:rPr>
                <w:rFonts w:ascii="Arial" w:hAnsi="Arial"/>
                <w:sz w:val="18"/>
              </w:rPr>
              <w:t>+0.160 [+0.035,+0.292]†</w:t>
            </w:r>
          </w:p>
        </w:tc>
        <w:tc>
          <w:tcPr>
            <w:tcW w:type="dxa" w:w="1881"/>
          </w:tcPr>
          <w:p>
            <w:pPr>
              <w:jc w:val="center"/>
            </w:pPr>
            <w:r>
              <w:rPr>
                <w:rFonts w:ascii="Arial" w:hAnsi="Arial"/>
                <w:sz w:val="18"/>
              </w:rPr>
              <w:t>+0.187 [+0.062,+0.312]†</w:t>
            </w:r>
          </w:p>
        </w:tc>
        <w:tc>
          <w:tcPr>
            <w:tcW w:type="dxa" w:w="1881"/>
          </w:tcPr>
          <w:p>
            <w:pPr>
              <w:jc w:val="center"/>
            </w:pPr>
            <w:r>
              <w:rPr>
                <w:rFonts w:ascii="Arial" w:hAnsi="Arial"/>
                <w:sz w:val="18"/>
              </w:rPr>
              <w:t>Country</w:t>
            </w:r>
          </w:p>
        </w:tc>
        <w:tc>
          <w:tcPr>
            <w:tcW w:type="dxa" w:w="1881"/>
          </w:tcPr>
          <w:p>
            <w:pPr>
              <w:jc w:val="center"/>
            </w:pPr>
            <w:r>
              <w:rPr>
                <w:rFonts w:ascii="Arial" w:hAnsi="Arial"/>
                <w:sz w:val="18"/>
              </w:rPr>
              <w:t>Partially justified</w:t>
            </w:r>
          </w:p>
        </w:tc>
      </w:tr>
      <w:tr>
        <w:tc>
          <w:tcPr>
            <w:tcW w:type="dxa" w:w="1881"/>
          </w:tcPr>
          <w:p>
            <w:pPr>
              <w:jc w:val="left"/>
            </w:pPr>
            <w:r>
              <w:rPr>
                <w:rFonts w:ascii="Arial" w:hAnsi="Arial"/>
                <w:sz w:val="18"/>
              </w:rPr>
              <w:t>Credit</w:t>
            </w:r>
          </w:p>
        </w:tc>
        <w:tc>
          <w:tcPr>
            <w:tcW w:type="dxa" w:w="1881"/>
          </w:tcPr>
          <w:p>
            <w:pPr>
              <w:jc w:val="center"/>
            </w:pPr>
            <w:r>
              <w:rPr>
                <w:rFonts w:ascii="Arial" w:hAnsi="Arial"/>
                <w:sz w:val="18"/>
              </w:rPr>
              <w:t>+0.278 [+0.076,+0.479]†</w:t>
            </w:r>
          </w:p>
        </w:tc>
        <w:tc>
          <w:tcPr>
            <w:tcW w:type="dxa" w:w="1881"/>
          </w:tcPr>
          <w:p>
            <w:pPr>
              <w:jc w:val="center"/>
            </w:pPr>
            <w:r>
              <w:rPr>
                <w:rFonts w:ascii="Arial" w:hAnsi="Arial"/>
                <w:sz w:val="18"/>
              </w:rPr>
              <w:t>+0.264 [+0.062,+0.465]†</w:t>
            </w:r>
          </w:p>
        </w:tc>
        <w:tc>
          <w:tcPr>
            <w:tcW w:type="dxa" w:w="1881"/>
          </w:tcPr>
          <w:p>
            <w:pPr>
              <w:jc w:val="center"/>
            </w:pPr>
            <w:r>
              <w:rPr>
                <w:rFonts w:ascii="Arial" w:hAnsi="Arial"/>
                <w:sz w:val="18"/>
              </w:rPr>
              <w:t>Prestige</w:t>
            </w:r>
          </w:p>
        </w:tc>
        <w:tc>
          <w:tcPr>
            <w:tcW w:type="dxa" w:w="1881"/>
          </w:tcPr>
          <w:p>
            <w:pPr>
              <w:jc w:val="center"/>
            </w:pPr>
            <w:r>
              <w:rPr>
                <w:rFonts w:ascii="Arial" w:hAnsi="Arial"/>
                <w:sz w:val="18"/>
              </w:rPr>
              <w:t>Not justified **</w:t>
            </w:r>
          </w:p>
        </w:tc>
      </w:tr>
      <w:tr>
        <w:tc>
          <w:tcPr>
            <w:tcW w:type="dxa" w:w="1881"/>
          </w:tcPr>
          <w:p>
            <w:pPr>
              <w:jc w:val="left"/>
            </w:pPr>
            <w:r>
              <w:rPr>
                <w:rFonts w:ascii="Arial" w:hAnsi="Arial"/>
                <w:sz w:val="18"/>
              </w:rPr>
              <w:t>Health</w:t>
            </w:r>
          </w:p>
        </w:tc>
        <w:tc>
          <w:tcPr>
            <w:tcW w:type="dxa" w:w="1881"/>
          </w:tcPr>
          <w:p>
            <w:pPr>
              <w:jc w:val="center"/>
            </w:pPr>
            <w:r>
              <w:rPr>
                <w:rFonts w:ascii="Arial" w:hAnsi="Arial"/>
                <w:sz w:val="18"/>
              </w:rPr>
              <w:t>+0.125 [−0.076,+0.326]</w:t>
            </w:r>
          </w:p>
        </w:tc>
        <w:tc>
          <w:tcPr>
            <w:tcW w:type="dxa" w:w="1881"/>
          </w:tcPr>
          <w:p>
            <w:pPr>
              <w:jc w:val="center"/>
            </w:pPr>
            <w:r>
              <w:rPr>
                <w:rFonts w:ascii="Arial" w:hAnsi="Arial"/>
                <w:sz w:val="18"/>
              </w:rPr>
              <w:t>+0.097 [−0.104,+0.299]</w:t>
            </w:r>
          </w:p>
        </w:tc>
        <w:tc>
          <w:tcPr>
            <w:tcW w:type="dxa" w:w="1881"/>
          </w:tcPr>
          <w:p>
            <w:pPr>
              <w:jc w:val="center"/>
            </w:pPr>
            <w:r>
              <w:rPr>
                <w:rFonts w:ascii="Arial" w:hAnsi="Arial"/>
                <w:sz w:val="18"/>
              </w:rPr>
              <w:t>—</w:t>
            </w:r>
          </w:p>
        </w:tc>
        <w:tc>
          <w:tcPr>
            <w:tcW w:type="dxa" w:w="1881"/>
          </w:tcPr>
          <w:p>
            <w:pPr>
              <w:jc w:val="center"/>
            </w:pPr>
            <w:r>
              <w:rPr>
                <w:rFonts w:ascii="Arial" w:hAnsi="Arial"/>
                <w:sz w:val="18"/>
              </w:rPr>
              <w:t>Partially justified</w:t>
            </w:r>
          </w:p>
        </w:tc>
      </w:tr>
      <w:tr>
        <w:tc>
          <w:tcPr>
            <w:tcW w:type="dxa" w:w="1881"/>
          </w:tcPr>
          <w:p>
            <w:pPr>
              <w:jc w:val="left"/>
            </w:pPr>
            <w:r>
              <w:rPr>
                <w:rFonts w:ascii="Arial" w:hAnsi="Arial"/>
                <w:sz w:val="18"/>
              </w:rPr>
              <w:t>Public Policy</w:t>
            </w:r>
          </w:p>
        </w:tc>
        <w:tc>
          <w:tcPr>
            <w:tcW w:type="dxa" w:w="1881"/>
          </w:tcPr>
          <w:p>
            <w:pPr>
              <w:jc w:val="center"/>
            </w:pPr>
            <w:r>
              <w:rPr>
                <w:rFonts w:ascii="Arial" w:hAnsi="Arial"/>
                <w:sz w:val="18"/>
              </w:rPr>
              <w:t>+0.201 [+0.028,+0.375]†</w:t>
            </w:r>
          </w:p>
        </w:tc>
        <w:tc>
          <w:tcPr>
            <w:tcW w:type="dxa" w:w="1881"/>
          </w:tcPr>
          <w:p>
            <w:pPr>
              <w:jc w:val="center"/>
            </w:pPr>
            <w:r>
              <w:rPr>
                <w:rFonts w:ascii="Arial" w:hAnsi="Arial"/>
                <w:sz w:val="18"/>
              </w:rPr>
              <w:t>−0.007 [−0.181,+0.167]</w:t>
            </w:r>
          </w:p>
        </w:tc>
        <w:tc>
          <w:tcPr>
            <w:tcW w:type="dxa" w:w="1881"/>
          </w:tcPr>
          <w:p>
            <w:pPr>
              <w:jc w:val="center"/>
            </w:pPr>
            <w:r>
              <w:rPr>
                <w:rFonts w:ascii="Arial" w:hAnsi="Arial"/>
                <w:sz w:val="18"/>
              </w:rPr>
              <w:t>Prestige</w:t>
            </w:r>
          </w:p>
        </w:tc>
        <w:tc>
          <w:tcPr>
            <w:tcW w:type="dxa" w:w="1881"/>
          </w:tcPr>
          <w:p>
            <w:pPr>
              <w:jc w:val="center"/>
            </w:pPr>
            <w:r>
              <w:rPr>
                <w:rFonts w:ascii="Arial" w:hAnsi="Arial"/>
                <w:sz w:val="18"/>
              </w:rPr>
              <w:t>Not justified **</w:t>
            </w:r>
          </w:p>
        </w:tc>
      </w:tr>
    </w:tbl>
    <w:p/>
    <w:p>
      <w:pPr>
        <w:spacing w:before="0" w:after="120"/>
        <w:jc w:val="both"/>
      </w:pPr>
      <w:r>
        <w:rPr>
          <w:rFonts w:ascii="Arial" w:hAnsi="Arial"/>
          <w:b w:val="0"/>
          <w:i w:val="0"/>
          <w:sz w:val="18"/>
        </w:rPr>
        <w:t>† = CI entirely positive. ** = Normatively unjustified: institutional affiliation and country of origin carry no legitimate weight in credit evaluation or public policy under anti-discrimination principles.</w:t>
      </w:r>
    </w:p>
    <w:p>
      <w:pPr>
        <w:spacing w:before="0" w:after="40"/>
        <w:jc w:val="both"/>
      </w:pPr>
      <w:r>
        <w:rPr>
          <w:rFonts w:ascii="Arial" w:hAnsi="Arial"/>
          <w:b/>
          <w:i w:val="0"/>
          <w:sz w:val="22"/>
        </w:rPr>
        <w:t>4.6 Neutrosophic Bias Index</w:t>
      </w:r>
    </w:p>
    <w:p>
      <w:pPr>
        <w:spacing w:before="0" w:after="80"/>
        <w:ind w:firstLine="283"/>
        <w:jc w:val="both"/>
      </w:pPr>
      <w:r>
        <w:rPr>
          <w:rFonts w:ascii="Arial" w:hAnsi="Arial"/>
          <w:b w:val="0"/>
          <w:i w:val="0"/>
          <w:sz w:val="22"/>
        </w:rPr>
        <w:t>Table 6 reports NBI ⟨T,I,F⟩ for the reference (Anglo-MIT) and T5 profiles. Two findings stand out. First, Llama 3.1 8B shows the highest F values (0.033–0.057), indicating the strongest systematic penalty. Second, the I component is consistently higher for T5 profiles: I=0.079 (Anglo-T1, Haiku) vs. I=0.108–0.187 (T5 profiles). This elevated I reflects greater evaluation inconsistency for candidates from institutions appearing less frequently in training data — an epistemic disadvantage unique to the NBI framework.</w:t>
      </w:r>
    </w:p>
    <w:p>
      <w:pPr>
        <w:spacing w:before="80" w:after="40"/>
        <w:jc w:val="center"/>
      </w:pPr>
      <w:r>
        <w:rPr>
          <w:rFonts w:ascii="Arial" w:hAnsi="Arial"/>
          <w:b/>
          <w:i w:val="0"/>
          <w:sz w:val="20"/>
        </w:rPr>
        <w:t>Table 6. Study 1 — NBI ⟨T,I,F⟩ for Reference and T5 Profiles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BFBFBF"/>
          </w:tcPr>
          <w:p>
            <w:pPr>
              <w:jc w:val="center"/>
            </w:pPr>
            <w:r>
              <w:rPr>
                <w:rFonts w:ascii="Arial" w:hAnsi="Arial"/>
                <w:b/>
                <w:sz w:val="18"/>
              </w:rPr>
              <w:t>Model</w:t>
            </w:r>
          </w:p>
        </w:tc>
        <w:tc>
          <w:tcPr>
            <w:tcW w:type="dxa" w:w="1568"/>
            <w:shd w:val="clear" w:color="auto" w:fill="BFBFBF"/>
          </w:tcPr>
          <w:p>
            <w:pPr>
              <w:jc w:val="center"/>
            </w:pPr>
            <w:r>
              <w:rPr>
                <w:rFonts w:ascii="Arial" w:hAnsi="Arial"/>
                <w:b/>
                <w:sz w:val="18"/>
              </w:rPr>
              <w:t>Profile</w:t>
            </w:r>
          </w:p>
        </w:tc>
        <w:tc>
          <w:tcPr>
            <w:tcW w:type="dxa" w:w="1568"/>
            <w:shd w:val="clear" w:color="auto" w:fill="BFBFBF"/>
          </w:tcPr>
          <w:p>
            <w:pPr>
              <w:jc w:val="center"/>
            </w:pPr>
            <w:r>
              <w:rPr>
                <w:rFonts w:ascii="Arial" w:hAnsi="Arial"/>
                <w:b/>
                <w:sz w:val="18"/>
              </w:rPr>
              <w:t>T</w:t>
            </w:r>
          </w:p>
        </w:tc>
        <w:tc>
          <w:tcPr>
            <w:tcW w:type="dxa" w:w="1568"/>
            <w:shd w:val="clear" w:color="auto" w:fill="BFBFBF"/>
          </w:tcPr>
          <w:p>
            <w:pPr>
              <w:jc w:val="center"/>
            </w:pPr>
            <w:r>
              <w:rPr>
                <w:rFonts w:ascii="Arial" w:hAnsi="Arial"/>
                <w:b/>
                <w:sz w:val="18"/>
              </w:rPr>
              <w:t>I</w:t>
            </w:r>
          </w:p>
        </w:tc>
        <w:tc>
          <w:tcPr>
            <w:tcW w:type="dxa" w:w="1568"/>
            <w:shd w:val="clear" w:color="auto" w:fill="BFBFBF"/>
          </w:tcPr>
          <w:p>
            <w:pPr>
              <w:jc w:val="center"/>
            </w:pPr>
            <w:r>
              <w:rPr>
                <w:rFonts w:ascii="Arial" w:hAnsi="Arial"/>
                <w:b/>
                <w:sz w:val="18"/>
              </w:rPr>
              <w:t>F</w:t>
            </w:r>
          </w:p>
        </w:tc>
        <w:tc>
          <w:tcPr>
            <w:tcW w:type="dxa" w:w="1568"/>
            <w:shd w:val="clear" w:color="auto" w:fill="BFBFBF"/>
          </w:tcPr>
          <w:p>
            <w:pPr>
              <w:jc w:val="center"/>
            </w:pPr>
            <w:r>
              <w:rPr>
                <w:rFonts w:ascii="Arial" w:hAnsi="Arial"/>
                <w:b/>
                <w:sz w:val="18"/>
              </w:rPr>
              <w:t>Interpretation</w:t>
            </w:r>
          </w:p>
        </w:tc>
      </w:tr>
      <w:tr>
        <w:tc>
          <w:tcPr>
            <w:tcW w:type="dxa" w:w="1568"/>
          </w:tcPr>
          <w:p>
            <w:pPr>
              <w:jc w:val="left"/>
            </w:pPr>
            <w:r>
              <w:rPr>
                <w:rFonts w:ascii="Arial" w:hAnsi="Arial"/>
                <w:sz w:val="18"/>
              </w:rPr>
              <w:t>Haiku 4.5</w:t>
            </w:r>
          </w:p>
        </w:tc>
        <w:tc>
          <w:tcPr>
            <w:tcW w:type="dxa" w:w="1568"/>
          </w:tcPr>
          <w:p>
            <w:pPr>
              <w:jc w:val="center"/>
            </w:pPr>
            <w:r>
              <w:rPr>
                <w:rFonts w:ascii="Arial" w:hAnsi="Arial"/>
                <w:sz w:val="18"/>
              </w:rPr>
              <w:t>Anglo_T1 (ref)</w:t>
            </w:r>
          </w:p>
        </w:tc>
        <w:tc>
          <w:tcPr>
            <w:tcW w:type="dxa" w:w="1568"/>
          </w:tcPr>
          <w:p>
            <w:pPr>
              <w:jc w:val="center"/>
            </w:pPr>
            <w:r>
              <w:rPr>
                <w:rFonts w:ascii="Arial" w:hAnsi="Arial"/>
                <w:sz w:val="18"/>
              </w:rPr>
              <w:t>0.740</w:t>
            </w:r>
          </w:p>
        </w:tc>
        <w:tc>
          <w:tcPr>
            <w:tcW w:type="dxa" w:w="1568"/>
          </w:tcPr>
          <w:p>
            <w:pPr>
              <w:jc w:val="center"/>
            </w:pPr>
            <w:r>
              <w:rPr>
                <w:rFonts w:ascii="Arial" w:hAnsi="Arial"/>
                <w:sz w:val="18"/>
              </w:rPr>
              <w:t>0.079</w:t>
            </w:r>
          </w:p>
        </w:tc>
        <w:tc>
          <w:tcPr>
            <w:tcW w:type="dxa" w:w="1568"/>
          </w:tcPr>
          <w:p>
            <w:pPr>
              <w:jc w:val="center"/>
            </w:pPr>
            <w:r>
              <w:rPr>
                <w:rFonts w:ascii="Arial" w:hAnsi="Arial"/>
                <w:sz w:val="18"/>
              </w:rPr>
              <w:t>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Haiku 4.5</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0.710</w:t>
            </w:r>
          </w:p>
        </w:tc>
        <w:tc>
          <w:tcPr>
            <w:tcW w:type="dxa" w:w="1568"/>
          </w:tcPr>
          <w:p>
            <w:pPr>
              <w:jc w:val="center"/>
            </w:pPr>
            <w:r>
              <w:rPr>
                <w:rFonts w:ascii="Arial" w:hAnsi="Arial"/>
                <w:sz w:val="18"/>
              </w:rPr>
              <w:t>0.118</w:t>
            </w:r>
          </w:p>
        </w:tc>
        <w:tc>
          <w:tcPr>
            <w:tcW w:type="dxa" w:w="1568"/>
          </w:tcPr>
          <w:p>
            <w:pPr>
              <w:jc w:val="center"/>
            </w:pPr>
            <w:r>
              <w:rPr>
                <w:rFonts w:ascii="Arial" w:hAnsi="Arial"/>
                <w:sz w:val="18"/>
              </w:rPr>
              <w:t>0.030</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Haiku 4.5</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0.707</w:t>
            </w:r>
          </w:p>
        </w:tc>
        <w:tc>
          <w:tcPr>
            <w:tcW w:type="dxa" w:w="1568"/>
          </w:tcPr>
          <w:p>
            <w:pPr>
              <w:jc w:val="center"/>
            </w:pPr>
            <w:r>
              <w:rPr>
                <w:rFonts w:ascii="Arial" w:hAnsi="Arial"/>
                <w:sz w:val="18"/>
              </w:rPr>
              <w:t>0.109</w:t>
            </w:r>
          </w:p>
        </w:tc>
        <w:tc>
          <w:tcPr>
            <w:tcW w:type="dxa" w:w="1568"/>
          </w:tcPr>
          <w:p>
            <w:pPr>
              <w:jc w:val="center"/>
            </w:pPr>
            <w:r>
              <w:rPr>
                <w:rFonts w:ascii="Arial" w:hAnsi="Arial"/>
                <w:sz w:val="18"/>
              </w:rPr>
              <w:t>0.033</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Haiku 4.5</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0.723</w:t>
            </w:r>
          </w:p>
        </w:tc>
        <w:tc>
          <w:tcPr>
            <w:tcW w:type="dxa" w:w="1568"/>
          </w:tcPr>
          <w:p>
            <w:pPr>
              <w:jc w:val="center"/>
            </w:pPr>
            <w:r>
              <w:rPr>
                <w:rFonts w:ascii="Arial" w:hAnsi="Arial"/>
                <w:sz w:val="18"/>
              </w:rPr>
              <w:t>0.109</w:t>
            </w:r>
          </w:p>
        </w:tc>
        <w:tc>
          <w:tcPr>
            <w:tcW w:type="dxa" w:w="1568"/>
          </w:tcPr>
          <w:p>
            <w:pPr>
              <w:jc w:val="center"/>
            </w:pPr>
            <w:r>
              <w:rPr>
                <w:rFonts w:ascii="Arial" w:hAnsi="Arial"/>
                <w:sz w:val="18"/>
              </w:rPr>
              <w:t>0.017</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Anglo_T1</w:t>
            </w:r>
          </w:p>
        </w:tc>
        <w:tc>
          <w:tcPr>
            <w:tcW w:type="dxa" w:w="1568"/>
          </w:tcPr>
          <w:p>
            <w:pPr>
              <w:jc w:val="center"/>
            </w:pPr>
            <w:r>
              <w:rPr>
                <w:rFonts w:ascii="Arial" w:hAnsi="Arial"/>
                <w:sz w:val="18"/>
              </w:rPr>
              <w:t>0.828</w:t>
            </w:r>
          </w:p>
        </w:tc>
        <w:tc>
          <w:tcPr>
            <w:tcW w:type="dxa" w:w="1568"/>
          </w:tcPr>
          <w:p>
            <w:pPr>
              <w:jc w:val="center"/>
            </w:pPr>
            <w:r>
              <w:rPr>
                <w:rFonts w:ascii="Arial" w:hAnsi="Arial"/>
                <w:sz w:val="18"/>
              </w:rPr>
              <w:t>0.126</w:t>
            </w:r>
          </w:p>
        </w:tc>
        <w:tc>
          <w:tcPr>
            <w:tcW w:type="dxa" w:w="1568"/>
          </w:tcPr>
          <w:p>
            <w:pPr>
              <w:jc w:val="center"/>
            </w:pPr>
            <w:r>
              <w:rPr>
                <w:rFonts w:ascii="Arial" w:hAnsi="Arial"/>
                <w:sz w:val="18"/>
              </w:rPr>
              <w:t>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0.811</w:t>
            </w:r>
          </w:p>
        </w:tc>
        <w:tc>
          <w:tcPr>
            <w:tcW w:type="dxa" w:w="1568"/>
          </w:tcPr>
          <w:p>
            <w:pPr>
              <w:jc w:val="center"/>
            </w:pPr>
            <w:r>
              <w:rPr>
                <w:rFonts w:ascii="Arial" w:hAnsi="Arial"/>
                <w:sz w:val="18"/>
              </w:rPr>
              <w:t>0.126</w:t>
            </w:r>
          </w:p>
        </w:tc>
        <w:tc>
          <w:tcPr>
            <w:tcW w:type="dxa" w:w="1568"/>
          </w:tcPr>
          <w:p>
            <w:pPr>
              <w:jc w:val="center"/>
            </w:pPr>
            <w:r>
              <w:rPr>
                <w:rFonts w:ascii="Arial" w:hAnsi="Arial"/>
                <w:sz w:val="18"/>
              </w:rPr>
              <w:t>0.017</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0.809</w:t>
            </w:r>
          </w:p>
        </w:tc>
        <w:tc>
          <w:tcPr>
            <w:tcW w:type="dxa" w:w="1568"/>
          </w:tcPr>
          <w:p>
            <w:pPr>
              <w:jc w:val="center"/>
            </w:pPr>
            <w:r>
              <w:rPr>
                <w:rFonts w:ascii="Arial" w:hAnsi="Arial"/>
                <w:sz w:val="18"/>
              </w:rPr>
              <w:t>0.125</w:t>
            </w:r>
          </w:p>
        </w:tc>
        <w:tc>
          <w:tcPr>
            <w:tcW w:type="dxa" w:w="1568"/>
          </w:tcPr>
          <w:p>
            <w:pPr>
              <w:jc w:val="center"/>
            </w:pPr>
            <w:r>
              <w:rPr>
                <w:rFonts w:ascii="Arial" w:hAnsi="Arial"/>
                <w:sz w:val="18"/>
              </w:rPr>
              <w:t>0.020</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0.811</w:t>
            </w:r>
          </w:p>
        </w:tc>
        <w:tc>
          <w:tcPr>
            <w:tcW w:type="dxa" w:w="1568"/>
          </w:tcPr>
          <w:p>
            <w:pPr>
              <w:jc w:val="center"/>
            </w:pPr>
            <w:r>
              <w:rPr>
                <w:rFonts w:ascii="Arial" w:hAnsi="Arial"/>
                <w:sz w:val="18"/>
              </w:rPr>
              <w:t>0.126</w:t>
            </w:r>
          </w:p>
        </w:tc>
        <w:tc>
          <w:tcPr>
            <w:tcW w:type="dxa" w:w="1568"/>
          </w:tcPr>
          <w:p>
            <w:pPr>
              <w:jc w:val="center"/>
            </w:pPr>
            <w:r>
              <w:rPr>
                <w:rFonts w:ascii="Arial" w:hAnsi="Arial"/>
                <w:sz w:val="18"/>
              </w:rPr>
              <w:t>0.017</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Gemini 2.0F</w:t>
            </w:r>
          </w:p>
        </w:tc>
        <w:tc>
          <w:tcPr>
            <w:tcW w:type="dxa" w:w="1568"/>
          </w:tcPr>
          <w:p>
            <w:pPr>
              <w:jc w:val="center"/>
            </w:pPr>
            <w:r>
              <w:rPr>
                <w:rFonts w:ascii="Arial" w:hAnsi="Arial"/>
                <w:sz w:val="18"/>
              </w:rPr>
              <w:t>Anglo_T1</w:t>
            </w:r>
          </w:p>
        </w:tc>
        <w:tc>
          <w:tcPr>
            <w:tcW w:type="dxa" w:w="1568"/>
          </w:tcPr>
          <w:p>
            <w:pPr>
              <w:jc w:val="center"/>
            </w:pPr>
            <w:r>
              <w:rPr>
                <w:rFonts w:ascii="Arial" w:hAnsi="Arial"/>
                <w:sz w:val="18"/>
              </w:rPr>
              <w:t>0.753</w:t>
            </w:r>
          </w:p>
        </w:tc>
        <w:tc>
          <w:tcPr>
            <w:tcW w:type="dxa" w:w="1568"/>
          </w:tcPr>
          <w:p>
            <w:pPr>
              <w:jc w:val="center"/>
            </w:pPr>
            <w:r>
              <w:rPr>
                <w:rFonts w:ascii="Arial" w:hAnsi="Arial"/>
                <w:sz w:val="18"/>
              </w:rPr>
              <w:t>0.139</w:t>
            </w:r>
          </w:p>
        </w:tc>
        <w:tc>
          <w:tcPr>
            <w:tcW w:type="dxa" w:w="1568"/>
          </w:tcPr>
          <w:p>
            <w:pPr>
              <w:jc w:val="center"/>
            </w:pPr>
            <w:r>
              <w:rPr>
                <w:rFonts w:ascii="Arial" w:hAnsi="Arial"/>
                <w:sz w:val="18"/>
              </w:rPr>
              <w:t>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Gemini 2.0F</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0.705</w:t>
            </w:r>
          </w:p>
        </w:tc>
        <w:tc>
          <w:tcPr>
            <w:tcW w:type="dxa" w:w="1568"/>
          </w:tcPr>
          <w:p>
            <w:pPr>
              <w:jc w:val="center"/>
            </w:pPr>
            <w:r>
              <w:rPr>
                <w:rFonts w:ascii="Arial" w:hAnsi="Arial"/>
                <w:sz w:val="18"/>
              </w:rPr>
              <w:t>0.126</w:t>
            </w:r>
          </w:p>
        </w:tc>
        <w:tc>
          <w:tcPr>
            <w:tcW w:type="dxa" w:w="1568"/>
          </w:tcPr>
          <w:p>
            <w:pPr>
              <w:jc w:val="center"/>
            </w:pPr>
            <w:r>
              <w:rPr>
                <w:rFonts w:ascii="Arial" w:hAnsi="Arial"/>
                <w:sz w:val="18"/>
              </w:rPr>
              <w:t>0.046</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Gemini 2.0F</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0.723</w:t>
            </w:r>
          </w:p>
        </w:tc>
        <w:tc>
          <w:tcPr>
            <w:tcW w:type="dxa" w:w="1568"/>
          </w:tcPr>
          <w:p>
            <w:pPr>
              <w:jc w:val="center"/>
            </w:pPr>
            <w:r>
              <w:rPr>
                <w:rFonts w:ascii="Arial" w:hAnsi="Arial"/>
                <w:sz w:val="18"/>
              </w:rPr>
              <w:t>0.108</w:t>
            </w:r>
          </w:p>
        </w:tc>
        <w:tc>
          <w:tcPr>
            <w:tcW w:type="dxa" w:w="1568"/>
          </w:tcPr>
          <w:p>
            <w:pPr>
              <w:jc w:val="center"/>
            </w:pPr>
            <w:r>
              <w:rPr>
                <w:rFonts w:ascii="Arial" w:hAnsi="Arial"/>
                <w:sz w:val="18"/>
              </w:rPr>
              <w:t>0.033</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Gemini 2.0F</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0.727</w:t>
            </w:r>
          </w:p>
        </w:tc>
        <w:tc>
          <w:tcPr>
            <w:tcW w:type="dxa" w:w="1568"/>
          </w:tcPr>
          <w:p>
            <w:pPr>
              <w:jc w:val="center"/>
            </w:pPr>
            <w:r>
              <w:rPr>
                <w:rFonts w:ascii="Arial" w:hAnsi="Arial"/>
                <w:sz w:val="18"/>
              </w:rPr>
              <w:t>0.104</w:t>
            </w:r>
          </w:p>
        </w:tc>
        <w:tc>
          <w:tcPr>
            <w:tcW w:type="dxa" w:w="1568"/>
          </w:tcPr>
          <w:p>
            <w:pPr>
              <w:jc w:val="center"/>
            </w:pPr>
            <w:r>
              <w:rPr>
                <w:rFonts w:ascii="Arial" w:hAnsi="Arial"/>
                <w:sz w:val="18"/>
              </w:rPr>
              <w:t>0.027</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Anglo_T1</w:t>
            </w:r>
          </w:p>
        </w:tc>
        <w:tc>
          <w:tcPr>
            <w:tcW w:type="dxa" w:w="1568"/>
          </w:tcPr>
          <w:p>
            <w:pPr>
              <w:jc w:val="center"/>
            </w:pPr>
            <w:r>
              <w:rPr>
                <w:rFonts w:ascii="Arial" w:hAnsi="Arial"/>
                <w:sz w:val="18"/>
              </w:rPr>
              <w:t>0.780</w:t>
            </w:r>
          </w:p>
        </w:tc>
        <w:tc>
          <w:tcPr>
            <w:tcW w:type="dxa" w:w="1568"/>
          </w:tcPr>
          <w:p>
            <w:pPr>
              <w:jc w:val="center"/>
            </w:pPr>
            <w:r>
              <w:rPr>
                <w:rFonts w:ascii="Arial" w:hAnsi="Arial"/>
                <w:sz w:val="18"/>
              </w:rPr>
              <w:t>0.115</w:t>
            </w:r>
          </w:p>
        </w:tc>
        <w:tc>
          <w:tcPr>
            <w:tcW w:type="dxa" w:w="1568"/>
          </w:tcPr>
          <w:p>
            <w:pPr>
              <w:jc w:val="center"/>
            </w:pPr>
            <w:r>
              <w:rPr>
                <w:rFonts w:ascii="Arial" w:hAnsi="Arial"/>
                <w:sz w:val="18"/>
              </w:rPr>
              <w:t>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0.722</w:t>
            </w:r>
          </w:p>
        </w:tc>
        <w:tc>
          <w:tcPr>
            <w:tcW w:type="dxa" w:w="1568"/>
          </w:tcPr>
          <w:p>
            <w:pPr>
              <w:jc w:val="center"/>
            </w:pPr>
            <w:r>
              <w:rPr>
                <w:rFonts w:ascii="Arial" w:hAnsi="Arial"/>
                <w:sz w:val="18"/>
              </w:rPr>
              <w:t>0.187</w:t>
            </w:r>
          </w:p>
        </w:tc>
        <w:tc>
          <w:tcPr>
            <w:tcW w:type="dxa" w:w="1568"/>
          </w:tcPr>
          <w:p>
            <w:pPr>
              <w:jc w:val="center"/>
            </w:pPr>
            <w:r>
              <w:rPr>
                <w:rFonts w:ascii="Arial" w:hAnsi="Arial"/>
                <w:sz w:val="18"/>
              </w:rPr>
              <w:t>0.057</w:t>
            </w:r>
          </w:p>
        </w:tc>
        <w:tc>
          <w:tcPr>
            <w:tcW w:type="dxa" w:w="1568"/>
          </w:tcPr>
          <w:p>
            <w:pPr>
              <w:jc w:val="center"/>
            </w:pPr>
            <w:r>
              <w:rPr>
                <w:rFonts w:ascii="Arial" w:hAnsi="Arial"/>
                <w:sz w:val="18"/>
              </w:rPr>
              <w:t>Strongest bias</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0.747</w:t>
            </w:r>
          </w:p>
        </w:tc>
        <w:tc>
          <w:tcPr>
            <w:tcW w:type="dxa" w:w="1568"/>
          </w:tcPr>
          <w:p>
            <w:pPr>
              <w:jc w:val="center"/>
            </w:pPr>
            <w:r>
              <w:rPr>
                <w:rFonts w:ascii="Arial" w:hAnsi="Arial"/>
                <w:sz w:val="18"/>
              </w:rPr>
              <w:t>0.153</w:t>
            </w:r>
          </w:p>
        </w:tc>
        <w:tc>
          <w:tcPr>
            <w:tcW w:type="dxa" w:w="1568"/>
          </w:tcPr>
          <w:p>
            <w:pPr>
              <w:jc w:val="center"/>
            </w:pPr>
            <w:r>
              <w:rPr>
                <w:rFonts w:ascii="Arial" w:hAnsi="Arial"/>
                <w:sz w:val="18"/>
              </w:rPr>
              <w:t>0.033</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0.743</w:t>
            </w:r>
          </w:p>
        </w:tc>
        <w:tc>
          <w:tcPr>
            <w:tcW w:type="dxa" w:w="1568"/>
          </w:tcPr>
          <w:p>
            <w:pPr>
              <w:jc w:val="center"/>
            </w:pPr>
            <w:r>
              <w:rPr>
                <w:rFonts w:ascii="Arial" w:hAnsi="Arial"/>
                <w:sz w:val="18"/>
              </w:rPr>
              <w:t>0.134</w:t>
            </w:r>
          </w:p>
        </w:tc>
        <w:tc>
          <w:tcPr>
            <w:tcW w:type="dxa" w:w="1568"/>
          </w:tcPr>
          <w:p>
            <w:pPr>
              <w:jc w:val="center"/>
            </w:pPr>
            <w:r>
              <w:rPr>
                <w:rFonts w:ascii="Arial" w:hAnsi="Arial"/>
                <w:sz w:val="18"/>
              </w:rPr>
              <w:t>0.037</w:t>
            </w:r>
          </w:p>
        </w:tc>
        <w:tc>
          <w:tcPr>
            <w:tcW w:type="dxa" w:w="1568"/>
          </w:tcPr>
          <w:p>
            <w:pPr>
              <w:jc w:val="center"/>
            </w:pPr>
            <w:r>
              <w:rPr>
                <w:rFonts w:ascii="Arial" w:hAnsi="Arial"/>
                <w:sz w:val="18"/>
              </w:rPr>
              <w:t>Prestige penalty</w:t>
            </w:r>
          </w:p>
        </w:tc>
      </w:tr>
    </w:tbl>
    <w:p/>
    <w:p>
      <w:pPr>
        <w:spacing w:before="120" w:after="80"/>
        <w:jc w:val="both"/>
      </w:pPr>
      <w:r>
        <w:rPr>
          <w:rFonts w:ascii="Arial" w:hAnsi="Arial"/>
          <w:b/>
          <w:i w:val="0"/>
          <w:sz w:val="24"/>
        </w:rPr>
        <w:t>5. Discussion</w:t>
      </w:r>
    </w:p>
    <w:p>
      <w:pPr>
        <w:spacing w:before="0" w:after="40"/>
        <w:jc w:val="both"/>
      </w:pPr>
      <w:r>
        <w:rPr>
          <w:rFonts w:ascii="Arial" w:hAnsi="Arial"/>
          <w:b/>
          <w:i w:val="0"/>
          <w:sz w:val="22"/>
        </w:rPr>
        <w:t>5.1 Prestige Bias is Real and Significant; Name Bias is Not</w:t>
      </w:r>
    </w:p>
    <w:p>
      <w:pPr>
        <w:spacing w:before="0" w:after="80"/>
        <w:ind w:firstLine="283"/>
        <w:jc w:val="both"/>
      </w:pPr>
      <w:r>
        <w:rPr>
          <w:rFonts w:ascii="Arial" w:hAnsi="Arial"/>
          <w:b w:val="0"/>
          <w:i w:val="0"/>
          <w:sz w:val="22"/>
        </w:rPr>
        <w:t>The bootstrap confidence intervals sharpen the paper's central claim. The institution gradient (+0.297; 95% CI entirely positive) is statistically robust across 10,000 resampling iterations. By contrast, name-origin effects (±0.094) are statistically indistinguishable from zero — both CIs include zero at the 95% level. This asymmetry is substantively important: alignment training has successfully eliminated measurable name-based discrimination but has not addressed institutional prestige bias. Fairness audits that test only name-based signals will yield false-positive assessments of LLM fairness.</w:t>
      </w:r>
    </w:p>
    <w:p>
      <w:pPr>
        <w:spacing w:before="0" w:after="40"/>
        <w:jc w:val="both"/>
      </w:pPr>
      <w:r>
        <w:rPr>
          <w:rFonts w:ascii="Arial" w:hAnsi="Arial"/>
          <w:b/>
          <w:i w:val="0"/>
          <w:sz w:val="22"/>
        </w:rPr>
        <w:t>5.2 Prestige Dominates Country, but Both Exist</w:t>
      </w:r>
    </w:p>
    <w:p>
      <w:pPr>
        <w:spacing w:before="0" w:after="80"/>
        <w:ind w:firstLine="283"/>
        <w:jc w:val="both"/>
      </w:pPr>
      <w:r>
        <w:rPr>
          <w:rFonts w:ascii="Arial" w:hAnsi="Arial"/>
          <w:b w:val="0"/>
          <w:i w:val="0"/>
          <w:sz w:val="22"/>
        </w:rPr>
        <w:t>Study 2 establishes that both prestige and country-of-origin effects are statistically significant at the aggregate level. Prestige is larger (1.5×) and more consistent across models. The UNAM vs. FSU contrast (+0.058; CI crosses zero) is individually ambiguous, but the direction (UNAM ≥ FSU in 3/4 models) is consistent with prestige recognition rather than country stereotyping. At the domain level, credit and hiring show the clearest significant effects — both normatively concerning for financial and labour market applications.</w:t>
      </w:r>
    </w:p>
    <w:p>
      <w:pPr>
        <w:spacing w:before="0" w:after="40"/>
        <w:jc w:val="both"/>
      </w:pPr>
      <w:r>
        <w:rPr>
          <w:rFonts w:ascii="Arial" w:hAnsi="Arial"/>
          <w:b/>
          <w:i w:val="0"/>
          <w:sz w:val="22"/>
        </w:rPr>
        <w:t>5.3 The NBI Indeterminacy Signal</w:t>
      </w:r>
    </w:p>
    <w:p>
      <w:pPr>
        <w:spacing w:before="0" w:after="80"/>
        <w:ind w:firstLine="283"/>
        <w:jc w:val="both"/>
      </w:pPr>
      <w:r>
        <w:rPr>
          <w:rFonts w:ascii="Arial" w:hAnsi="Arial"/>
          <w:b w:val="0"/>
          <w:i w:val="0"/>
          <w:sz w:val="22"/>
        </w:rPr>
        <w:t>The elevated I component for low-prestige profiles (I=0.108–0.187 vs. I=0.079–0.139 for the reference) constitutes an epistemic disadvantage: candidates from less-known institutions face both a lower expected score (F &gt; 0) and higher variance across scenarios (I &gt; reference). A mean-only analysis captures the first component but misses the second. The NBI framework provides a richer characterisation that is directly interpretable within neutrosophic logic: high I signals genuine model uncertainty, not just noise.</w:t>
      </w:r>
    </w:p>
    <w:p>
      <w:pPr>
        <w:spacing w:before="0" w:after="40"/>
        <w:jc w:val="both"/>
      </w:pPr>
      <w:r>
        <w:rPr>
          <w:rFonts w:ascii="Arial" w:hAnsi="Arial"/>
          <w:b/>
          <w:i w:val="0"/>
          <w:sz w:val="22"/>
        </w:rPr>
        <w:t>5.4 Limitations</w:t>
      </w:r>
    </w:p>
    <w:p>
      <w:pPr>
        <w:spacing w:before="0" w:after="80"/>
        <w:ind w:firstLine="283"/>
        <w:jc w:val="both"/>
      </w:pPr>
      <w:r>
        <w:rPr>
          <w:rFonts w:ascii="Arial" w:hAnsi="Arial"/>
          <w:b w:val="0"/>
          <w:i w:val="0"/>
          <w:sz w:val="22"/>
        </w:rPr>
        <w:t>Four limitations are noted. First, bootstrap CIs are percentile-based and assume exchangeability across scenarios — a parametric test (mixed ANOVA, multilevel model) would provide additional rigour. Second, scenario texts include institution name and city together, so geographic associations embedded in institution names cannot be fully disentangled from prestige. Third, all credentials are in English. Fourth, the institution sample (four universities, three countries) limits generalisability to African, South Asian, or Eastern European contexts.</w:t>
      </w:r>
    </w:p>
    <w:p>
      <w:pPr>
        <w:spacing w:before="120" w:after="80"/>
        <w:jc w:val="both"/>
      </w:pPr>
      <w:r>
        <w:rPr>
          <w:rFonts w:ascii="Arial" w:hAnsi="Arial"/>
          <w:b/>
          <w:i w:val="0"/>
          <w:sz w:val="24"/>
        </w:rPr>
        <w:t>6. Conclusion</w:t>
      </w:r>
    </w:p>
    <w:p>
      <w:pPr>
        <w:spacing w:before="0" w:after="80"/>
        <w:ind w:firstLine="283"/>
        <w:jc w:val="both"/>
      </w:pPr>
      <w:r>
        <w:rPr>
          <w:rFonts w:ascii="Arial" w:hAnsi="Arial"/>
          <w:b w:val="0"/>
          <w:i w:val="0"/>
          <w:sz w:val="22"/>
        </w:rPr>
        <w:t>Two factorial experiments with 2,880 total API calls across four LLMs and five professional domains, with bootstrap confidence intervals, demonstrate that: (1) LLMs assign systematically higher scores to candidates from prestigious institutions (gradient +0.297; 95% CI: +0.175, +0.422); (2) name-based ethnic discrimination is statistically non-significant (±0.094; 95% CI crosses zero) — alignment training is effective here; (3) the institution gradient is driven primarily by prestige recognition (+0.185; CI significant) over country-of-origin stereotyping (+0.126; CI significant but smaller); (4) institutional prestige bias is largest and most clearly significant in credit scoring and public policy — domains where it has no normative justification. The NBI ⟨T,I,F⟩ framework reveals a compound disadvantage for low-prestige candidates: both a systematic scoring penalty (F &gt; 0) and elevated evaluation inconsistency (I &gt; reference). Code, data, and reproducible experiments are available at https://github.com/mleyvaz/geo-bias-llm.</w:t>
      </w:r>
    </w:p>
    <w:p>
      <w:pPr>
        <w:spacing w:before="120" w:after="40"/>
        <w:jc w:val="both"/>
      </w:pPr>
      <w:r>
        <w:rPr>
          <w:rFonts w:ascii="Arial" w:hAnsi="Arial"/>
          <w:b/>
          <w:i w:val="0"/>
          <w:sz w:val="22"/>
        </w:rPr>
        <w:t>Conflict of Interest</w:t>
      </w:r>
    </w:p>
    <w:p>
      <w:pPr>
        <w:spacing w:before="0" w:after="80"/>
        <w:jc w:val="both"/>
      </w:pPr>
      <w:r>
        <w:rPr>
          <w:rFonts w:ascii="Arial" w:hAnsi="Arial"/>
          <w:b w:val="0"/>
          <w:i w:val="0"/>
          <w:sz w:val="22"/>
        </w:rPr>
        <w:t>The first author (Maikel Leyva-Vázquez) serves as Editor-in-Chief of Neutrosophic Computing and Machine Learning (NCML), the journal to which this paper is submitted. To mitigate this conflict, the first author will not participate in editorial decisions regarding this manuscript; the review process will be handled exclusively by the co-Editor or an appointed Guest Editor. The second author declares no conflict of interest.</w:t>
      </w:r>
    </w:p>
    <w:p>
      <w:pPr>
        <w:spacing w:before="80" w:after="40"/>
        <w:jc w:val="both"/>
      </w:pPr>
      <w:r>
        <w:rPr>
          <w:rFonts w:ascii="Arial" w:hAnsi="Arial"/>
          <w:b/>
          <w:i w:val="0"/>
          <w:sz w:val="22"/>
        </w:rPr>
        <w:t>Data Availability</w:t>
      </w:r>
    </w:p>
    <w:p>
      <w:pPr>
        <w:spacing w:before="0" w:after="80"/>
        <w:jc w:val="both"/>
      </w:pPr>
      <w:r>
        <w:rPr>
          <w:rFonts w:ascii="Arial" w:hAnsi="Arial"/>
          <w:b w:val="0"/>
          <w:i w:val="0"/>
          <w:sz w:val="22"/>
        </w:rPr>
        <w:t>All experimental data, analysis scripts, and the paper build script are publicly available at https://github.com/mleyvaz/geo-bias-llm under the MIT License.</w:t>
      </w:r>
    </w:p>
    <w:p>
      <w:pPr>
        <w:spacing w:before="120" w:after="80"/>
        <w:jc w:val="both"/>
      </w:pPr>
      <w:r>
        <w:rPr>
          <w:rFonts w:ascii="Arial" w:hAnsi="Arial"/>
          <w:b/>
          <w:i w:val="0"/>
          <w:sz w:val="24"/>
        </w:rPr>
        <w:t>References</w:t>
      </w:r>
    </w:p>
    <w:p>
      <w:pPr>
        <w:spacing w:after="40"/>
        <w:ind w:left="283" w:hanging="283"/>
      </w:pPr>
      <w:r>
        <w:rPr>
          <w:rFonts w:ascii="Arial" w:hAnsi="Arial"/>
          <w:sz w:val="18"/>
        </w:rPr>
        <w:t>[1]  Zheng, L., Chiang, W.-L., Sheng, Y., Zhuang, S., Wu, Z., Zhuang, Y., Lin, Z., Li, Z., Li, D., Xing, E., Zhang, H., Gonzalez, J.E., &amp; Stoica, I. (2023). Judging LLM-as-a-Judge with MT-Bench and Chatbot Arena. NeurIPS. arXiv:2306.05685.</w:t>
      </w:r>
    </w:p>
    <w:p>
      <w:pPr>
        <w:spacing w:after="40"/>
        <w:ind w:left="283" w:hanging="283"/>
      </w:pPr>
      <w:r>
        <w:rPr>
          <w:rFonts w:ascii="Arial" w:hAnsi="Arial"/>
          <w:sz w:val="18"/>
        </w:rPr>
        <w:t>[2]  Li, B., Chen, W., Zhang, J., Luo, F., Wang, W., Li, W., &amp; Liu, T. (2023). Fairness in Large Language Models: A Taxonomic Survey. ACM SIGKDD Explorations, 25(2), 34–48.</w:t>
      </w:r>
    </w:p>
    <w:p>
      <w:pPr>
        <w:spacing w:after="40"/>
        <w:ind w:left="283" w:hanging="283"/>
      </w:pPr>
      <w:r>
        <w:rPr>
          <w:rFonts w:ascii="Arial" w:hAnsi="Arial"/>
          <w:sz w:val="18"/>
        </w:rPr>
        <w:t>[3]  Wan, Y., Chang, G., Miranda, H.L., Gaut, B., Nallapati, R., Xiang, B., &amp; Poria, S. (2023). Kelly is a Warm Person, Joseph is a Role Model: Gender Biases in LLM-Generated Reference Letters. EMNLP Findings.</w:t>
      </w:r>
    </w:p>
    <w:p>
      <w:pPr>
        <w:spacing w:after="40"/>
        <w:ind w:left="283" w:hanging="283"/>
      </w:pPr>
      <w:r>
        <w:rPr>
          <w:rFonts w:ascii="Arial" w:hAnsi="Arial"/>
          <w:sz w:val="18"/>
        </w:rPr>
        <w:t>[4]  Tamkin, A., Askell, A., Lovitt, L., Durmus, E., Joseph, N., Kravec, S., Nguyen, K., Kaplan, J., &amp; Ganguli, D. (2023). Evaluating and Mitigating Discrimination in Language Model Decisions. arXiv:2312.03689.</w:t>
      </w:r>
    </w:p>
    <w:p>
      <w:pPr>
        <w:spacing w:after="40"/>
        <w:ind w:left="283" w:hanging="283"/>
      </w:pPr>
      <w:r>
        <w:rPr>
          <w:rFonts w:ascii="Arial" w:hAnsi="Arial"/>
          <w:sz w:val="18"/>
        </w:rPr>
        <w:t>[5]  Haim, A., Strauss, G., Schwartz, R., Gligorić, K., &amp; Wilcoxson, T. (2024). Do Large Language Models Discriminate in Hiring Decisions on the Basis of Race, Ethnicity, and Gender? arXiv:2406.10486.</w:t>
      </w:r>
    </w:p>
    <w:p>
      <w:pPr>
        <w:spacing w:after="40"/>
        <w:ind w:left="283" w:hanging="283"/>
      </w:pPr>
      <w:r>
        <w:rPr>
          <w:rFonts w:ascii="Arial" w:hAnsi="Arial"/>
          <w:sz w:val="18"/>
        </w:rPr>
        <w:t>[6]  Salinas, A., Ghosh, S., &amp; Surdeanu, M. (2023). Unequal Representations: Analyzing Intersectional Biases in NLP. arXiv:2306.11521.</w:t>
      </w:r>
    </w:p>
    <w:p>
      <w:pPr>
        <w:spacing w:after="40"/>
        <w:ind w:left="283" w:hanging="283"/>
      </w:pPr>
      <w:r>
        <w:rPr>
          <w:rFonts w:ascii="Arial" w:hAnsi="Arial"/>
          <w:sz w:val="18"/>
        </w:rPr>
        <w:t>[7]  Howell, A., Wang, J., Du, L., Melkers, J., &amp; Shah, V. (2025). Prestige over Merit: An Adapted Audit of LLM Bias in Peer Review. arXiv:2509.15122.</w:t>
      </w:r>
    </w:p>
    <w:p>
      <w:pPr>
        <w:spacing w:after="40"/>
        <w:ind w:left="283" w:hanging="283"/>
      </w:pPr>
      <w:r>
        <w:rPr>
          <w:rFonts w:ascii="Arial" w:hAnsi="Arial"/>
          <w:sz w:val="18"/>
        </w:rPr>
        <w:t>[8]  Gupta, S. &amp; Ranjan, R. (2024). Evaluation of LLMs Biases Towards Elite Universities: A Persona-Based Exploration. arXiv:2407.12801.</w:t>
      </w:r>
    </w:p>
    <w:p>
      <w:pPr>
        <w:spacing w:after="40"/>
        <w:ind w:left="283" w:hanging="283"/>
      </w:pPr>
      <w:r>
        <w:rPr>
          <w:rFonts w:ascii="Arial" w:hAnsi="Arial"/>
          <w:sz w:val="18"/>
        </w:rPr>
        <w:t>[9]  Basu, A. &amp; Chakraborty, P. (2026). When Names Change Verdicts: Intervention Consistency Reveals Systematic Bias in LLM Decision-Making. arXiv:2603.18530.</w:t>
      </w:r>
    </w:p>
    <w:p>
      <w:pPr>
        <w:spacing w:after="40"/>
        <w:ind w:left="283" w:hanging="283"/>
      </w:pPr>
      <w:r>
        <w:rPr>
          <w:rFonts w:ascii="Arial" w:hAnsi="Arial"/>
          <w:sz w:val="18"/>
        </w:rPr>
        <w:t>[10] Iso, H., Kwon, H., Sahoo, N., &amp; Peng, N. (2025). Evaluating Bias in LLMs for Job-Resume Matching: Gender, Race, and Education. NAACL Industry. arXiv:2503.19182.</w:t>
      </w:r>
    </w:p>
    <w:p>
      <w:pPr>
        <w:spacing w:after="40"/>
        <w:ind w:left="283" w:hanging="283"/>
      </w:pPr>
      <w:r>
        <w:rPr>
          <w:rFonts w:ascii="Arial" w:hAnsi="Arial"/>
          <w:sz w:val="18"/>
        </w:rPr>
        <w:t>[11] Naous, T., Ryan, M.J., Ritter, A., &amp; Xu, W. (2024). Having Beer after Prayer? Measuring Cultural Bias in Large Language Models. ACL.</w:t>
      </w:r>
    </w:p>
    <w:p>
      <w:pPr>
        <w:spacing w:after="40"/>
        <w:ind w:left="283" w:hanging="283"/>
      </w:pPr>
      <w:r>
        <w:rPr>
          <w:rFonts w:ascii="Arial" w:hAnsi="Arial"/>
          <w:sz w:val="18"/>
        </w:rPr>
        <w:t>[12] Forcada Rodríguez, E., Perez-de-Viñaspre, O., Campos, J.A., Klakow, D., &amp; Gautam, V. (2025). Colombian Waitresses y Jueces canadienses: Gender and Country Biases in Occupation Recommendations from LLMs. arXiv:2505.02456.</w:t>
      </w:r>
    </w:p>
    <w:p>
      <w:pPr>
        <w:spacing w:after="40"/>
        <w:ind w:left="283" w:hanging="283"/>
      </w:pPr>
      <w:r>
        <w:rPr>
          <w:rFonts w:ascii="Arial" w:hAnsi="Arial"/>
          <w:sz w:val="18"/>
        </w:rPr>
        <w:t>[13] Rao, P.S.B., Venkatesan, L.N., Cherubini, M., &amp; Jayagopi, D.B. (2025). Invisible Filters: Cultural Bias in Hiring Evaluations Using Large Language Models. arXiv:2508.16673.</w:t>
      </w:r>
    </w:p>
    <w:p>
      <w:pPr>
        <w:spacing w:after="40"/>
        <w:ind w:left="283" w:hanging="283"/>
      </w:pPr>
      <w:r>
        <w:rPr>
          <w:rFonts w:ascii="Arial" w:hAnsi="Arial"/>
          <w:sz w:val="18"/>
        </w:rPr>
        <w:t>[14] Smarandache, F. (1998). Neutrosophy: Neutrosophic Probability, Set, and Logic. American Research Press.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