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Institutional Prestige as Geographic Bias in Large Language Models:</w:t>
        <w:br/>
        <w:t>A Two-Study Neutrosophic Analysis</w:t>
      </w:r>
    </w:p>
    <w:p/>
    <w:p>
      <w:pPr>
        <w:jc w:val="center"/>
      </w:pPr>
      <w:r>
        <w:rPr>
          <w:b/>
        </w:rPr>
        <w:t>Maikel Leyva-Vázquez</w:t>
        <w:br/>
      </w:r>
      <w:r>
        <w:rPr>
          <w:i/>
          <w:sz w:val="20"/>
        </w:rPr>
        <w:t>Universidad Bolivariana del Ecuador / Universidad de Guayaquil</w:t>
        <w:br/>
        <w:t>mleyvaz@gmail.com</w:t>
      </w:r>
    </w:p>
    <w:p/>
    <w:p>
      <w:pPr>
        <w:spacing w:before="200" w:after="80"/>
      </w:pPr>
      <w:r>
        <w:rPr>
          <w:b/>
          <w:sz w:val="24"/>
        </w:rPr>
        <w:t>Abstract</w:t>
      </w:r>
    </w:p>
    <w:p>
      <w:pPr>
        <w:spacing w:after="80"/>
        <w:jc w:val="both"/>
      </w:pPr>
      <w:r>
        <w:rPr>
          <w:sz w:val="22"/>
        </w:rPr>
        <w:t>We investigate whether large language models (LLMs) systematically discriminate in candidate evaluations based on the ethnic origin of the applicant's name and/or the prestige and geographic location of their institution. Two factorial experiments are reported. Study 1 (3x4 design: 3 name origins x 4 institution tiers; 1,440 API calls) finds a consistent institution gradient of +0.297 points (10-point scale, T1-MIT vs. T5-Universidad de Guayaquil), while name-origin effects are negligible (&lt;0.094). Study 2 (3x4 design: 3 names x 2x2 Prestige x Country; 1,440 API calls) breaks the prestige-geography confound of Study 1: the prestige effect (+0.185) exceeds the country-of-origin effect (+0.126) by a factor of 1.5x across four LLMs. The critical UNAM (high prestige, Mexico) vs. Framingham State University (low prestige, USA) contrast confirms that models reward institutional prestige rather than simply penalizing developing-country geography. Bias is largest in credit scoring (prestige effect +0.278) and public policy evaluation (+0.201) — domains where institutional affiliation carries no normative justification. Results are quantified using the Neutrosophic Bias Index NBI&lt;T,I,F&gt;, where the F component reveals systematic penalties up to F=0.057 for low-prestige profiles. Code and data: https://github.com/mleyvaz/geo-bias-llm.</w:t>
      </w:r>
    </w:p>
    <w:p>
      <w:r>
        <w:rPr>
          <w:b/>
        </w:rPr>
        <w:t xml:space="preserve">Keywords: </w:t>
      </w:r>
      <w:r>
        <w:rPr>
          <w:sz w:val="20"/>
        </w:rPr>
        <w:t>geographic bias, LLM fairness, institutional prestige, neutrosophic bias index, factorial experiment</w:t>
      </w:r>
    </w:p>
    <w:p/>
    <w:p>
      <w:pPr>
        <w:spacing w:before="200" w:after="80"/>
      </w:pPr>
      <w:r>
        <w:rPr>
          <w:b/>
          <w:sz w:val="24"/>
        </w:rPr>
        <w:t>1. Introduction</w:t>
      </w:r>
    </w:p>
    <w:p>
      <w:pPr>
        <w:spacing w:after="80"/>
        <w:ind w:firstLine="432"/>
        <w:jc w:val="both"/>
      </w:pPr>
      <w:r>
        <w:rPr>
          <w:sz w:val="22"/>
        </w:rPr>
        <w:t>Large language models are increasingly deployed as automated evaluators in scholarship selection, hiring pipelines, credit assessment, and research funding. Unlike rule-based systems, LLMs encode latent associations acquired from their training corpora — corpora that reflect deep geographic and institutional inequalities. A model that assigns higher scores to functionally identical candidates from MIT than from the Universidad de Guayaquil is not neutral: it reproduces existing hierarchies of institutional prestige.</w:t>
      </w:r>
    </w:p>
    <w:p>
      <w:pPr>
        <w:spacing w:after="80"/>
        <w:ind w:firstLine="432"/>
        <w:jc w:val="both"/>
      </w:pPr>
      <w:r>
        <w:rPr>
          <w:sz w:val="22"/>
        </w:rPr>
        <w:t>Prior work on LLM bias has focused on gender [1], race [2], and name-based ethnic signaling [3,4]. These studies find modest but consistent effects (0.1–0.3 on a 10-point scale). Geographic or institutional bias has received less attention, despite the fact that the overwhelming majority of the world's graduates attend universities outside the global top 200.</w:t>
      </w:r>
    </w:p>
    <w:p>
      <w:pPr>
        <w:spacing w:after="80"/>
        <w:ind w:firstLine="432"/>
        <w:jc w:val="both"/>
      </w:pPr>
      <w:r>
        <w:rPr>
          <w:sz w:val="22"/>
        </w:rPr>
        <w:t>This paper reports two experiments. Study 1 establishes an institution-tier gradient across four LLMs and five professional domains. Study 2 disentangles institutional prestige from country-of-origin by introducing a 2x2 Prestige x Country design. Both studies are analyzed with the Neutrosophic Bias Index (NBI) [5], which represents each evaluation as a neutrosophic triplet &lt;T,I,F&gt; capturing favorability, inconsistency, and systematic penalty.</w:t>
      </w:r>
    </w:p>
    <w:p>
      <w:pPr>
        <w:spacing w:before="200" w:after="80"/>
      </w:pPr>
      <w:r>
        <w:rPr>
          <w:b/>
          <w:sz w:val="24"/>
        </w:rPr>
        <w:t>2. Related Work</w:t>
      </w:r>
    </w:p>
    <w:p>
      <w:pPr>
        <w:spacing w:after="80"/>
        <w:ind w:firstLine="432"/>
        <w:jc w:val="both"/>
      </w:pPr>
      <w:r>
        <w:rPr>
          <w:sz w:val="22"/>
        </w:rPr>
        <w:t>Tamkin et al. [2] demonstrate that LLMs assign lower creditworthiness scores to African-American-associated names. Wan et al. [4] show gender asymmetries in LLM-generated recommendation letters. Salinas et al. [3] find name-based ethnic effects of 0.1–0.3 points on hiring tasks. Naous et al. [6] document a Western default in LLM cultural knowledge, and Cao et al. [7] show North American institutional over-representation in LLM normative reasoning. None of these studies isolate institutional prestige as a manipulable factor in evaluation tasks or apply a confound-breaking design to separate prestige from geography.</w:t>
      </w:r>
    </w:p>
    <w:p>
      <w:pPr>
        <w:spacing w:after="80"/>
        <w:ind w:firstLine="432"/>
        <w:jc w:val="both"/>
      </w:pPr>
      <w:r>
        <w:rPr>
          <w:sz w:val="22"/>
        </w:rPr>
        <w:t>The Neutrosophic Bias Index [5] extends classical bias measurement within the neutrosophic framework [8]. Classical bias metrics report a point estimate; NBI additionally encodes the variance of evaluations (I component) and the magnitude of systematic downward deviation from a reference profile (F component), providing a richer characterization of bias patterns.</w:t>
      </w:r>
    </w:p>
    <w:p>
      <w:pPr>
        <w:spacing w:before="200" w:after="80"/>
      </w:pPr>
      <w:r>
        <w:rPr>
          <w:b/>
          <w:sz w:val="24"/>
        </w:rPr>
        <w:t>3. Methodology</w:t>
      </w:r>
    </w:p>
    <w:p>
      <w:pPr>
        <w:spacing w:before="120" w:after="40"/>
      </w:pPr>
      <w:r>
        <w:rPr>
          <w:b/>
          <w:sz w:val="22"/>
        </w:rPr>
        <w:t>3.1 Common elements across both studies</w:t>
      </w:r>
    </w:p>
    <w:p>
      <w:pPr>
        <w:spacing w:after="80"/>
        <w:ind w:firstLine="432"/>
        <w:jc w:val="both"/>
      </w:pPr>
      <w:r>
        <w:rPr>
          <w:sz w:val="22"/>
        </w:rPr>
        <w:t>Both studies share the same scenario pool (30 evaluation items across 5 domains), 4 LLMs (Claude Haiku 4.5, GPT-4o-mini, Gemini 2.0 Flash, Llama 3.1 8B), and API access via OpenRouter at temperature=0.1. The system prompt assigns an evaluator role without any anti-bias instruction, capturing default model behavior. Three name origins are tested: Anglo (John Smith), Latino (Juan Carlos Rodriguez), Arabic (Omar Al-Hassan). Candidate credentials are held constant across all profiles.</w:t>
      </w:r>
    </w:p>
    <w:p>
      <w:pPr>
        <w:spacing w:after="80"/>
        <w:ind w:firstLine="432"/>
        <w:jc w:val="both"/>
      </w:pPr>
      <w:r>
        <w:rPr>
          <w:sz w:val="22"/>
        </w:rPr>
        <w:t>Domains and evaluator roles: scholarship (graduate admissions committee), hiring (senior HR recruiter), credit (commercial bank loan officer), health (research funding committee), public policy (international development agency). Six scenarios per domain yield 30 stimuli per profile.</w:t>
      </w:r>
    </w:p>
    <w:p>
      <w:pPr>
        <w:spacing w:before="120" w:after="40"/>
      </w:pPr>
      <w:r>
        <w:rPr>
          <w:b/>
          <w:sz w:val="22"/>
        </w:rPr>
        <w:t>3.2 Study 1: Institution-tier gradient (3x4 design)</w:t>
      </w:r>
    </w:p>
    <w:p>
      <w:pPr>
        <w:spacing w:after="80"/>
        <w:ind w:firstLine="432"/>
        <w:jc w:val="both"/>
      </w:pPr>
      <w:r>
        <w:rPr>
          <w:sz w:val="22"/>
        </w:rPr>
        <w:t>Study 1 crosses 3 name origins with 4 institution tiers: T1 (MIT, Cambridge USA), T2 (Universidad de Chile, Santiago), T3 (Universidad Nacional de Colombia, Bogota), T5 (Universidad de Guayaquil, Ecuador). This yields 12 profiles x 30 stimuli x 4 models = 1,440 API calls. The design tests whether scores decline monotonically with institutional tier and whether name origin modulates this gradient.</w:t>
      </w:r>
    </w:p>
    <w:p>
      <w:pPr>
        <w:spacing w:after="80"/>
        <w:ind w:firstLine="432"/>
        <w:jc w:val="both"/>
      </w:pPr>
      <w:r>
        <w:rPr>
          <w:sz w:val="22"/>
        </w:rPr>
        <w:t>Limitation of Study 1: institution tier and country of origin co-vary. MIT is in the USA; Universidad de Guayaquil is in Ecuador. The observed gradient could reflect prestige recognition, geographic stereotyping, or both. Study 2 addresses this.</w:t>
      </w:r>
    </w:p>
    <w:p>
      <w:pPr>
        <w:spacing w:before="120" w:after="40"/>
      </w:pPr>
      <w:r>
        <w:rPr>
          <w:b/>
          <w:sz w:val="22"/>
        </w:rPr>
        <w:t>3.3 Study 2: Breaking the confound (2x2 Prestige x Country)</w:t>
      </w:r>
    </w:p>
    <w:p>
      <w:pPr>
        <w:spacing w:after="80"/>
        <w:ind w:firstLine="432"/>
        <w:jc w:val="both"/>
      </w:pPr>
      <w:r>
        <w:rPr>
          <w:sz w:val="22"/>
        </w:rPr>
        <w:t>Study 2 introduces a 2x2 factorial on Prestige (High/Low) x Country (Developed/Developing): MIT (high, USA), UNAM (high, Mexico), Framingham State University (low, USA), Universidad de Guayaquil (low, Ecuador). The critical contrast is UNAM vs. Framingham State: UNAM is a high-prestige Latin American university while Framingham State is a low-prestige accredited US university. If models respond to prestige, UNAM &gt; Framingham; if models respond to country, Framingham &gt; UNAM. The design yields the same 1,440 calls.</w:t>
      </w:r>
    </w:p>
    <w:p>
      <w:pPr>
        <w:spacing w:after="80"/>
        <w:ind w:firstLine="432"/>
        <w:jc w:val="both"/>
      </w:pPr>
      <w:r>
        <w:rPr>
          <w:sz w:val="22"/>
        </w:rPr>
        <w:t>Main effects are estimated as: Prestige effect = [(MIT+UNAM) - (Framingham+UGye)] / 2; Country effect = [(MIT+Framingham) - (UNAM+UGye)] / 2; Interaction = (MIT-UNAM) - (Framingham-UGye).</w:t>
      </w:r>
    </w:p>
    <w:p>
      <w:pPr>
        <w:spacing w:before="120" w:after="40"/>
      </w:pPr>
      <w:r>
        <w:rPr>
          <w:b/>
          <w:sz w:val="22"/>
        </w:rPr>
        <w:t>3.4 Neutrosophic Bias Index</w:t>
      </w:r>
    </w:p>
    <w:p>
      <w:pPr>
        <w:spacing w:after="80"/>
        <w:ind w:firstLine="432"/>
        <w:jc w:val="both"/>
      </w:pPr>
      <w:r>
        <w:rPr>
          <w:sz w:val="22"/>
        </w:rPr>
        <w:t>For each model-profile combination, NBI = &lt;T, I, F&gt; where T = mean_score/10 (normalized favorability), I = min(std_score/5, 1.0) (normalized inconsistency), F = max(0, (ref_mean - mean_score)/10) (systematic penalty vs. the Anglo-MIT reference). When T+I+F &gt; 1 the triplet is normalized. F &gt; 0 indicates that the model evaluates the profile systematically below the reference, after accounting for its internal variance.</w:t>
      </w:r>
    </w:p>
    <w:p>
      <w:pPr>
        <w:spacing w:before="200" w:after="80"/>
      </w:pPr>
      <w:r>
        <w:rPr>
          <w:b/>
          <w:sz w:val="24"/>
        </w:rPr>
        <w:t>4. Results</w:t>
      </w:r>
    </w:p>
    <w:p>
      <w:pPr>
        <w:spacing w:before="120" w:after="40"/>
      </w:pPr>
      <w:r>
        <w:rPr>
          <w:b/>
          <w:sz w:val="22"/>
        </w:rPr>
        <w:t>4.1 Study 1: Institution-tier gradient</w:t>
      </w:r>
    </w:p>
    <w:p>
      <w:pPr>
        <w:spacing w:after="80"/>
        <w:ind w:firstLine="432"/>
        <w:jc w:val="both"/>
      </w:pPr>
      <w:r>
        <w:rPr>
          <w:sz w:val="22"/>
        </w:rPr>
        <w:t>Table 1 shows mean scores by institution tier. Three of four models show a broadly decreasing pattern from T1 to T5. However, Llama 3.1 8B is not monotonic (T3=7.589 &gt; T2=7.444), and T2 and T3 are statistically indistinguishable across all models (cross-model difference: 0.011 points). The gradient is better described as T1 &gt;&gt; {T2 approximately equal T3} &gt; T5, with the main drop occurring between T1 and T2.</w:t>
      </w:r>
    </w:p>
    <w:p>
      <w:pPr>
        <w:spacing w:before="160" w:after="40"/>
        <w:jc w:val="center"/>
      </w:pPr>
      <w:r>
        <w:rPr>
          <w:b/>
          <w:sz w:val="20"/>
        </w:rPr>
        <w:t>Table 1. Study 1 — Mean Score by Institution Tier (cross-model mean)</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BFBFBF"/>
          </w:tcPr>
          <w:p>
            <w:pPr>
              <w:jc w:val="center"/>
            </w:pPr>
            <w:r>
              <w:rPr>
                <w:b/>
                <w:sz w:val="18"/>
              </w:rPr>
              <w:t>Model</w:t>
            </w:r>
          </w:p>
        </w:tc>
        <w:tc>
          <w:tcPr>
            <w:tcW w:type="dxa" w:w="1464"/>
            <w:shd w:val="clear" w:color="auto" w:fill="BFBFBF"/>
          </w:tcPr>
          <w:p>
            <w:pPr>
              <w:jc w:val="center"/>
            </w:pPr>
            <w:r>
              <w:rPr>
                <w:b/>
                <w:sz w:val="18"/>
              </w:rPr>
              <w:t>T1 MIT</w:t>
            </w:r>
          </w:p>
        </w:tc>
        <w:tc>
          <w:tcPr>
            <w:tcW w:type="dxa" w:w="1464"/>
            <w:shd w:val="clear" w:color="auto" w:fill="BFBFBF"/>
          </w:tcPr>
          <w:p>
            <w:pPr>
              <w:jc w:val="center"/>
            </w:pPr>
            <w:r>
              <w:rPr>
                <w:b/>
                <w:sz w:val="18"/>
              </w:rPr>
              <w:t>T2 UChile</w:t>
            </w:r>
          </w:p>
        </w:tc>
        <w:tc>
          <w:tcPr>
            <w:tcW w:type="dxa" w:w="1464"/>
            <w:shd w:val="clear" w:color="auto" w:fill="BFBFBF"/>
          </w:tcPr>
          <w:p>
            <w:pPr>
              <w:jc w:val="center"/>
            </w:pPr>
            <w:r>
              <w:rPr>
                <w:b/>
                <w:sz w:val="18"/>
              </w:rPr>
              <w:t>T3 UNAL</w:t>
            </w:r>
          </w:p>
        </w:tc>
        <w:tc>
          <w:tcPr>
            <w:tcW w:type="dxa" w:w="1464"/>
            <w:shd w:val="clear" w:color="auto" w:fill="BFBFBF"/>
          </w:tcPr>
          <w:p>
            <w:pPr>
              <w:jc w:val="center"/>
            </w:pPr>
            <w:r>
              <w:rPr>
                <w:b/>
                <w:sz w:val="18"/>
              </w:rPr>
              <w:t>T5 UGye</w:t>
            </w:r>
          </w:p>
        </w:tc>
        <w:tc>
          <w:tcPr>
            <w:tcW w:type="dxa" w:w="1464"/>
            <w:shd w:val="clear" w:color="auto" w:fill="BFBFBF"/>
          </w:tcPr>
          <w:p>
            <w:pPr>
              <w:jc w:val="center"/>
            </w:pPr>
            <w:r>
              <w:rPr>
                <w:b/>
                <w:sz w:val="18"/>
              </w:rPr>
              <w:t>Gradient T1-T5</w:t>
            </w:r>
          </w:p>
        </w:tc>
      </w:tr>
      <w:tr>
        <w:tc>
          <w:tcPr>
            <w:tcW w:type="dxa" w:w="1464"/>
          </w:tcPr>
          <w:p>
            <w:pPr>
              <w:jc w:val="left"/>
            </w:pPr>
            <w:r>
              <w:rPr>
                <w:sz w:val="18"/>
              </w:rPr>
              <w:t>Claude Haiku 4.5</w:t>
            </w:r>
          </w:p>
        </w:tc>
        <w:tc>
          <w:tcPr>
            <w:tcW w:type="dxa" w:w="1464"/>
          </w:tcPr>
          <w:p>
            <w:pPr>
              <w:jc w:val="center"/>
            </w:pPr>
            <w:r>
              <w:rPr>
                <w:sz w:val="18"/>
              </w:rPr>
              <w:t>7.433</w:t>
            </w:r>
          </w:p>
        </w:tc>
        <w:tc>
          <w:tcPr>
            <w:tcW w:type="dxa" w:w="1464"/>
          </w:tcPr>
          <w:p>
            <w:pPr>
              <w:jc w:val="center"/>
            </w:pPr>
            <w:r>
              <w:rPr>
                <w:sz w:val="18"/>
              </w:rPr>
              <w:t>7.233</w:t>
            </w:r>
          </w:p>
        </w:tc>
        <w:tc>
          <w:tcPr>
            <w:tcW w:type="dxa" w:w="1464"/>
          </w:tcPr>
          <w:p>
            <w:pPr>
              <w:jc w:val="center"/>
            </w:pPr>
            <w:r>
              <w:rPr>
                <w:sz w:val="18"/>
              </w:rPr>
              <w:t>7.222</w:t>
            </w:r>
          </w:p>
        </w:tc>
        <w:tc>
          <w:tcPr>
            <w:tcW w:type="dxa" w:w="1464"/>
          </w:tcPr>
          <w:p>
            <w:pPr>
              <w:jc w:val="center"/>
            </w:pPr>
            <w:r>
              <w:rPr>
                <w:sz w:val="18"/>
              </w:rPr>
              <w:t>7.133</w:t>
            </w:r>
          </w:p>
        </w:tc>
        <w:tc>
          <w:tcPr>
            <w:tcW w:type="dxa" w:w="1464"/>
          </w:tcPr>
          <w:p>
            <w:pPr>
              <w:jc w:val="center"/>
            </w:pPr>
            <w:r>
              <w:rPr>
                <w:sz w:val="18"/>
              </w:rPr>
              <w:t>+0.300</w:t>
            </w:r>
          </w:p>
        </w:tc>
      </w:tr>
      <w:tr>
        <w:tc>
          <w:tcPr>
            <w:tcW w:type="dxa" w:w="1464"/>
          </w:tcPr>
          <w:p>
            <w:pPr>
              <w:jc w:val="left"/>
            </w:pPr>
            <w:r>
              <w:rPr>
                <w:sz w:val="18"/>
              </w:rPr>
              <w:t>GPT-4o-mini</w:t>
            </w:r>
          </w:p>
        </w:tc>
        <w:tc>
          <w:tcPr>
            <w:tcW w:type="dxa" w:w="1464"/>
          </w:tcPr>
          <w:p>
            <w:pPr>
              <w:jc w:val="center"/>
            </w:pPr>
            <w:r>
              <w:rPr>
                <w:sz w:val="18"/>
              </w:rPr>
              <w:t>8.378</w:t>
            </w:r>
          </w:p>
        </w:tc>
        <w:tc>
          <w:tcPr>
            <w:tcW w:type="dxa" w:w="1464"/>
          </w:tcPr>
          <w:p>
            <w:pPr>
              <w:jc w:val="center"/>
            </w:pPr>
            <w:r>
              <w:rPr>
                <w:sz w:val="18"/>
              </w:rPr>
              <w:t>8.233</w:t>
            </w:r>
          </w:p>
        </w:tc>
        <w:tc>
          <w:tcPr>
            <w:tcW w:type="dxa" w:w="1464"/>
          </w:tcPr>
          <w:p>
            <w:pPr>
              <w:jc w:val="center"/>
            </w:pPr>
            <w:r>
              <w:rPr>
                <w:sz w:val="18"/>
              </w:rPr>
              <w:t>8.211</w:t>
            </w:r>
          </w:p>
        </w:tc>
        <w:tc>
          <w:tcPr>
            <w:tcW w:type="dxa" w:w="1464"/>
          </w:tcPr>
          <w:p>
            <w:pPr>
              <w:jc w:val="center"/>
            </w:pPr>
            <w:r>
              <w:rPr>
                <w:sz w:val="18"/>
              </w:rPr>
              <w:t>8.156</w:t>
            </w:r>
          </w:p>
        </w:tc>
        <w:tc>
          <w:tcPr>
            <w:tcW w:type="dxa" w:w="1464"/>
          </w:tcPr>
          <w:p>
            <w:pPr>
              <w:jc w:val="center"/>
            </w:pPr>
            <w:r>
              <w:rPr>
                <w:sz w:val="18"/>
              </w:rPr>
              <w:t>+0.222</w:t>
            </w:r>
          </w:p>
        </w:tc>
      </w:tr>
      <w:tr>
        <w:tc>
          <w:tcPr>
            <w:tcW w:type="dxa" w:w="1464"/>
          </w:tcPr>
          <w:p>
            <w:pPr>
              <w:jc w:val="left"/>
            </w:pPr>
            <w:r>
              <w:rPr>
                <w:sz w:val="18"/>
              </w:rPr>
              <w:t>Gemini 2.0 Flash</w:t>
            </w:r>
          </w:p>
        </w:tc>
        <w:tc>
          <w:tcPr>
            <w:tcW w:type="dxa" w:w="1464"/>
          </w:tcPr>
          <w:p>
            <w:pPr>
              <w:jc w:val="center"/>
            </w:pPr>
            <w:r>
              <w:rPr>
                <w:sz w:val="18"/>
              </w:rPr>
              <w:t>7.556</w:t>
            </w:r>
          </w:p>
        </w:tc>
        <w:tc>
          <w:tcPr>
            <w:tcW w:type="dxa" w:w="1464"/>
          </w:tcPr>
          <w:p>
            <w:pPr>
              <w:jc w:val="center"/>
            </w:pPr>
            <w:r>
              <w:rPr>
                <w:sz w:val="18"/>
              </w:rPr>
              <w:t>7.378</w:t>
            </w:r>
          </w:p>
        </w:tc>
        <w:tc>
          <w:tcPr>
            <w:tcW w:type="dxa" w:w="1464"/>
          </w:tcPr>
          <w:p>
            <w:pPr>
              <w:jc w:val="center"/>
            </w:pPr>
            <w:r>
              <w:rPr>
                <w:sz w:val="18"/>
              </w:rPr>
              <w:t>7.311</w:t>
            </w:r>
          </w:p>
        </w:tc>
        <w:tc>
          <w:tcPr>
            <w:tcW w:type="dxa" w:w="1464"/>
          </w:tcPr>
          <w:p>
            <w:pPr>
              <w:jc w:val="center"/>
            </w:pPr>
            <w:r>
              <w:rPr>
                <w:sz w:val="18"/>
              </w:rPr>
              <w:t>7.189</w:t>
            </w:r>
          </w:p>
        </w:tc>
        <w:tc>
          <w:tcPr>
            <w:tcW w:type="dxa" w:w="1464"/>
          </w:tcPr>
          <w:p>
            <w:pPr>
              <w:jc w:val="center"/>
            </w:pPr>
            <w:r>
              <w:rPr>
                <w:sz w:val="18"/>
              </w:rPr>
              <w:t>+0.367</w:t>
            </w:r>
          </w:p>
        </w:tc>
      </w:tr>
      <w:tr>
        <w:tc>
          <w:tcPr>
            <w:tcW w:type="dxa" w:w="1464"/>
          </w:tcPr>
          <w:p>
            <w:pPr>
              <w:jc w:val="left"/>
            </w:pPr>
            <w:r>
              <w:rPr>
                <w:sz w:val="18"/>
              </w:rPr>
              <w:t>Llama 3.1 8B</w:t>
            </w:r>
          </w:p>
        </w:tc>
        <w:tc>
          <w:tcPr>
            <w:tcW w:type="dxa" w:w="1464"/>
          </w:tcPr>
          <w:p>
            <w:pPr>
              <w:jc w:val="center"/>
            </w:pPr>
            <w:r>
              <w:rPr>
                <w:sz w:val="18"/>
              </w:rPr>
              <w:t>7.678</w:t>
            </w:r>
          </w:p>
        </w:tc>
        <w:tc>
          <w:tcPr>
            <w:tcW w:type="dxa" w:w="1464"/>
          </w:tcPr>
          <w:p>
            <w:pPr>
              <w:jc w:val="center"/>
            </w:pPr>
            <w:r>
              <w:rPr>
                <w:sz w:val="18"/>
              </w:rPr>
              <w:t>7.444</w:t>
            </w:r>
          </w:p>
        </w:tc>
        <w:tc>
          <w:tcPr>
            <w:tcW w:type="dxa" w:w="1464"/>
          </w:tcPr>
          <w:p>
            <w:pPr>
              <w:jc w:val="center"/>
            </w:pPr>
            <w:r>
              <w:rPr>
                <w:sz w:val="18"/>
              </w:rPr>
              <w:t>7.589</w:t>
            </w:r>
          </w:p>
        </w:tc>
        <w:tc>
          <w:tcPr>
            <w:tcW w:type="dxa" w:w="1464"/>
          </w:tcPr>
          <w:p>
            <w:pPr>
              <w:jc w:val="center"/>
            </w:pPr>
            <w:r>
              <w:rPr>
                <w:sz w:val="18"/>
              </w:rPr>
              <w:t>7.378</w:t>
            </w:r>
          </w:p>
        </w:tc>
        <w:tc>
          <w:tcPr>
            <w:tcW w:type="dxa" w:w="1464"/>
          </w:tcPr>
          <w:p>
            <w:pPr>
              <w:jc w:val="center"/>
            </w:pPr>
            <w:r>
              <w:rPr>
                <w:sz w:val="18"/>
              </w:rPr>
              <w:t>+0.300 *</w:t>
            </w:r>
          </w:p>
        </w:tc>
      </w:tr>
      <w:tr>
        <w:tc>
          <w:tcPr>
            <w:tcW w:type="dxa" w:w="1464"/>
            <w:shd w:val="clear" w:color="auto" w:fill="E8E8E8"/>
          </w:tcPr>
          <w:p>
            <w:pPr>
              <w:jc w:val="left"/>
            </w:pPr>
            <w:r>
              <w:rPr>
                <w:b/>
                <w:sz w:val="18"/>
              </w:rPr>
              <w:t>Cross-model mean</w:t>
            </w:r>
          </w:p>
        </w:tc>
        <w:tc>
          <w:tcPr>
            <w:tcW w:type="dxa" w:w="1464"/>
            <w:shd w:val="clear" w:color="auto" w:fill="E8E8E8"/>
          </w:tcPr>
          <w:p>
            <w:pPr>
              <w:jc w:val="center"/>
            </w:pPr>
            <w:r>
              <w:rPr>
                <w:b/>
                <w:sz w:val="18"/>
              </w:rPr>
              <w:t>7.761</w:t>
            </w:r>
          </w:p>
        </w:tc>
        <w:tc>
          <w:tcPr>
            <w:tcW w:type="dxa" w:w="1464"/>
            <w:shd w:val="clear" w:color="auto" w:fill="E8E8E8"/>
          </w:tcPr>
          <w:p>
            <w:pPr>
              <w:jc w:val="center"/>
            </w:pPr>
            <w:r>
              <w:rPr>
                <w:b/>
                <w:sz w:val="18"/>
              </w:rPr>
              <w:t>7.572</w:t>
            </w:r>
          </w:p>
        </w:tc>
        <w:tc>
          <w:tcPr>
            <w:tcW w:type="dxa" w:w="1464"/>
            <w:shd w:val="clear" w:color="auto" w:fill="E8E8E8"/>
          </w:tcPr>
          <w:p>
            <w:pPr>
              <w:jc w:val="center"/>
            </w:pPr>
            <w:r>
              <w:rPr>
                <w:b/>
                <w:sz w:val="18"/>
              </w:rPr>
              <w:t>7.583</w:t>
            </w:r>
          </w:p>
        </w:tc>
        <w:tc>
          <w:tcPr>
            <w:tcW w:type="dxa" w:w="1464"/>
            <w:shd w:val="clear" w:color="auto" w:fill="E8E8E8"/>
          </w:tcPr>
          <w:p>
            <w:pPr>
              <w:jc w:val="center"/>
            </w:pPr>
            <w:r>
              <w:rPr>
                <w:b/>
                <w:sz w:val="18"/>
              </w:rPr>
              <w:t>7.464</w:t>
            </w:r>
          </w:p>
        </w:tc>
        <w:tc>
          <w:tcPr>
            <w:tcW w:type="dxa" w:w="1464"/>
            <w:shd w:val="clear" w:color="auto" w:fill="E8E8E8"/>
          </w:tcPr>
          <w:p>
            <w:pPr>
              <w:jc w:val="center"/>
            </w:pPr>
            <w:r>
              <w:rPr>
                <w:b/>
                <w:sz w:val="18"/>
              </w:rPr>
              <w:t>+0.297</w:t>
            </w:r>
          </w:p>
        </w:tc>
      </w:tr>
    </w:tbl>
    <w:p/>
    <w:p>
      <w:pPr>
        <w:spacing w:after="80"/>
        <w:jc w:val="both"/>
      </w:pPr>
      <w:r>
        <w:rPr>
          <w:sz w:val="22"/>
        </w:rPr>
        <w:t>* Llama 3.1 8B is not monotonic: T3 &gt; T2 by 0.144 points.</w:t>
      </w:r>
    </w:p>
    <w:p>
      <w:pPr>
        <w:spacing w:before="120" w:after="40"/>
      </w:pPr>
      <w:r>
        <w:rPr>
          <w:b/>
          <w:sz w:val="22"/>
        </w:rPr>
        <w:t>4.2 Study 1: Name-origin effect</w:t>
      </w:r>
    </w:p>
    <w:p>
      <w:pPr>
        <w:spacing w:after="80"/>
        <w:ind w:firstLine="432"/>
        <w:jc w:val="both"/>
      </w:pPr>
      <w:r>
        <w:rPr>
          <w:sz w:val="22"/>
        </w:rPr>
        <w:t>Table 2 shows mean scores by name origin. Anglo names receive the lowest cross-model mean (7.540), while Arabic (7.633) and Latino (7.612) names receive marginally higher scores. The maximum gap is 0.094 points — approximately one third of the institutional gradient and likely below the threshold of practical significance. This pattern is consistent across all four models.</w:t>
      </w:r>
    </w:p>
    <w:p>
      <w:pPr>
        <w:spacing w:before="160" w:after="40"/>
        <w:jc w:val="center"/>
      </w:pPr>
      <w:r>
        <w:rPr>
          <w:b/>
          <w:sz w:val="20"/>
        </w:rPr>
        <w:t>Table 2. Study 1 — Mean Score by Name Origin (cross-model mean)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BFBFBF"/>
          </w:tcPr>
          <w:p>
            <w:pPr>
              <w:jc w:val="center"/>
            </w:pPr>
            <w:r>
              <w:rPr>
                <w:b/>
                <w:sz w:val="18"/>
              </w:rPr>
              <w:t>Model</w:t>
            </w:r>
          </w:p>
        </w:tc>
        <w:tc>
          <w:tcPr>
            <w:tcW w:type="dxa" w:w="1757"/>
            <w:shd w:val="clear" w:color="auto" w:fill="BFBFBF"/>
          </w:tcPr>
          <w:p>
            <w:pPr>
              <w:jc w:val="center"/>
            </w:pPr>
            <w:r>
              <w:rPr>
                <w:b/>
                <w:sz w:val="18"/>
              </w:rPr>
              <w:t>Anglo</w:t>
            </w:r>
          </w:p>
        </w:tc>
        <w:tc>
          <w:tcPr>
            <w:tcW w:type="dxa" w:w="1757"/>
            <w:shd w:val="clear" w:color="auto" w:fill="BFBFBF"/>
          </w:tcPr>
          <w:p>
            <w:pPr>
              <w:jc w:val="center"/>
            </w:pPr>
            <w:r>
              <w:rPr>
                <w:b/>
                <w:sz w:val="18"/>
              </w:rPr>
              <w:t>Latino</w:t>
            </w:r>
          </w:p>
        </w:tc>
        <w:tc>
          <w:tcPr>
            <w:tcW w:type="dxa" w:w="1757"/>
            <w:shd w:val="clear" w:color="auto" w:fill="BFBFBF"/>
          </w:tcPr>
          <w:p>
            <w:pPr>
              <w:jc w:val="center"/>
            </w:pPr>
            <w:r>
              <w:rPr>
                <w:b/>
                <w:sz w:val="18"/>
              </w:rPr>
              <w:t>Arabic</w:t>
            </w:r>
          </w:p>
        </w:tc>
        <w:tc>
          <w:tcPr>
            <w:tcW w:type="dxa" w:w="1757"/>
            <w:shd w:val="clear" w:color="auto" w:fill="BFBFBF"/>
          </w:tcPr>
          <w:p>
            <w:pPr>
              <w:jc w:val="center"/>
            </w:pPr>
            <w:r>
              <w:rPr>
                <w:b/>
                <w:sz w:val="18"/>
              </w:rPr>
              <w:t>Max gap</w:t>
            </w:r>
          </w:p>
        </w:tc>
      </w:tr>
      <w:tr>
        <w:tc>
          <w:tcPr>
            <w:tcW w:type="dxa" w:w="1757"/>
          </w:tcPr>
          <w:p>
            <w:pPr>
              <w:jc w:val="left"/>
            </w:pPr>
            <w:r>
              <w:rPr>
                <w:sz w:val="18"/>
              </w:rPr>
              <w:t>Claude Haiku 4.5</w:t>
            </w:r>
          </w:p>
        </w:tc>
        <w:tc>
          <w:tcPr>
            <w:tcW w:type="dxa" w:w="1757"/>
          </w:tcPr>
          <w:p>
            <w:pPr>
              <w:jc w:val="center"/>
            </w:pPr>
            <w:r>
              <w:rPr>
                <w:sz w:val="18"/>
              </w:rPr>
              <w:t>7.208</w:t>
            </w:r>
          </w:p>
        </w:tc>
        <w:tc>
          <w:tcPr>
            <w:tcW w:type="dxa" w:w="1757"/>
          </w:tcPr>
          <w:p>
            <w:pPr>
              <w:jc w:val="center"/>
            </w:pPr>
            <w:r>
              <w:rPr>
                <w:sz w:val="18"/>
              </w:rPr>
              <w:t>7.233</w:t>
            </w:r>
          </w:p>
        </w:tc>
        <w:tc>
          <w:tcPr>
            <w:tcW w:type="dxa" w:w="1757"/>
          </w:tcPr>
          <w:p>
            <w:pPr>
              <w:jc w:val="center"/>
            </w:pPr>
            <w:r>
              <w:rPr>
                <w:sz w:val="18"/>
              </w:rPr>
              <w:t>7.325</w:t>
            </w:r>
          </w:p>
        </w:tc>
        <w:tc>
          <w:tcPr>
            <w:tcW w:type="dxa" w:w="1757"/>
          </w:tcPr>
          <w:p>
            <w:pPr>
              <w:jc w:val="center"/>
            </w:pPr>
            <w:r>
              <w:rPr>
                <w:sz w:val="18"/>
              </w:rPr>
              <w:t>0.117</w:t>
            </w:r>
          </w:p>
        </w:tc>
      </w:tr>
      <w:tr>
        <w:tc>
          <w:tcPr>
            <w:tcW w:type="dxa" w:w="1757"/>
          </w:tcPr>
          <w:p>
            <w:pPr>
              <w:jc w:val="left"/>
            </w:pPr>
            <w:r>
              <w:rPr>
                <w:sz w:val="18"/>
              </w:rPr>
              <w:t>GPT-4o-mini</w:t>
            </w:r>
          </w:p>
        </w:tc>
        <w:tc>
          <w:tcPr>
            <w:tcW w:type="dxa" w:w="1757"/>
          </w:tcPr>
          <w:p>
            <w:pPr>
              <w:jc w:val="center"/>
            </w:pPr>
            <w:r>
              <w:rPr>
                <w:sz w:val="18"/>
              </w:rPr>
              <w:t>8.217</w:t>
            </w:r>
          </w:p>
        </w:tc>
        <w:tc>
          <w:tcPr>
            <w:tcW w:type="dxa" w:w="1757"/>
          </w:tcPr>
          <w:p>
            <w:pPr>
              <w:jc w:val="center"/>
            </w:pPr>
            <w:r>
              <w:rPr>
                <w:sz w:val="18"/>
              </w:rPr>
              <w:t>8.250</w:t>
            </w:r>
          </w:p>
        </w:tc>
        <w:tc>
          <w:tcPr>
            <w:tcW w:type="dxa" w:w="1757"/>
          </w:tcPr>
          <w:p>
            <w:pPr>
              <w:jc w:val="center"/>
            </w:pPr>
            <w:r>
              <w:rPr>
                <w:sz w:val="18"/>
              </w:rPr>
              <w:t>8.267</w:t>
            </w:r>
          </w:p>
        </w:tc>
        <w:tc>
          <w:tcPr>
            <w:tcW w:type="dxa" w:w="1757"/>
          </w:tcPr>
          <w:p>
            <w:pPr>
              <w:jc w:val="center"/>
            </w:pPr>
            <w:r>
              <w:rPr>
                <w:sz w:val="18"/>
              </w:rPr>
              <w:t>0.050</w:t>
            </w:r>
          </w:p>
        </w:tc>
      </w:tr>
      <w:tr>
        <w:tc>
          <w:tcPr>
            <w:tcW w:type="dxa" w:w="1757"/>
          </w:tcPr>
          <w:p>
            <w:pPr>
              <w:jc w:val="left"/>
            </w:pPr>
            <w:r>
              <w:rPr>
                <w:sz w:val="18"/>
              </w:rPr>
              <w:t>Gemini 2.0 Flash</w:t>
            </w:r>
          </w:p>
        </w:tc>
        <w:tc>
          <w:tcPr>
            <w:tcW w:type="dxa" w:w="1757"/>
          </w:tcPr>
          <w:p>
            <w:pPr>
              <w:jc w:val="center"/>
            </w:pPr>
            <w:r>
              <w:rPr>
                <w:sz w:val="18"/>
              </w:rPr>
              <w:t>7.267</w:t>
            </w:r>
          </w:p>
        </w:tc>
        <w:tc>
          <w:tcPr>
            <w:tcW w:type="dxa" w:w="1757"/>
          </w:tcPr>
          <w:p>
            <w:pPr>
              <w:jc w:val="center"/>
            </w:pPr>
            <w:r>
              <w:rPr>
                <w:sz w:val="18"/>
              </w:rPr>
              <w:t>7.417</w:t>
            </w:r>
          </w:p>
        </w:tc>
        <w:tc>
          <w:tcPr>
            <w:tcW w:type="dxa" w:w="1757"/>
          </w:tcPr>
          <w:p>
            <w:pPr>
              <w:jc w:val="center"/>
            </w:pPr>
            <w:r>
              <w:rPr>
                <w:sz w:val="18"/>
              </w:rPr>
              <w:t>7.392</w:t>
            </w:r>
          </w:p>
        </w:tc>
        <w:tc>
          <w:tcPr>
            <w:tcW w:type="dxa" w:w="1757"/>
          </w:tcPr>
          <w:p>
            <w:pPr>
              <w:jc w:val="center"/>
            </w:pPr>
            <w:r>
              <w:rPr>
                <w:sz w:val="18"/>
              </w:rPr>
              <w:t>0.150</w:t>
            </w:r>
          </w:p>
        </w:tc>
      </w:tr>
      <w:tr>
        <w:tc>
          <w:tcPr>
            <w:tcW w:type="dxa" w:w="1757"/>
          </w:tcPr>
          <w:p>
            <w:pPr>
              <w:jc w:val="left"/>
            </w:pPr>
            <w:r>
              <w:rPr>
                <w:sz w:val="18"/>
              </w:rPr>
              <w:t>Llama 3.1 8B</w:t>
            </w:r>
          </w:p>
        </w:tc>
        <w:tc>
          <w:tcPr>
            <w:tcW w:type="dxa" w:w="1757"/>
          </w:tcPr>
          <w:p>
            <w:pPr>
              <w:jc w:val="center"/>
            </w:pPr>
            <w:r>
              <w:rPr>
                <w:sz w:val="18"/>
              </w:rPr>
              <w:t>7.467</w:t>
            </w:r>
          </w:p>
        </w:tc>
        <w:tc>
          <w:tcPr>
            <w:tcW w:type="dxa" w:w="1757"/>
          </w:tcPr>
          <w:p>
            <w:pPr>
              <w:jc w:val="center"/>
            </w:pPr>
            <w:r>
              <w:rPr>
                <w:sz w:val="18"/>
              </w:rPr>
              <w:t>7.550</w:t>
            </w:r>
          </w:p>
        </w:tc>
        <w:tc>
          <w:tcPr>
            <w:tcW w:type="dxa" w:w="1757"/>
          </w:tcPr>
          <w:p>
            <w:pPr>
              <w:jc w:val="center"/>
            </w:pPr>
            <w:r>
              <w:rPr>
                <w:sz w:val="18"/>
              </w:rPr>
              <w:t>7.550</w:t>
            </w:r>
          </w:p>
        </w:tc>
        <w:tc>
          <w:tcPr>
            <w:tcW w:type="dxa" w:w="1757"/>
          </w:tcPr>
          <w:p>
            <w:pPr>
              <w:jc w:val="center"/>
            </w:pPr>
            <w:r>
              <w:rPr>
                <w:sz w:val="18"/>
              </w:rPr>
              <w:t>0.083</w:t>
            </w:r>
          </w:p>
        </w:tc>
      </w:tr>
      <w:tr>
        <w:tc>
          <w:tcPr>
            <w:tcW w:type="dxa" w:w="1757"/>
            <w:shd w:val="clear" w:color="auto" w:fill="E8E8E8"/>
          </w:tcPr>
          <w:p>
            <w:pPr>
              <w:jc w:val="left"/>
            </w:pPr>
            <w:r>
              <w:rPr>
                <w:b/>
                <w:sz w:val="18"/>
              </w:rPr>
              <w:t>Cross-model mean</w:t>
            </w:r>
          </w:p>
        </w:tc>
        <w:tc>
          <w:tcPr>
            <w:tcW w:type="dxa" w:w="1757"/>
            <w:shd w:val="clear" w:color="auto" w:fill="E8E8E8"/>
          </w:tcPr>
          <w:p>
            <w:pPr>
              <w:jc w:val="center"/>
            </w:pPr>
            <w:r>
              <w:rPr>
                <w:b/>
                <w:sz w:val="18"/>
              </w:rPr>
              <w:t>7.540</w:t>
            </w:r>
          </w:p>
        </w:tc>
        <w:tc>
          <w:tcPr>
            <w:tcW w:type="dxa" w:w="1757"/>
            <w:shd w:val="clear" w:color="auto" w:fill="E8E8E8"/>
          </w:tcPr>
          <w:p>
            <w:pPr>
              <w:jc w:val="center"/>
            </w:pPr>
            <w:r>
              <w:rPr>
                <w:b/>
                <w:sz w:val="18"/>
              </w:rPr>
              <w:t>7.612</w:t>
            </w:r>
          </w:p>
        </w:tc>
        <w:tc>
          <w:tcPr>
            <w:tcW w:type="dxa" w:w="1757"/>
            <w:shd w:val="clear" w:color="auto" w:fill="E8E8E8"/>
          </w:tcPr>
          <w:p>
            <w:pPr>
              <w:jc w:val="center"/>
            </w:pPr>
            <w:r>
              <w:rPr>
                <w:b/>
                <w:sz w:val="18"/>
              </w:rPr>
              <w:t>7.633</w:t>
            </w:r>
          </w:p>
        </w:tc>
        <w:tc>
          <w:tcPr>
            <w:tcW w:type="dxa" w:w="1757"/>
            <w:shd w:val="clear" w:color="auto" w:fill="E8E8E8"/>
          </w:tcPr>
          <w:p>
            <w:pPr>
              <w:jc w:val="center"/>
            </w:pPr>
            <w:r>
              <w:rPr>
                <w:b/>
                <w:sz w:val="18"/>
              </w:rPr>
              <w:t>0.094</w:t>
            </w:r>
          </w:p>
        </w:tc>
      </w:tr>
    </w:tbl>
    <w:p/>
    <w:p>
      <w:pPr>
        <w:spacing w:before="120" w:after="40"/>
      </w:pPr>
      <w:r>
        <w:rPr>
          <w:b/>
          <w:sz w:val="22"/>
        </w:rPr>
        <w:t>4.3 Study 2: Prestige vs. Country-of-Origin</w:t>
      </w:r>
    </w:p>
    <w:p>
      <w:pPr>
        <w:spacing w:after="80"/>
        <w:ind w:firstLine="432"/>
        <w:jc w:val="both"/>
      </w:pPr>
      <w:r>
        <w:rPr>
          <w:sz w:val="22"/>
        </w:rPr>
        <w:t>Table 3 presents the 2x2 cell means and factorial effects. The cross-model prestige effect (+0.185) exceeds the country effect (+0.126) by a factor of 1.5x. Haiku and GPT-4o-mini are prestige-dominant; Gemini and Llama show comparable prestige and country effects. Both effects are present but neither is negligible.</w:t>
      </w:r>
    </w:p>
    <w:p>
      <w:pPr>
        <w:spacing w:before="160" w:after="40"/>
        <w:jc w:val="center"/>
      </w:pPr>
      <w:r>
        <w:rPr>
          <w:b/>
          <w:sz w:val="20"/>
        </w:rPr>
        <w:t>Table 3. Study 2 — 2x2 Cell Means and Factorial Effects (cross-model mean)</w:t>
      </w:r>
    </w:p>
    <w:tbl>
      <w:tblPr>
        <w:tblStyle w:val="TableGrid"/>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shd w:val="clear" w:color="auto" w:fill="BFBFBF"/>
          </w:tcPr>
          <w:p>
            <w:pPr>
              <w:jc w:val="center"/>
            </w:pPr>
            <w:r>
              <w:rPr>
                <w:b/>
                <w:sz w:val="18"/>
              </w:rPr>
              <w:t>Model</w:t>
            </w:r>
          </w:p>
        </w:tc>
        <w:tc>
          <w:tcPr>
            <w:tcW w:type="dxa" w:w="1098"/>
            <w:shd w:val="clear" w:color="auto" w:fill="BFBFBF"/>
          </w:tcPr>
          <w:p>
            <w:pPr>
              <w:jc w:val="center"/>
            </w:pPr>
            <w:r>
              <w:rPr>
                <w:b/>
                <w:sz w:val="18"/>
              </w:rPr>
              <w:t>MIT</w:t>
              <w:br/>
              <w:t>(Hi+Dev)</w:t>
            </w:r>
          </w:p>
        </w:tc>
        <w:tc>
          <w:tcPr>
            <w:tcW w:type="dxa" w:w="1098"/>
            <w:shd w:val="clear" w:color="auto" w:fill="BFBFBF"/>
          </w:tcPr>
          <w:p>
            <w:pPr>
              <w:jc w:val="center"/>
            </w:pPr>
            <w:r>
              <w:rPr>
                <w:b/>
                <w:sz w:val="18"/>
              </w:rPr>
              <w:t>UNAM</w:t>
              <w:br/>
              <w:t>(Hi+Dvlp)</w:t>
            </w:r>
          </w:p>
        </w:tc>
        <w:tc>
          <w:tcPr>
            <w:tcW w:type="dxa" w:w="1098"/>
            <w:shd w:val="clear" w:color="auto" w:fill="BFBFBF"/>
          </w:tcPr>
          <w:p>
            <w:pPr>
              <w:jc w:val="center"/>
            </w:pPr>
            <w:r>
              <w:rPr>
                <w:b/>
                <w:sz w:val="18"/>
              </w:rPr>
              <w:t>FSU</w:t>
              <w:br/>
              <w:t>(Lo+Dev)</w:t>
            </w:r>
          </w:p>
        </w:tc>
        <w:tc>
          <w:tcPr>
            <w:tcW w:type="dxa" w:w="1098"/>
            <w:shd w:val="clear" w:color="auto" w:fill="BFBFBF"/>
          </w:tcPr>
          <w:p>
            <w:pPr>
              <w:jc w:val="center"/>
            </w:pPr>
            <w:r>
              <w:rPr>
                <w:b/>
                <w:sz w:val="18"/>
              </w:rPr>
              <w:t>UGye</w:t>
              <w:br/>
              <w:t>(Lo+Dvlp)</w:t>
            </w:r>
          </w:p>
        </w:tc>
        <w:tc>
          <w:tcPr>
            <w:tcW w:type="dxa" w:w="1098"/>
            <w:shd w:val="clear" w:color="auto" w:fill="BFBFBF"/>
          </w:tcPr>
          <w:p>
            <w:pPr>
              <w:jc w:val="center"/>
            </w:pPr>
            <w:r>
              <w:rPr>
                <w:b/>
                <w:sz w:val="18"/>
              </w:rPr>
              <w:t>Prestige</w:t>
            </w:r>
          </w:p>
        </w:tc>
        <w:tc>
          <w:tcPr>
            <w:tcW w:type="dxa" w:w="1098"/>
            <w:shd w:val="clear" w:color="auto" w:fill="BFBFBF"/>
          </w:tcPr>
          <w:p>
            <w:pPr>
              <w:jc w:val="center"/>
            </w:pPr>
            <w:r>
              <w:rPr>
                <w:b/>
                <w:sz w:val="18"/>
              </w:rPr>
              <w:t>Country</w:t>
            </w:r>
          </w:p>
        </w:tc>
        <w:tc>
          <w:tcPr>
            <w:tcW w:type="dxa" w:w="1098"/>
            <w:shd w:val="clear" w:color="auto" w:fill="BFBFBF"/>
          </w:tcPr>
          <w:p>
            <w:pPr>
              <w:jc w:val="center"/>
            </w:pPr>
            <w:r>
              <w:rPr>
                <w:b/>
                <w:sz w:val="18"/>
              </w:rPr>
              <w:t>Dominant</w:t>
            </w:r>
          </w:p>
        </w:tc>
      </w:tr>
      <w:tr>
        <w:tc>
          <w:tcPr>
            <w:tcW w:type="dxa" w:w="1098"/>
          </w:tcPr>
          <w:p>
            <w:pPr>
              <w:jc w:val="left"/>
            </w:pPr>
            <w:r>
              <w:rPr>
                <w:sz w:val="18"/>
              </w:rPr>
              <w:t>Claude Haiku 4.5</w:t>
            </w:r>
          </w:p>
        </w:tc>
        <w:tc>
          <w:tcPr>
            <w:tcW w:type="dxa" w:w="1098"/>
          </w:tcPr>
          <w:p>
            <w:pPr>
              <w:jc w:val="center"/>
            </w:pPr>
            <w:r>
              <w:rPr>
                <w:sz w:val="18"/>
              </w:rPr>
              <w:t>7.411</w:t>
            </w:r>
          </w:p>
        </w:tc>
        <w:tc>
          <w:tcPr>
            <w:tcW w:type="dxa" w:w="1098"/>
          </w:tcPr>
          <w:p>
            <w:pPr>
              <w:jc w:val="center"/>
            </w:pPr>
            <w:r>
              <w:rPr>
                <w:sz w:val="18"/>
              </w:rPr>
              <w:t>7.233</w:t>
            </w:r>
          </w:p>
        </w:tc>
        <w:tc>
          <w:tcPr>
            <w:tcW w:type="dxa" w:w="1098"/>
          </w:tcPr>
          <w:p>
            <w:pPr>
              <w:jc w:val="center"/>
            </w:pPr>
            <w:r>
              <w:rPr>
                <w:sz w:val="18"/>
              </w:rPr>
              <w:t>7.011</w:t>
            </w:r>
          </w:p>
        </w:tc>
        <w:tc>
          <w:tcPr>
            <w:tcW w:type="dxa" w:w="1098"/>
          </w:tcPr>
          <w:p>
            <w:pPr>
              <w:jc w:val="center"/>
            </w:pPr>
            <w:r>
              <w:rPr>
                <w:sz w:val="18"/>
              </w:rPr>
              <w:t>7.144</w:t>
            </w:r>
          </w:p>
        </w:tc>
        <w:tc>
          <w:tcPr>
            <w:tcW w:type="dxa" w:w="1098"/>
          </w:tcPr>
          <w:p>
            <w:pPr>
              <w:jc w:val="center"/>
            </w:pPr>
            <w:r>
              <w:rPr>
                <w:sz w:val="18"/>
              </w:rPr>
              <w:t>+0.244</w:t>
            </w:r>
          </w:p>
        </w:tc>
        <w:tc>
          <w:tcPr>
            <w:tcW w:type="dxa" w:w="1098"/>
          </w:tcPr>
          <w:p>
            <w:pPr>
              <w:jc w:val="center"/>
            </w:pPr>
            <w:r>
              <w:rPr>
                <w:sz w:val="18"/>
              </w:rPr>
              <w:t>+0.022</w:t>
            </w:r>
          </w:p>
        </w:tc>
        <w:tc>
          <w:tcPr>
            <w:tcW w:type="dxa" w:w="1098"/>
          </w:tcPr>
          <w:p>
            <w:pPr>
              <w:jc w:val="center"/>
            </w:pPr>
            <w:r>
              <w:rPr>
                <w:sz w:val="18"/>
              </w:rPr>
              <w:t>Prestige</w:t>
            </w:r>
          </w:p>
        </w:tc>
      </w:tr>
      <w:tr>
        <w:tc>
          <w:tcPr>
            <w:tcW w:type="dxa" w:w="1098"/>
          </w:tcPr>
          <w:p>
            <w:pPr>
              <w:jc w:val="left"/>
            </w:pPr>
            <w:r>
              <w:rPr>
                <w:sz w:val="18"/>
              </w:rPr>
              <w:t>GPT-4o-mini</w:t>
            </w:r>
          </w:p>
        </w:tc>
        <w:tc>
          <w:tcPr>
            <w:tcW w:type="dxa" w:w="1098"/>
          </w:tcPr>
          <w:p>
            <w:pPr>
              <w:jc w:val="center"/>
            </w:pPr>
            <w:r>
              <w:rPr>
                <w:sz w:val="18"/>
              </w:rPr>
              <w:t>8.389</w:t>
            </w:r>
          </w:p>
        </w:tc>
        <w:tc>
          <w:tcPr>
            <w:tcW w:type="dxa" w:w="1098"/>
          </w:tcPr>
          <w:p>
            <w:pPr>
              <w:jc w:val="center"/>
            </w:pPr>
            <w:r>
              <w:rPr>
                <w:sz w:val="18"/>
              </w:rPr>
              <w:t>8.222</w:t>
            </w:r>
          </w:p>
        </w:tc>
        <w:tc>
          <w:tcPr>
            <w:tcW w:type="dxa" w:w="1098"/>
          </w:tcPr>
          <w:p>
            <w:pPr>
              <w:jc w:val="center"/>
            </w:pPr>
            <w:r>
              <w:rPr>
                <w:sz w:val="18"/>
              </w:rPr>
              <w:t>8.178</w:t>
            </w:r>
          </w:p>
        </w:tc>
        <w:tc>
          <w:tcPr>
            <w:tcW w:type="dxa" w:w="1098"/>
          </w:tcPr>
          <w:p>
            <w:pPr>
              <w:jc w:val="center"/>
            </w:pPr>
            <w:r>
              <w:rPr>
                <w:sz w:val="18"/>
              </w:rPr>
              <w:t>8.156</w:t>
            </w:r>
          </w:p>
        </w:tc>
        <w:tc>
          <w:tcPr>
            <w:tcW w:type="dxa" w:w="1098"/>
          </w:tcPr>
          <w:p>
            <w:pPr>
              <w:jc w:val="center"/>
            </w:pPr>
            <w:r>
              <w:rPr>
                <w:sz w:val="18"/>
              </w:rPr>
              <w:t>+0.139</w:t>
            </w:r>
          </w:p>
        </w:tc>
        <w:tc>
          <w:tcPr>
            <w:tcW w:type="dxa" w:w="1098"/>
          </w:tcPr>
          <w:p>
            <w:pPr>
              <w:jc w:val="center"/>
            </w:pPr>
            <w:r>
              <w:rPr>
                <w:sz w:val="18"/>
              </w:rPr>
              <w:t>+0.094</w:t>
            </w:r>
          </w:p>
        </w:tc>
        <w:tc>
          <w:tcPr>
            <w:tcW w:type="dxa" w:w="1098"/>
          </w:tcPr>
          <w:p>
            <w:pPr>
              <w:jc w:val="center"/>
            </w:pPr>
            <w:r>
              <w:rPr>
                <w:sz w:val="18"/>
              </w:rPr>
              <w:t>Prestige</w:t>
            </w:r>
          </w:p>
        </w:tc>
      </w:tr>
      <w:tr>
        <w:tc>
          <w:tcPr>
            <w:tcW w:type="dxa" w:w="1098"/>
          </w:tcPr>
          <w:p>
            <w:pPr>
              <w:jc w:val="left"/>
            </w:pPr>
            <w:r>
              <w:rPr>
                <w:sz w:val="18"/>
              </w:rPr>
              <w:t>Gemini 2.0 Flash</w:t>
            </w:r>
          </w:p>
        </w:tc>
        <w:tc>
          <w:tcPr>
            <w:tcW w:type="dxa" w:w="1098"/>
          </w:tcPr>
          <w:p>
            <w:pPr>
              <w:jc w:val="center"/>
            </w:pPr>
            <w:r>
              <w:rPr>
                <w:sz w:val="18"/>
              </w:rPr>
              <w:t>7.578</w:t>
            </w:r>
          </w:p>
        </w:tc>
        <w:tc>
          <w:tcPr>
            <w:tcW w:type="dxa" w:w="1098"/>
          </w:tcPr>
          <w:p>
            <w:pPr>
              <w:jc w:val="center"/>
            </w:pPr>
            <w:r>
              <w:rPr>
                <w:sz w:val="18"/>
              </w:rPr>
              <w:t>7.300</w:t>
            </w:r>
          </w:p>
        </w:tc>
        <w:tc>
          <w:tcPr>
            <w:tcW w:type="dxa" w:w="1098"/>
          </w:tcPr>
          <w:p>
            <w:pPr>
              <w:jc w:val="center"/>
            </w:pPr>
            <w:r>
              <w:rPr>
                <w:sz w:val="18"/>
              </w:rPr>
              <w:t>7.300</w:t>
            </w:r>
          </w:p>
        </w:tc>
        <w:tc>
          <w:tcPr>
            <w:tcW w:type="dxa" w:w="1098"/>
          </w:tcPr>
          <w:p>
            <w:pPr>
              <w:jc w:val="center"/>
            </w:pPr>
            <w:r>
              <w:rPr>
                <w:sz w:val="18"/>
              </w:rPr>
              <w:t>7.167</w:t>
            </w:r>
          </w:p>
        </w:tc>
        <w:tc>
          <w:tcPr>
            <w:tcW w:type="dxa" w:w="1098"/>
          </w:tcPr>
          <w:p>
            <w:pPr>
              <w:jc w:val="center"/>
            </w:pPr>
            <w:r>
              <w:rPr>
                <w:sz w:val="18"/>
              </w:rPr>
              <w:t>+0.206</w:t>
            </w:r>
          </w:p>
        </w:tc>
        <w:tc>
          <w:tcPr>
            <w:tcW w:type="dxa" w:w="1098"/>
          </w:tcPr>
          <w:p>
            <w:pPr>
              <w:jc w:val="center"/>
            </w:pPr>
            <w:r>
              <w:rPr>
                <w:sz w:val="18"/>
              </w:rPr>
              <w:t>+0.206</w:t>
            </w:r>
          </w:p>
        </w:tc>
        <w:tc>
          <w:tcPr>
            <w:tcW w:type="dxa" w:w="1098"/>
          </w:tcPr>
          <w:p>
            <w:pPr>
              <w:jc w:val="center"/>
            </w:pPr>
            <w:r>
              <w:rPr>
                <w:sz w:val="18"/>
              </w:rPr>
              <w:t>Tied</w:t>
            </w:r>
          </w:p>
        </w:tc>
      </w:tr>
      <w:tr>
        <w:tc>
          <w:tcPr>
            <w:tcW w:type="dxa" w:w="1098"/>
          </w:tcPr>
          <w:p>
            <w:pPr>
              <w:jc w:val="left"/>
            </w:pPr>
            <w:r>
              <w:rPr>
                <w:sz w:val="18"/>
              </w:rPr>
              <w:t>Llama 3.1 8B</w:t>
            </w:r>
          </w:p>
        </w:tc>
        <w:tc>
          <w:tcPr>
            <w:tcW w:type="dxa" w:w="1098"/>
          </w:tcPr>
          <w:p>
            <w:pPr>
              <w:jc w:val="center"/>
            </w:pPr>
            <w:r>
              <w:rPr>
                <w:sz w:val="18"/>
              </w:rPr>
              <w:t>7.656</w:t>
            </w:r>
          </w:p>
        </w:tc>
        <w:tc>
          <w:tcPr>
            <w:tcW w:type="dxa" w:w="1098"/>
          </w:tcPr>
          <w:p>
            <w:pPr>
              <w:jc w:val="center"/>
            </w:pPr>
            <w:r>
              <w:rPr>
                <w:sz w:val="18"/>
              </w:rPr>
              <w:t>7.344</w:t>
            </w:r>
          </w:p>
        </w:tc>
        <w:tc>
          <w:tcPr>
            <w:tcW w:type="dxa" w:w="1098"/>
          </w:tcPr>
          <w:p>
            <w:pPr>
              <w:jc w:val="center"/>
            </w:pPr>
            <w:r>
              <w:rPr>
                <w:sz w:val="18"/>
              </w:rPr>
              <w:t>7.378</w:t>
            </w:r>
          </w:p>
        </w:tc>
        <w:tc>
          <w:tcPr>
            <w:tcW w:type="dxa" w:w="1098"/>
          </w:tcPr>
          <w:p>
            <w:pPr>
              <w:jc w:val="center"/>
            </w:pPr>
            <w:r>
              <w:rPr>
                <w:sz w:val="18"/>
              </w:rPr>
              <w:t>7.322</w:t>
            </w:r>
          </w:p>
        </w:tc>
        <w:tc>
          <w:tcPr>
            <w:tcW w:type="dxa" w:w="1098"/>
          </w:tcPr>
          <w:p>
            <w:pPr>
              <w:jc w:val="center"/>
            </w:pPr>
            <w:r>
              <w:rPr>
                <w:sz w:val="18"/>
              </w:rPr>
              <w:t>+0.150</w:t>
            </w:r>
          </w:p>
        </w:tc>
        <w:tc>
          <w:tcPr>
            <w:tcW w:type="dxa" w:w="1098"/>
          </w:tcPr>
          <w:p>
            <w:pPr>
              <w:jc w:val="center"/>
            </w:pPr>
            <w:r>
              <w:rPr>
                <w:sz w:val="18"/>
              </w:rPr>
              <w:t>+0.183</w:t>
            </w:r>
          </w:p>
        </w:tc>
        <w:tc>
          <w:tcPr>
            <w:tcW w:type="dxa" w:w="1098"/>
          </w:tcPr>
          <w:p>
            <w:pPr>
              <w:jc w:val="center"/>
            </w:pPr>
            <w:r>
              <w:rPr>
                <w:sz w:val="18"/>
              </w:rPr>
              <w:t>Country</w:t>
            </w:r>
          </w:p>
        </w:tc>
      </w:tr>
      <w:tr>
        <w:tc>
          <w:tcPr>
            <w:tcW w:type="dxa" w:w="1098"/>
            <w:shd w:val="clear" w:color="auto" w:fill="E8E8E8"/>
          </w:tcPr>
          <w:p>
            <w:pPr>
              <w:jc w:val="left"/>
            </w:pPr>
            <w:r>
              <w:rPr>
                <w:b/>
                <w:sz w:val="18"/>
              </w:rPr>
              <w:t>Cross-model mean</w:t>
            </w:r>
          </w:p>
        </w:tc>
        <w:tc>
          <w:tcPr>
            <w:tcW w:type="dxa" w:w="1098"/>
            <w:shd w:val="clear" w:color="auto" w:fill="E8E8E8"/>
          </w:tcPr>
          <w:p>
            <w:pPr>
              <w:jc w:val="center"/>
            </w:pPr>
            <w:r>
              <w:rPr>
                <w:b/>
                <w:sz w:val="18"/>
              </w:rPr>
              <w:t>7.758</w:t>
            </w:r>
          </w:p>
        </w:tc>
        <w:tc>
          <w:tcPr>
            <w:tcW w:type="dxa" w:w="1098"/>
            <w:shd w:val="clear" w:color="auto" w:fill="E8E8E8"/>
          </w:tcPr>
          <w:p>
            <w:pPr>
              <w:jc w:val="center"/>
            </w:pPr>
            <w:r>
              <w:rPr>
                <w:b/>
                <w:sz w:val="18"/>
              </w:rPr>
              <w:t>7.525</w:t>
            </w:r>
          </w:p>
        </w:tc>
        <w:tc>
          <w:tcPr>
            <w:tcW w:type="dxa" w:w="1098"/>
            <w:shd w:val="clear" w:color="auto" w:fill="E8E8E8"/>
          </w:tcPr>
          <w:p>
            <w:pPr>
              <w:jc w:val="center"/>
            </w:pPr>
            <w:r>
              <w:rPr>
                <w:b/>
                <w:sz w:val="18"/>
              </w:rPr>
              <w:t>7.467</w:t>
            </w:r>
          </w:p>
        </w:tc>
        <w:tc>
          <w:tcPr>
            <w:tcW w:type="dxa" w:w="1098"/>
            <w:shd w:val="clear" w:color="auto" w:fill="E8E8E8"/>
          </w:tcPr>
          <w:p>
            <w:pPr>
              <w:jc w:val="center"/>
            </w:pPr>
            <w:r>
              <w:rPr>
                <w:b/>
                <w:sz w:val="18"/>
              </w:rPr>
              <w:t>7.447</w:t>
            </w:r>
          </w:p>
        </w:tc>
        <w:tc>
          <w:tcPr>
            <w:tcW w:type="dxa" w:w="1098"/>
            <w:shd w:val="clear" w:color="auto" w:fill="E8E8E8"/>
          </w:tcPr>
          <w:p>
            <w:pPr>
              <w:jc w:val="center"/>
            </w:pPr>
            <w:r>
              <w:rPr>
                <w:b/>
                <w:sz w:val="18"/>
              </w:rPr>
              <w:t>+0.185</w:t>
            </w:r>
          </w:p>
        </w:tc>
        <w:tc>
          <w:tcPr>
            <w:tcW w:type="dxa" w:w="1098"/>
            <w:shd w:val="clear" w:color="auto" w:fill="E8E8E8"/>
          </w:tcPr>
          <w:p>
            <w:pPr>
              <w:jc w:val="center"/>
            </w:pPr>
            <w:r>
              <w:rPr>
                <w:b/>
                <w:sz w:val="18"/>
              </w:rPr>
              <w:t>+0.126</w:t>
            </w:r>
          </w:p>
        </w:tc>
        <w:tc>
          <w:tcPr>
            <w:tcW w:type="dxa" w:w="1098"/>
            <w:shd w:val="clear" w:color="auto" w:fill="E8E8E8"/>
          </w:tcPr>
          <w:p>
            <w:pPr>
              <w:jc w:val="center"/>
            </w:pPr>
            <w:r>
              <w:rPr>
                <w:b/>
                <w:sz w:val="18"/>
              </w:rPr>
              <w:t>Prestige (1.5x)</w:t>
            </w:r>
          </w:p>
        </w:tc>
      </w:tr>
    </w:tbl>
    <w:p/>
    <w:p>
      <w:pPr>
        <w:spacing w:after="80"/>
        <w:ind w:firstLine="432"/>
        <w:jc w:val="both"/>
      </w:pPr>
      <w:r>
        <w:rPr>
          <w:sz w:val="22"/>
        </w:rPr>
        <w:t>The UNAM vs. Framingham State contrast (Table 4) is the critical confound test. Haiku scores UNAM +0.222 above Framingham, confirming prestige recognition. GPT-4o-mini, Gemini, and Llama show near-zero differences (range: -0.033 to +0.044), indicating that for these models country and prestige effects approximately cancel at mid-range. No model places the low-prestige US university consistently above the high-prestige Mexican university.</w:t>
      </w:r>
    </w:p>
    <w:p>
      <w:pPr>
        <w:spacing w:before="160" w:after="40"/>
        <w:jc w:val="center"/>
      </w:pPr>
      <w:r>
        <w:rPr>
          <w:b/>
          <w:sz w:val="20"/>
        </w:rPr>
        <w:t>Table 4. Study 2 — Critical Contrast: UNAM (high prestige, Mexico) vs. Framingham State (low prestige, USA)</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BFBFBF"/>
          </w:tcPr>
          <w:p>
            <w:pPr>
              <w:jc w:val="center"/>
            </w:pPr>
            <w:r>
              <w:rPr>
                <w:b/>
                <w:sz w:val="18"/>
              </w:rPr>
              <w:t>Model</w:t>
            </w:r>
          </w:p>
        </w:tc>
        <w:tc>
          <w:tcPr>
            <w:tcW w:type="dxa" w:w="1757"/>
            <w:shd w:val="clear" w:color="auto" w:fill="BFBFBF"/>
          </w:tcPr>
          <w:p>
            <w:pPr>
              <w:jc w:val="center"/>
            </w:pPr>
            <w:r>
              <w:rPr>
                <w:b/>
                <w:sz w:val="18"/>
              </w:rPr>
              <w:t>UNAM</w:t>
            </w:r>
          </w:p>
        </w:tc>
        <w:tc>
          <w:tcPr>
            <w:tcW w:type="dxa" w:w="1757"/>
            <w:shd w:val="clear" w:color="auto" w:fill="BFBFBF"/>
          </w:tcPr>
          <w:p>
            <w:pPr>
              <w:jc w:val="center"/>
            </w:pPr>
            <w:r>
              <w:rPr>
                <w:b/>
                <w:sz w:val="18"/>
              </w:rPr>
              <w:t>Framingham State</w:t>
            </w:r>
          </w:p>
        </w:tc>
        <w:tc>
          <w:tcPr>
            <w:tcW w:type="dxa" w:w="1757"/>
            <w:shd w:val="clear" w:color="auto" w:fill="BFBFBF"/>
          </w:tcPr>
          <w:p>
            <w:pPr>
              <w:jc w:val="center"/>
            </w:pPr>
            <w:r>
              <w:rPr>
                <w:b/>
                <w:sz w:val="18"/>
              </w:rPr>
              <w:t>Difference</w:t>
            </w:r>
          </w:p>
        </w:tc>
        <w:tc>
          <w:tcPr>
            <w:tcW w:type="dxa" w:w="1757"/>
            <w:shd w:val="clear" w:color="auto" w:fill="BFBFBF"/>
          </w:tcPr>
          <w:p>
            <w:pPr>
              <w:jc w:val="center"/>
            </w:pPr>
            <w:r>
              <w:rPr>
                <w:b/>
                <w:sz w:val="18"/>
              </w:rPr>
              <w:t>Interpretation</w:t>
            </w:r>
          </w:p>
        </w:tc>
      </w:tr>
      <w:tr>
        <w:tc>
          <w:tcPr>
            <w:tcW w:type="dxa" w:w="1757"/>
          </w:tcPr>
          <w:p>
            <w:pPr>
              <w:jc w:val="left"/>
            </w:pPr>
            <w:r>
              <w:rPr>
                <w:sz w:val="18"/>
              </w:rPr>
              <w:t>Claude Haiku 4.5</w:t>
            </w:r>
          </w:p>
        </w:tc>
        <w:tc>
          <w:tcPr>
            <w:tcW w:type="dxa" w:w="1757"/>
          </w:tcPr>
          <w:p>
            <w:pPr>
              <w:jc w:val="center"/>
            </w:pPr>
            <w:r>
              <w:rPr>
                <w:sz w:val="18"/>
              </w:rPr>
              <w:t>7.233</w:t>
            </w:r>
          </w:p>
        </w:tc>
        <w:tc>
          <w:tcPr>
            <w:tcW w:type="dxa" w:w="1757"/>
          </w:tcPr>
          <w:p>
            <w:pPr>
              <w:jc w:val="center"/>
            </w:pPr>
            <w:r>
              <w:rPr>
                <w:sz w:val="18"/>
              </w:rPr>
              <w:t>7.011</w:t>
            </w:r>
          </w:p>
        </w:tc>
        <w:tc>
          <w:tcPr>
            <w:tcW w:type="dxa" w:w="1757"/>
          </w:tcPr>
          <w:p>
            <w:pPr>
              <w:jc w:val="center"/>
            </w:pPr>
            <w:r>
              <w:rPr>
                <w:sz w:val="18"/>
              </w:rPr>
              <w:t>+0.222</w:t>
            </w:r>
          </w:p>
        </w:tc>
        <w:tc>
          <w:tcPr>
            <w:tcW w:type="dxa" w:w="1757"/>
          </w:tcPr>
          <w:p>
            <w:pPr>
              <w:jc w:val="center"/>
            </w:pPr>
            <w:r>
              <w:rPr>
                <w:sz w:val="18"/>
              </w:rPr>
              <w:t>Prestige wins</w:t>
            </w:r>
          </w:p>
        </w:tc>
      </w:tr>
      <w:tr>
        <w:tc>
          <w:tcPr>
            <w:tcW w:type="dxa" w:w="1757"/>
          </w:tcPr>
          <w:p>
            <w:pPr>
              <w:jc w:val="left"/>
            </w:pPr>
            <w:r>
              <w:rPr>
                <w:sz w:val="18"/>
              </w:rPr>
              <w:t>GPT-4o-mini</w:t>
            </w:r>
          </w:p>
        </w:tc>
        <w:tc>
          <w:tcPr>
            <w:tcW w:type="dxa" w:w="1757"/>
          </w:tcPr>
          <w:p>
            <w:pPr>
              <w:jc w:val="center"/>
            </w:pPr>
            <w:r>
              <w:rPr>
                <w:sz w:val="18"/>
              </w:rPr>
              <w:t>8.222</w:t>
            </w:r>
          </w:p>
        </w:tc>
        <w:tc>
          <w:tcPr>
            <w:tcW w:type="dxa" w:w="1757"/>
          </w:tcPr>
          <w:p>
            <w:pPr>
              <w:jc w:val="center"/>
            </w:pPr>
            <w:r>
              <w:rPr>
                <w:sz w:val="18"/>
              </w:rPr>
              <w:t>8.178</w:t>
            </w:r>
          </w:p>
        </w:tc>
        <w:tc>
          <w:tcPr>
            <w:tcW w:type="dxa" w:w="1757"/>
          </w:tcPr>
          <w:p>
            <w:pPr>
              <w:jc w:val="center"/>
            </w:pPr>
            <w:r>
              <w:rPr>
                <w:sz w:val="18"/>
              </w:rPr>
              <w:t>+0.044</w:t>
            </w:r>
          </w:p>
        </w:tc>
        <w:tc>
          <w:tcPr>
            <w:tcW w:type="dxa" w:w="1757"/>
          </w:tcPr>
          <w:p>
            <w:pPr>
              <w:jc w:val="center"/>
            </w:pPr>
            <w:r>
              <w:rPr>
                <w:sz w:val="18"/>
              </w:rPr>
              <w:t>~Equal</w:t>
            </w:r>
          </w:p>
        </w:tc>
      </w:tr>
      <w:tr>
        <w:tc>
          <w:tcPr>
            <w:tcW w:type="dxa" w:w="1757"/>
          </w:tcPr>
          <w:p>
            <w:pPr>
              <w:jc w:val="left"/>
            </w:pPr>
            <w:r>
              <w:rPr>
                <w:sz w:val="18"/>
              </w:rPr>
              <w:t>Gemini 2.0 Flash</w:t>
            </w:r>
          </w:p>
        </w:tc>
        <w:tc>
          <w:tcPr>
            <w:tcW w:type="dxa" w:w="1757"/>
          </w:tcPr>
          <w:p>
            <w:pPr>
              <w:jc w:val="center"/>
            </w:pPr>
            <w:r>
              <w:rPr>
                <w:sz w:val="18"/>
              </w:rPr>
              <w:t>7.300</w:t>
            </w:r>
          </w:p>
        </w:tc>
        <w:tc>
          <w:tcPr>
            <w:tcW w:type="dxa" w:w="1757"/>
          </w:tcPr>
          <w:p>
            <w:pPr>
              <w:jc w:val="center"/>
            </w:pPr>
            <w:r>
              <w:rPr>
                <w:sz w:val="18"/>
              </w:rPr>
              <w:t>7.300</w:t>
            </w:r>
          </w:p>
        </w:tc>
        <w:tc>
          <w:tcPr>
            <w:tcW w:type="dxa" w:w="1757"/>
          </w:tcPr>
          <w:p>
            <w:pPr>
              <w:jc w:val="center"/>
            </w:pPr>
            <w:r>
              <w:rPr>
                <w:sz w:val="18"/>
              </w:rPr>
              <w:t xml:space="preserve"> 0.000</w:t>
            </w:r>
          </w:p>
        </w:tc>
        <w:tc>
          <w:tcPr>
            <w:tcW w:type="dxa" w:w="1757"/>
          </w:tcPr>
          <w:p>
            <w:pPr>
              <w:jc w:val="center"/>
            </w:pPr>
            <w:r>
              <w:rPr>
                <w:sz w:val="18"/>
              </w:rPr>
              <w:t>~Equal</w:t>
            </w:r>
          </w:p>
        </w:tc>
      </w:tr>
      <w:tr>
        <w:tc>
          <w:tcPr>
            <w:tcW w:type="dxa" w:w="1757"/>
          </w:tcPr>
          <w:p>
            <w:pPr>
              <w:jc w:val="left"/>
            </w:pPr>
            <w:r>
              <w:rPr>
                <w:sz w:val="18"/>
              </w:rPr>
              <w:t>Llama 3.1 8B</w:t>
            </w:r>
          </w:p>
        </w:tc>
        <w:tc>
          <w:tcPr>
            <w:tcW w:type="dxa" w:w="1757"/>
          </w:tcPr>
          <w:p>
            <w:pPr>
              <w:jc w:val="center"/>
            </w:pPr>
            <w:r>
              <w:rPr>
                <w:sz w:val="18"/>
              </w:rPr>
              <w:t>7.344</w:t>
            </w:r>
          </w:p>
        </w:tc>
        <w:tc>
          <w:tcPr>
            <w:tcW w:type="dxa" w:w="1757"/>
          </w:tcPr>
          <w:p>
            <w:pPr>
              <w:jc w:val="center"/>
            </w:pPr>
            <w:r>
              <w:rPr>
                <w:sz w:val="18"/>
              </w:rPr>
              <w:t>7.378</w:t>
            </w:r>
          </w:p>
        </w:tc>
        <w:tc>
          <w:tcPr>
            <w:tcW w:type="dxa" w:w="1757"/>
          </w:tcPr>
          <w:p>
            <w:pPr>
              <w:jc w:val="center"/>
            </w:pPr>
            <w:r>
              <w:rPr>
                <w:sz w:val="18"/>
              </w:rPr>
              <w:t>-0.033</w:t>
            </w:r>
          </w:p>
        </w:tc>
        <w:tc>
          <w:tcPr>
            <w:tcW w:type="dxa" w:w="1757"/>
          </w:tcPr>
          <w:p>
            <w:pPr>
              <w:jc w:val="center"/>
            </w:pPr>
            <w:r>
              <w:rPr>
                <w:sz w:val="18"/>
              </w:rPr>
              <w:t>~Equal</w:t>
            </w:r>
          </w:p>
        </w:tc>
      </w:tr>
    </w:tbl>
    <w:p/>
    <w:p>
      <w:pPr>
        <w:spacing w:before="120" w:after="40"/>
      </w:pPr>
      <w:r>
        <w:rPr>
          <w:b/>
          <w:sz w:val="22"/>
        </w:rPr>
        <w:t>4.4 Domain breakdown (Study 2)</w:t>
      </w:r>
    </w:p>
    <w:p>
      <w:pPr>
        <w:spacing w:after="80"/>
        <w:ind w:firstLine="432"/>
        <w:jc w:val="both"/>
      </w:pPr>
      <w:r>
        <w:rPr>
          <w:sz w:val="22"/>
        </w:rPr>
        <w:t>Table 5 decomposes prestige and country effects by domain. Prestige dominates in scholarship, credit, health, and public policy. Credit scoring shows the largest prestige effect (+0.278) — a domain where institutional affiliation carries no normative weight in loan decisions. Hiring is the only domain where the country effect (+0.188) slightly exceeds the prestige effect (+0.160).</w:t>
      </w:r>
    </w:p>
    <w:p>
      <w:pPr>
        <w:spacing w:before="160" w:after="40"/>
        <w:jc w:val="center"/>
      </w:pPr>
      <w:r>
        <w:rPr>
          <w:b/>
          <w:sz w:val="20"/>
        </w:rPr>
        <w:t>Table 5. Study 2 — Prestige vs. Country Effect by Domain (cross-model mean)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BFBFBF"/>
          </w:tcPr>
          <w:p>
            <w:pPr>
              <w:jc w:val="center"/>
            </w:pPr>
            <w:r>
              <w:rPr>
                <w:b/>
                <w:sz w:val="18"/>
              </w:rPr>
              <w:t>Domain</w:t>
            </w:r>
          </w:p>
        </w:tc>
        <w:tc>
          <w:tcPr>
            <w:tcW w:type="dxa" w:w="2196"/>
            <w:shd w:val="clear" w:color="auto" w:fill="BFBFBF"/>
          </w:tcPr>
          <w:p>
            <w:pPr>
              <w:jc w:val="center"/>
            </w:pPr>
            <w:r>
              <w:rPr>
                <w:b/>
                <w:sz w:val="18"/>
              </w:rPr>
              <w:t>Prestige effect</w:t>
            </w:r>
          </w:p>
        </w:tc>
        <w:tc>
          <w:tcPr>
            <w:tcW w:type="dxa" w:w="2196"/>
            <w:shd w:val="clear" w:color="auto" w:fill="BFBFBF"/>
          </w:tcPr>
          <w:p>
            <w:pPr>
              <w:jc w:val="center"/>
            </w:pPr>
            <w:r>
              <w:rPr>
                <w:b/>
                <w:sz w:val="18"/>
              </w:rPr>
              <w:t>Country effect</w:t>
            </w:r>
          </w:p>
        </w:tc>
        <w:tc>
          <w:tcPr>
            <w:tcW w:type="dxa" w:w="2196"/>
            <w:shd w:val="clear" w:color="auto" w:fill="BFBFBF"/>
          </w:tcPr>
          <w:p>
            <w:pPr>
              <w:jc w:val="center"/>
            </w:pPr>
            <w:r>
              <w:rPr>
                <w:b/>
                <w:sz w:val="18"/>
              </w:rPr>
              <w:t>Dominant</w:t>
            </w:r>
          </w:p>
        </w:tc>
      </w:tr>
      <w:tr>
        <w:tc>
          <w:tcPr>
            <w:tcW w:type="dxa" w:w="2196"/>
          </w:tcPr>
          <w:p>
            <w:pPr>
              <w:jc w:val="left"/>
            </w:pPr>
            <w:r>
              <w:rPr>
                <w:sz w:val="18"/>
              </w:rPr>
              <w:t>Scholarship</w:t>
            </w:r>
          </w:p>
        </w:tc>
        <w:tc>
          <w:tcPr>
            <w:tcW w:type="dxa" w:w="2196"/>
          </w:tcPr>
          <w:p>
            <w:pPr>
              <w:jc w:val="center"/>
            </w:pPr>
            <w:r>
              <w:rPr>
                <w:sz w:val="18"/>
              </w:rPr>
              <w:t>+0.160</w:t>
            </w:r>
          </w:p>
        </w:tc>
        <w:tc>
          <w:tcPr>
            <w:tcW w:type="dxa" w:w="2196"/>
          </w:tcPr>
          <w:p>
            <w:pPr>
              <w:jc w:val="center"/>
            </w:pPr>
            <w:r>
              <w:rPr>
                <w:sz w:val="18"/>
              </w:rPr>
              <w:t>+0.090</w:t>
            </w:r>
          </w:p>
        </w:tc>
        <w:tc>
          <w:tcPr>
            <w:tcW w:type="dxa" w:w="2196"/>
          </w:tcPr>
          <w:p>
            <w:pPr>
              <w:jc w:val="center"/>
            </w:pPr>
            <w:r>
              <w:rPr>
                <w:sz w:val="18"/>
              </w:rPr>
              <w:t>Prestige</w:t>
            </w:r>
          </w:p>
        </w:tc>
      </w:tr>
      <w:tr>
        <w:tc>
          <w:tcPr>
            <w:tcW w:type="dxa" w:w="2196"/>
          </w:tcPr>
          <w:p>
            <w:pPr>
              <w:jc w:val="left"/>
            </w:pPr>
            <w:r>
              <w:rPr>
                <w:sz w:val="18"/>
              </w:rPr>
              <w:t>Hiring</w:t>
            </w:r>
          </w:p>
        </w:tc>
        <w:tc>
          <w:tcPr>
            <w:tcW w:type="dxa" w:w="2196"/>
          </w:tcPr>
          <w:p>
            <w:pPr>
              <w:jc w:val="center"/>
            </w:pPr>
            <w:r>
              <w:rPr>
                <w:sz w:val="18"/>
              </w:rPr>
              <w:t>+0.160</w:t>
            </w:r>
          </w:p>
        </w:tc>
        <w:tc>
          <w:tcPr>
            <w:tcW w:type="dxa" w:w="2196"/>
          </w:tcPr>
          <w:p>
            <w:pPr>
              <w:jc w:val="center"/>
            </w:pPr>
            <w:r>
              <w:rPr>
                <w:sz w:val="18"/>
              </w:rPr>
              <w:t>+0.188</w:t>
            </w:r>
          </w:p>
        </w:tc>
        <w:tc>
          <w:tcPr>
            <w:tcW w:type="dxa" w:w="2196"/>
          </w:tcPr>
          <w:p>
            <w:pPr>
              <w:jc w:val="center"/>
            </w:pPr>
            <w:r>
              <w:rPr>
                <w:sz w:val="18"/>
              </w:rPr>
              <w:t>Country</w:t>
            </w:r>
          </w:p>
        </w:tc>
      </w:tr>
      <w:tr>
        <w:tc>
          <w:tcPr>
            <w:tcW w:type="dxa" w:w="2196"/>
          </w:tcPr>
          <w:p>
            <w:pPr>
              <w:jc w:val="left"/>
            </w:pPr>
            <w:r>
              <w:rPr>
                <w:sz w:val="18"/>
              </w:rPr>
              <w:t>Credit</w:t>
            </w:r>
          </w:p>
        </w:tc>
        <w:tc>
          <w:tcPr>
            <w:tcW w:type="dxa" w:w="2196"/>
          </w:tcPr>
          <w:p>
            <w:pPr>
              <w:jc w:val="center"/>
            </w:pPr>
            <w:r>
              <w:rPr>
                <w:sz w:val="18"/>
              </w:rPr>
              <w:t>+0.278</w:t>
            </w:r>
          </w:p>
        </w:tc>
        <w:tc>
          <w:tcPr>
            <w:tcW w:type="dxa" w:w="2196"/>
          </w:tcPr>
          <w:p>
            <w:pPr>
              <w:jc w:val="center"/>
            </w:pPr>
            <w:r>
              <w:rPr>
                <w:sz w:val="18"/>
              </w:rPr>
              <w:t>+0.264</w:t>
            </w:r>
          </w:p>
        </w:tc>
        <w:tc>
          <w:tcPr>
            <w:tcW w:type="dxa" w:w="2196"/>
          </w:tcPr>
          <w:p>
            <w:pPr>
              <w:jc w:val="center"/>
            </w:pPr>
            <w:r>
              <w:rPr>
                <w:sz w:val="18"/>
              </w:rPr>
              <w:t>Prestige (marginal)</w:t>
            </w:r>
          </w:p>
        </w:tc>
      </w:tr>
      <w:tr>
        <w:tc>
          <w:tcPr>
            <w:tcW w:type="dxa" w:w="2196"/>
          </w:tcPr>
          <w:p>
            <w:pPr>
              <w:jc w:val="left"/>
            </w:pPr>
            <w:r>
              <w:rPr>
                <w:sz w:val="18"/>
              </w:rPr>
              <w:t>Health</w:t>
            </w:r>
          </w:p>
        </w:tc>
        <w:tc>
          <w:tcPr>
            <w:tcW w:type="dxa" w:w="2196"/>
          </w:tcPr>
          <w:p>
            <w:pPr>
              <w:jc w:val="center"/>
            </w:pPr>
            <w:r>
              <w:rPr>
                <w:sz w:val="18"/>
              </w:rPr>
              <w:t>+0.125</w:t>
            </w:r>
          </w:p>
        </w:tc>
        <w:tc>
          <w:tcPr>
            <w:tcW w:type="dxa" w:w="2196"/>
          </w:tcPr>
          <w:p>
            <w:pPr>
              <w:jc w:val="center"/>
            </w:pPr>
            <w:r>
              <w:rPr>
                <w:sz w:val="18"/>
              </w:rPr>
              <w:t>+0.097</w:t>
            </w:r>
          </w:p>
        </w:tc>
        <w:tc>
          <w:tcPr>
            <w:tcW w:type="dxa" w:w="2196"/>
          </w:tcPr>
          <w:p>
            <w:pPr>
              <w:jc w:val="center"/>
            </w:pPr>
            <w:r>
              <w:rPr>
                <w:sz w:val="18"/>
              </w:rPr>
              <w:t>Prestige</w:t>
            </w:r>
          </w:p>
        </w:tc>
      </w:tr>
      <w:tr>
        <w:tc>
          <w:tcPr>
            <w:tcW w:type="dxa" w:w="2196"/>
          </w:tcPr>
          <w:p>
            <w:pPr>
              <w:jc w:val="left"/>
            </w:pPr>
            <w:r>
              <w:rPr>
                <w:sz w:val="18"/>
              </w:rPr>
              <w:t>Public Policy</w:t>
            </w:r>
          </w:p>
        </w:tc>
        <w:tc>
          <w:tcPr>
            <w:tcW w:type="dxa" w:w="2196"/>
          </w:tcPr>
          <w:p>
            <w:pPr>
              <w:jc w:val="center"/>
            </w:pPr>
            <w:r>
              <w:rPr>
                <w:sz w:val="18"/>
              </w:rPr>
              <w:t>+0.201</w:t>
            </w:r>
          </w:p>
        </w:tc>
        <w:tc>
          <w:tcPr>
            <w:tcW w:type="dxa" w:w="2196"/>
          </w:tcPr>
          <w:p>
            <w:pPr>
              <w:jc w:val="center"/>
            </w:pPr>
            <w:r>
              <w:rPr>
                <w:sz w:val="18"/>
              </w:rPr>
              <w:t>-0.007</w:t>
            </w:r>
          </w:p>
        </w:tc>
        <w:tc>
          <w:tcPr>
            <w:tcW w:type="dxa" w:w="2196"/>
          </w:tcPr>
          <w:p>
            <w:pPr>
              <w:jc w:val="center"/>
            </w:pPr>
            <w:r>
              <w:rPr>
                <w:sz w:val="18"/>
              </w:rPr>
              <w:t>Prestige (pure)</w:t>
            </w:r>
          </w:p>
        </w:tc>
      </w:tr>
    </w:tbl>
    <w:p/>
    <w:p>
      <w:pPr>
        <w:spacing w:before="120" w:after="40"/>
      </w:pPr>
      <w:r>
        <w:rPr>
          <w:b/>
          <w:sz w:val="22"/>
        </w:rPr>
        <w:t>4.5 Neutrosophic Bias Index</w:t>
      </w:r>
    </w:p>
    <w:p>
      <w:pPr>
        <w:spacing w:after="80"/>
        <w:ind w:firstLine="432"/>
        <w:jc w:val="both"/>
      </w:pPr>
      <w:r>
        <w:rPr>
          <w:sz w:val="22"/>
        </w:rPr>
        <w:t>Table 6 reports NBI &lt;T,I,F&gt; for the reference profile (Anglo-MIT) and the worst-case profiles from Study 1. The F component is zero by construction for the reference and positive for all low-tier profiles. Llama 3.1 8B shows the highest F values (0.033–0.057), indicating the strongest systematic penalty for non-elite institutional affiliation. The I component (inconsistency) is consistently higher for low-prestige profiles, reflecting greater within-profile score variance.</w:t>
      </w:r>
    </w:p>
    <w:p>
      <w:pPr>
        <w:spacing w:before="160" w:after="40"/>
        <w:jc w:val="center"/>
      </w:pPr>
      <w:r>
        <w:rPr>
          <w:b/>
          <w:sz w:val="20"/>
        </w:rPr>
        <w:t>Table 6. Study 1 — NBI &lt;T, I, F&gt; for Reference and T5 Profiles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BFBFBF"/>
          </w:tcPr>
          <w:p>
            <w:pPr>
              <w:jc w:val="center"/>
            </w:pPr>
            <w:r>
              <w:rPr>
                <w:b/>
                <w:sz w:val="18"/>
              </w:rPr>
              <w:t>Model</w:t>
            </w:r>
          </w:p>
        </w:tc>
        <w:tc>
          <w:tcPr>
            <w:tcW w:type="dxa" w:w="1757"/>
            <w:shd w:val="clear" w:color="auto" w:fill="BFBFBF"/>
          </w:tcPr>
          <w:p>
            <w:pPr>
              <w:jc w:val="center"/>
            </w:pPr>
            <w:r>
              <w:rPr>
                <w:b/>
                <w:sz w:val="18"/>
              </w:rPr>
              <w:t>Profile</w:t>
            </w:r>
          </w:p>
        </w:tc>
        <w:tc>
          <w:tcPr>
            <w:tcW w:type="dxa" w:w="1757"/>
            <w:shd w:val="clear" w:color="auto" w:fill="BFBFBF"/>
          </w:tcPr>
          <w:p>
            <w:pPr>
              <w:jc w:val="center"/>
            </w:pPr>
            <w:r>
              <w:rPr>
                <w:b/>
                <w:sz w:val="18"/>
              </w:rPr>
              <w:t>T</w:t>
            </w:r>
          </w:p>
        </w:tc>
        <w:tc>
          <w:tcPr>
            <w:tcW w:type="dxa" w:w="1757"/>
            <w:shd w:val="clear" w:color="auto" w:fill="BFBFBF"/>
          </w:tcPr>
          <w:p>
            <w:pPr>
              <w:jc w:val="center"/>
            </w:pPr>
            <w:r>
              <w:rPr>
                <w:b/>
                <w:sz w:val="18"/>
              </w:rPr>
              <w:t>I</w:t>
            </w:r>
          </w:p>
        </w:tc>
        <w:tc>
          <w:tcPr>
            <w:tcW w:type="dxa" w:w="1757"/>
            <w:shd w:val="clear" w:color="auto" w:fill="BFBFBF"/>
          </w:tcPr>
          <w:p>
            <w:pPr>
              <w:jc w:val="center"/>
            </w:pPr>
            <w:r>
              <w:rPr>
                <w:b/>
                <w:sz w:val="18"/>
              </w:rPr>
              <w:t>F (bias)</w:t>
            </w:r>
          </w:p>
        </w:tc>
      </w:tr>
      <w:tr>
        <w:tc>
          <w:tcPr>
            <w:tcW w:type="dxa" w:w="1757"/>
          </w:tcPr>
          <w:p>
            <w:pPr>
              <w:jc w:val="left"/>
            </w:pPr>
            <w:r>
              <w:rPr>
                <w:sz w:val="18"/>
              </w:rPr>
              <w:t>Claude Haiku 4.5</w:t>
            </w:r>
          </w:p>
        </w:tc>
        <w:tc>
          <w:tcPr>
            <w:tcW w:type="dxa" w:w="1757"/>
          </w:tcPr>
          <w:p>
            <w:pPr>
              <w:jc w:val="center"/>
            </w:pPr>
            <w:r>
              <w:rPr>
                <w:sz w:val="18"/>
              </w:rPr>
              <w:t>Anglo_T1 (ref)</w:t>
            </w:r>
          </w:p>
        </w:tc>
        <w:tc>
          <w:tcPr>
            <w:tcW w:type="dxa" w:w="1757"/>
          </w:tcPr>
          <w:p>
            <w:pPr>
              <w:jc w:val="center"/>
            </w:pPr>
            <w:r>
              <w:rPr>
                <w:sz w:val="18"/>
              </w:rPr>
              <w:t>0.7400</w:t>
            </w:r>
          </w:p>
        </w:tc>
        <w:tc>
          <w:tcPr>
            <w:tcW w:type="dxa" w:w="1757"/>
          </w:tcPr>
          <w:p>
            <w:pPr>
              <w:jc w:val="center"/>
            </w:pPr>
            <w:r>
              <w:rPr>
                <w:sz w:val="18"/>
              </w:rPr>
              <w:t>0.0786</w:t>
            </w:r>
          </w:p>
        </w:tc>
        <w:tc>
          <w:tcPr>
            <w:tcW w:type="dxa" w:w="1757"/>
          </w:tcPr>
          <w:p>
            <w:pPr>
              <w:jc w:val="center"/>
            </w:pPr>
            <w:r>
              <w:rPr>
                <w:sz w:val="18"/>
              </w:rPr>
              <w:t>0.0000</w:t>
            </w:r>
          </w:p>
        </w:tc>
      </w:tr>
      <w:tr>
        <w:tc>
          <w:tcPr>
            <w:tcW w:type="dxa" w:w="1757"/>
          </w:tcPr>
          <w:p>
            <w:pPr>
              <w:jc w:val="left"/>
            </w:pPr>
            <w:r>
              <w:rPr>
                <w:sz w:val="18"/>
              </w:rPr>
              <w:t>Claude Haiku 4.5</w:t>
            </w:r>
          </w:p>
        </w:tc>
        <w:tc>
          <w:tcPr>
            <w:tcW w:type="dxa" w:w="1757"/>
          </w:tcPr>
          <w:p>
            <w:pPr>
              <w:jc w:val="center"/>
            </w:pPr>
            <w:r>
              <w:rPr>
                <w:sz w:val="18"/>
              </w:rPr>
              <w:t>Anglo_T5</w:t>
            </w:r>
          </w:p>
        </w:tc>
        <w:tc>
          <w:tcPr>
            <w:tcW w:type="dxa" w:w="1757"/>
          </w:tcPr>
          <w:p>
            <w:pPr>
              <w:jc w:val="center"/>
            </w:pPr>
            <w:r>
              <w:rPr>
                <w:sz w:val="18"/>
              </w:rPr>
              <w:t>0.7100</w:t>
            </w:r>
          </w:p>
        </w:tc>
        <w:tc>
          <w:tcPr>
            <w:tcW w:type="dxa" w:w="1757"/>
          </w:tcPr>
          <w:p>
            <w:pPr>
              <w:jc w:val="center"/>
            </w:pPr>
            <w:r>
              <w:rPr>
                <w:sz w:val="18"/>
              </w:rPr>
              <w:t>0.1181</w:t>
            </w:r>
          </w:p>
        </w:tc>
        <w:tc>
          <w:tcPr>
            <w:tcW w:type="dxa" w:w="1757"/>
          </w:tcPr>
          <w:p>
            <w:pPr>
              <w:jc w:val="center"/>
            </w:pPr>
            <w:r>
              <w:rPr>
                <w:sz w:val="18"/>
              </w:rPr>
              <w:t>0.0300</w:t>
            </w:r>
          </w:p>
        </w:tc>
      </w:tr>
      <w:tr>
        <w:tc>
          <w:tcPr>
            <w:tcW w:type="dxa" w:w="1757"/>
          </w:tcPr>
          <w:p>
            <w:pPr>
              <w:jc w:val="left"/>
            </w:pPr>
            <w:r>
              <w:rPr>
                <w:sz w:val="18"/>
              </w:rPr>
              <w:t>Claude Haiku 4.5</w:t>
            </w:r>
          </w:p>
        </w:tc>
        <w:tc>
          <w:tcPr>
            <w:tcW w:type="dxa" w:w="1757"/>
          </w:tcPr>
          <w:p>
            <w:pPr>
              <w:jc w:val="center"/>
            </w:pPr>
            <w:r>
              <w:rPr>
                <w:sz w:val="18"/>
              </w:rPr>
              <w:t>Latino_T5</w:t>
            </w:r>
          </w:p>
        </w:tc>
        <w:tc>
          <w:tcPr>
            <w:tcW w:type="dxa" w:w="1757"/>
          </w:tcPr>
          <w:p>
            <w:pPr>
              <w:jc w:val="center"/>
            </w:pPr>
            <w:r>
              <w:rPr>
                <w:sz w:val="18"/>
              </w:rPr>
              <w:t>0.7067</w:t>
            </w:r>
          </w:p>
        </w:tc>
        <w:tc>
          <w:tcPr>
            <w:tcW w:type="dxa" w:w="1757"/>
          </w:tcPr>
          <w:p>
            <w:pPr>
              <w:jc w:val="center"/>
            </w:pPr>
            <w:r>
              <w:rPr>
                <w:sz w:val="18"/>
              </w:rPr>
              <w:t>0.1087</w:t>
            </w:r>
          </w:p>
        </w:tc>
        <w:tc>
          <w:tcPr>
            <w:tcW w:type="dxa" w:w="1757"/>
          </w:tcPr>
          <w:p>
            <w:pPr>
              <w:jc w:val="center"/>
            </w:pPr>
            <w:r>
              <w:rPr>
                <w:sz w:val="18"/>
              </w:rPr>
              <w:t>0.0333</w:t>
            </w:r>
          </w:p>
        </w:tc>
      </w:tr>
      <w:tr>
        <w:tc>
          <w:tcPr>
            <w:tcW w:type="dxa" w:w="1757"/>
          </w:tcPr>
          <w:p>
            <w:pPr>
              <w:jc w:val="left"/>
            </w:pPr>
            <w:r>
              <w:rPr>
                <w:sz w:val="18"/>
              </w:rPr>
              <w:t>Claude Haiku 4.5</w:t>
            </w:r>
          </w:p>
        </w:tc>
        <w:tc>
          <w:tcPr>
            <w:tcW w:type="dxa" w:w="1757"/>
          </w:tcPr>
          <w:p>
            <w:pPr>
              <w:jc w:val="center"/>
            </w:pPr>
            <w:r>
              <w:rPr>
                <w:sz w:val="18"/>
              </w:rPr>
              <w:t>Arabic_T5</w:t>
            </w:r>
          </w:p>
        </w:tc>
        <w:tc>
          <w:tcPr>
            <w:tcW w:type="dxa" w:w="1757"/>
          </w:tcPr>
          <w:p>
            <w:pPr>
              <w:jc w:val="center"/>
            </w:pPr>
            <w:r>
              <w:rPr>
                <w:sz w:val="18"/>
              </w:rPr>
              <w:t>0.7233</w:t>
            </w:r>
          </w:p>
        </w:tc>
        <w:tc>
          <w:tcPr>
            <w:tcW w:type="dxa" w:w="1757"/>
          </w:tcPr>
          <w:p>
            <w:pPr>
              <w:jc w:val="center"/>
            </w:pPr>
            <w:r>
              <w:rPr>
                <w:sz w:val="18"/>
              </w:rPr>
              <w:t>0.1087</w:t>
            </w:r>
          </w:p>
        </w:tc>
        <w:tc>
          <w:tcPr>
            <w:tcW w:type="dxa" w:w="1757"/>
          </w:tcPr>
          <w:p>
            <w:pPr>
              <w:jc w:val="center"/>
            </w:pPr>
            <w:r>
              <w:rPr>
                <w:sz w:val="18"/>
              </w:rPr>
              <w:t>0.0167</w:t>
            </w:r>
          </w:p>
        </w:tc>
      </w:tr>
      <w:tr>
        <w:tc>
          <w:tcPr>
            <w:tcW w:type="dxa" w:w="1757"/>
          </w:tcPr>
          <w:p>
            <w:pPr>
              <w:jc w:val="left"/>
            </w:pPr>
            <w:r>
              <w:rPr>
                <w:sz w:val="18"/>
              </w:rPr>
              <w:t>GPT-4o-mini</w:t>
            </w:r>
          </w:p>
        </w:tc>
        <w:tc>
          <w:tcPr>
            <w:tcW w:type="dxa" w:w="1757"/>
          </w:tcPr>
          <w:p>
            <w:pPr>
              <w:jc w:val="center"/>
            </w:pPr>
            <w:r>
              <w:rPr>
                <w:sz w:val="18"/>
              </w:rPr>
              <w:t>Anglo_T1 (ref)</w:t>
            </w:r>
          </w:p>
        </w:tc>
        <w:tc>
          <w:tcPr>
            <w:tcW w:type="dxa" w:w="1757"/>
          </w:tcPr>
          <w:p>
            <w:pPr>
              <w:jc w:val="center"/>
            </w:pPr>
            <w:r>
              <w:rPr>
                <w:sz w:val="18"/>
              </w:rPr>
              <w:t>0.8283</w:t>
            </w:r>
          </w:p>
        </w:tc>
        <w:tc>
          <w:tcPr>
            <w:tcW w:type="dxa" w:w="1757"/>
          </w:tcPr>
          <w:p>
            <w:pPr>
              <w:jc w:val="center"/>
            </w:pPr>
            <w:r>
              <w:rPr>
                <w:sz w:val="18"/>
              </w:rPr>
              <w:t>0.1264</w:t>
            </w:r>
          </w:p>
        </w:tc>
        <w:tc>
          <w:tcPr>
            <w:tcW w:type="dxa" w:w="1757"/>
          </w:tcPr>
          <w:p>
            <w:pPr>
              <w:jc w:val="center"/>
            </w:pPr>
            <w:r>
              <w:rPr>
                <w:sz w:val="18"/>
              </w:rPr>
              <w:t>0.0000</w:t>
            </w:r>
          </w:p>
        </w:tc>
      </w:tr>
      <w:tr>
        <w:tc>
          <w:tcPr>
            <w:tcW w:type="dxa" w:w="1757"/>
          </w:tcPr>
          <w:p>
            <w:pPr>
              <w:jc w:val="left"/>
            </w:pPr>
            <w:r>
              <w:rPr>
                <w:sz w:val="18"/>
              </w:rPr>
              <w:t>GPT-4o-mini</w:t>
            </w:r>
          </w:p>
        </w:tc>
        <w:tc>
          <w:tcPr>
            <w:tcW w:type="dxa" w:w="1757"/>
          </w:tcPr>
          <w:p>
            <w:pPr>
              <w:jc w:val="center"/>
            </w:pPr>
            <w:r>
              <w:rPr>
                <w:sz w:val="18"/>
              </w:rPr>
              <w:t>Anglo_T5</w:t>
            </w:r>
          </w:p>
        </w:tc>
        <w:tc>
          <w:tcPr>
            <w:tcW w:type="dxa" w:w="1757"/>
          </w:tcPr>
          <w:p>
            <w:pPr>
              <w:jc w:val="center"/>
            </w:pPr>
            <w:r>
              <w:rPr>
                <w:sz w:val="18"/>
              </w:rPr>
              <w:t>0.8111</w:t>
            </w:r>
          </w:p>
        </w:tc>
        <w:tc>
          <w:tcPr>
            <w:tcW w:type="dxa" w:w="1757"/>
          </w:tcPr>
          <w:p>
            <w:pPr>
              <w:jc w:val="center"/>
            </w:pPr>
            <w:r>
              <w:rPr>
                <w:sz w:val="18"/>
              </w:rPr>
              <w:t>0.1257</w:t>
            </w:r>
          </w:p>
        </w:tc>
        <w:tc>
          <w:tcPr>
            <w:tcW w:type="dxa" w:w="1757"/>
          </w:tcPr>
          <w:p>
            <w:pPr>
              <w:jc w:val="center"/>
            </w:pPr>
            <w:r>
              <w:rPr>
                <w:sz w:val="18"/>
              </w:rPr>
              <w:t>0.0166</w:t>
            </w:r>
          </w:p>
        </w:tc>
      </w:tr>
      <w:tr>
        <w:tc>
          <w:tcPr>
            <w:tcW w:type="dxa" w:w="1757"/>
          </w:tcPr>
          <w:p>
            <w:pPr>
              <w:jc w:val="left"/>
            </w:pPr>
            <w:r>
              <w:rPr>
                <w:sz w:val="18"/>
              </w:rPr>
              <w:t>GPT-4o-mini</w:t>
            </w:r>
          </w:p>
        </w:tc>
        <w:tc>
          <w:tcPr>
            <w:tcW w:type="dxa" w:w="1757"/>
          </w:tcPr>
          <w:p>
            <w:pPr>
              <w:jc w:val="center"/>
            </w:pPr>
            <w:r>
              <w:rPr>
                <w:sz w:val="18"/>
              </w:rPr>
              <w:t>Latino_T5</w:t>
            </w:r>
          </w:p>
        </w:tc>
        <w:tc>
          <w:tcPr>
            <w:tcW w:type="dxa" w:w="1757"/>
          </w:tcPr>
          <w:p>
            <w:pPr>
              <w:jc w:val="center"/>
            </w:pPr>
            <w:r>
              <w:rPr>
                <w:sz w:val="18"/>
              </w:rPr>
              <w:t>0.8085</w:t>
            </w:r>
          </w:p>
        </w:tc>
        <w:tc>
          <w:tcPr>
            <w:tcW w:type="dxa" w:w="1757"/>
          </w:tcPr>
          <w:p>
            <w:pPr>
              <w:jc w:val="center"/>
            </w:pPr>
            <w:r>
              <w:rPr>
                <w:sz w:val="18"/>
              </w:rPr>
              <w:t>0.1251</w:t>
            </w:r>
          </w:p>
        </w:tc>
        <w:tc>
          <w:tcPr>
            <w:tcW w:type="dxa" w:w="1757"/>
          </w:tcPr>
          <w:p>
            <w:pPr>
              <w:jc w:val="center"/>
            </w:pPr>
            <w:r>
              <w:rPr>
                <w:sz w:val="18"/>
              </w:rPr>
              <w:t>0.0198</w:t>
            </w:r>
          </w:p>
        </w:tc>
      </w:tr>
      <w:tr>
        <w:tc>
          <w:tcPr>
            <w:tcW w:type="dxa" w:w="1757"/>
          </w:tcPr>
          <w:p>
            <w:pPr>
              <w:jc w:val="left"/>
            </w:pPr>
            <w:r>
              <w:rPr>
                <w:sz w:val="18"/>
              </w:rPr>
              <w:t>GPT-4o-mini</w:t>
            </w:r>
          </w:p>
        </w:tc>
        <w:tc>
          <w:tcPr>
            <w:tcW w:type="dxa" w:w="1757"/>
          </w:tcPr>
          <w:p>
            <w:pPr>
              <w:jc w:val="center"/>
            </w:pPr>
            <w:r>
              <w:rPr>
                <w:sz w:val="18"/>
              </w:rPr>
              <w:t>Arabic_T5</w:t>
            </w:r>
          </w:p>
        </w:tc>
        <w:tc>
          <w:tcPr>
            <w:tcW w:type="dxa" w:w="1757"/>
          </w:tcPr>
          <w:p>
            <w:pPr>
              <w:jc w:val="center"/>
            </w:pPr>
            <w:r>
              <w:rPr>
                <w:sz w:val="18"/>
              </w:rPr>
              <w:t>0.8111</w:t>
            </w:r>
          </w:p>
        </w:tc>
        <w:tc>
          <w:tcPr>
            <w:tcW w:type="dxa" w:w="1757"/>
          </w:tcPr>
          <w:p>
            <w:pPr>
              <w:jc w:val="center"/>
            </w:pPr>
            <w:r>
              <w:rPr>
                <w:sz w:val="18"/>
              </w:rPr>
              <w:t>0.1257</w:t>
            </w:r>
          </w:p>
        </w:tc>
        <w:tc>
          <w:tcPr>
            <w:tcW w:type="dxa" w:w="1757"/>
          </w:tcPr>
          <w:p>
            <w:pPr>
              <w:jc w:val="center"/>
            </w:pPr>
            <w:r>
              <w:rPr>
                <w:sz w:val="18"/>
              </w:rPr>
              <w:t>0.0166</w:t>
            </w:r>
          </w:p>
        </w:tc>
      </w:tr>
      <w:tr>
        <w:tc>
          <w:tcPr>
            <w:tcW w:type="dxa" w:w="1757"/>
          </w:tcPr>
          <w:p>
            <w:pPr>
              <w:jc w:val="left"/>
            </w:pPr>
            <w:r>
              <w:rPr>
                <w:sz w:val="18"/>
              </w:rPr>
              <w:t>Gemini 2.0 Flash</w:t>
            </w:r>
          </w:p>
        </w:tc>
        <w:tc>
          <w:tcPr>
            <w:tcW w:type="dxa" w:w="1757"/>
          </w:tcPr>
          <w:p>
            <w:pPr>
              <w:jc w:val="center"/>
            </w:pPr>
            <w:r>
              <w:rPr>
                <w:sz w:val="18"/>
              </w:rPr>
              <w:t>Anglo_T1 (ref)</w:t>
            </w:r>
          </w:p>
        </w:tc>
        <w:tc>
          <w:tcPr>
            <w:tcW w:type="dxa" w:w="1757"/>
          </w:tcPr>
          <w:p>
            <w:pPr>
              <w:jc w:val="center"/>
            </w:pPr>
            <w:r>
              <w:rPr>
                <w:sz w:val="18"/>
              </w:rPr>
              <w:t>0.7533</w:t>
            </w:r>
          </w:p>
        </w:tc>
        <w:tc>
          <w:tcPr>
            <w:tcW w:type="dxa" w:w="1757"/>
          </w:tcPr>
          <w:p>
            <w:pPr>
              <w:jc w:val="center"/>
            </w:pPr>
            <w:r>
              <w:rPr>
                <w:sz w:val="18"/>
              </w:rPr>
              <w:t>0.1393</w:t>
            </w:r>
          </w:p>
        </w:tc>
        <w:tc>
          <w:tcPr>
            <w:tcW w:type="dxa" w:w="1757"/>
          </w:tcPr>
          <w:p>
            <w:pPr>
              <w:jc w:val="center"/>
            </w:pPr>
            <w:r>
              <w:rPr>
                <w:sz w:val="18"/>
              </w:rPr>
              <w:t>0.0000</w:t>
            </w:r>
          </w:p>
        </w:tc>
      </w:tr>
      <w:tr>
        <w:tc>
          <w:tcPr>
            <w:tcW w:type="dxa" w:w="1757"/>
          </w:tcPr>
          <w:p>
            <w:pPr>
              <w:jc w:val="left"/>
            </w:pPr>
            <w:r>
              <w:rPr>
                <w:sz w:val="18"/>
              </w:rPr>
              <w:t>Gemini 2.0 Flash</w:t>
            </w:r>
          </w:p>
        </w:tc>
        <w:tc>
          <w:tcPr>
            <w:tcW w:type="dxa" w:w="1757"/>
          </w:tcPr>
          <w:p>
            <w:pPr>
              <w:jc w:val="center"/>
            </w:pPr>
            <w:r>
              <w:rPr>
                <w:sz w:val="18"/>
              </w:rPr>
              <w:t>Anglo_T5</w:t>
            </w:r>
          </w:p>
        </w:tc>
        <w:tc>
          <w:tcPr>
            <w:tcW w:type="dxa" w:w="1757"/>
          </w:tcPr>
          <w:p>
            <w:pPr>
              <w:jc w:val="center"/>
            </w:pPr>
            <w:r>
              <w:rPr>
                <w:sz w:val="18"/>
              </w:rPr>
              <w:t>0.7047</w:t>
            </w:r>
          </w:p>
        </w:tc>
        <w:tc>
          <w:tcPr>
            <w:tcW w:type="dxa" w:w="1757"/>
          </w:tcPr>
          <w:p>
            <w:pPr>
              <w:jc w:val="center"/>
            </w:pPr>
            <w:r>
              <w:rPr>
                <w:sz w:val="18"/>
              </w:rPr>
              <w:t>0.1256</w:t>
            </w:r>
          </w:p>
        </w:tc>
        <w:tc>
          <w:tcPr>
            <w:tcW w:type="dxa" w:w="1757"/>
          </w:tcPr>
          <w:p>
            <w:pPr>
              <w:jc w:val="center"/>
            </w:pPr>
            <w:r>
              <w:rPr>
                <w:sz w:val="18"/>
              </w:rPr>
              <w:t>0.0464</w:t>
            </w:r>
          </w:p>
        </w:tc>
      </w:tr>
      <w:tr>
        <w:tc>
          <w:tcPr>
            <w:tcW w:type="dxa" w:w="1757"/>
          </w:tcPr>
          <w:p>
            <w:pPr>
              <w:jc w:val="left"/>
            </w:pPr>
            <w:r>
              <w:rPr>
                <w:sz w:val="18"/>
              </w:rPr>
              <w:t>Gemini 2.0 Flash</w:t>
            </w:r>
          </w:p>
        </w:tc>
        <w:tc>
          <w:tcPr>
            <w:tcW w:type="dxa" w:w="1757"/>
          </w:tcPr>
          <w:p>
            <w:pPr>
              <w:jc w:val="center"/>
            </w:pPr>
            <w:r>
              <w:rPr>
                <w:sz w:val="18"/>
              </w:rPr>
              <w:t>Latino_T5</w:t>
            </w:r>
          </w:p>
        </w:tc>
        <w:tc>
          <w:tcPr>
            <w:tcW w:type="dxa" w:w="1757"/>
          </w:tcPr>
          <w:p>
            <w:pPr>
              <w:jc w:val="center"/>
            </w:pPr>
            <w:r>
              <w:rPr>
                <w:sz w:val="18"/>
              </w:rPr>
              <w:t>0.7233</w:t>
            </w:r>
          </w:p>
        </w:tc>
        <w:tc>
          <w:tcPr>
            <w:tcW w:type="dxa" w:w="1757"/>
          </w:tcPr>
          <w:p>
            <w:pPr>
              <w:jc w:val="center"/>
            </w:pPr>
            <w:r>
              <w:rPr>
                <w:sz w:val="18"/>
              </w:rPr>
              <w:t>0.1082</w:t>
            </w:r>
          </w:p>
        </w:tc>
        <w:tc>
          <w:tcPr>
            <w:tcW w:type="dxa" w:w="1757"/>
          </w:tcPr>
          <w:p>
            <w:pPr>
              <w:jc w:val="center"/>
            </w:pPr>
            <w:r>
              <w:rPr>
                <w:sz w:val="18"/>
              </w:rPr>
              <w:t>0.0333</w:t>
            </w:r>
          </w:p>
        </w:tc>
      </w:tr>
      <w:tr>
        <w:tc>
          <w:tcPr>
            <w:tcW w:type="dxa" w:w="1757"/>
          </w:tcPr>
          <w:p>
            <w:pPr>
              <w:jc w:val="left"/>
            </w:pPr>
            <w:r>
              <w:rPr>
                <w:sz w:val="18"/>
              </w:rPr>
              <w:t>Gemini 2.0 Flash</w:t>
            </w:r>
          </w:p>
        </w:tc>
        <w:tc>
          <w:tcPr>
            <w:tcW w:type="dxa" w:w="1757"/>
          </w:tcPr>
          <w:p>
            <w:pPr>
              <w:jc w:val="center"/>
            </w:pPr>
            <w:r>
              <w:rPr>
                <w:sz w:val="18"/>
              </w:rPr>
              <w:t>Arabic_T5</w:t>
            </w:r>
          </w:p>
        </w:tc>
        <w:tc>
          <w:tcPr>
            <w:tcW w:type="dxa" w:w="1757"/>
          </w:tcPr>
          <w:p>
            <w:pPr>
              <w:jc w:val="center"/>
            </w:pPr>
            <w:r>
              <w:rPr>
                <w:sz w:val="18"/>
              </w:rPr>
              <w:t>0.7267</w:t>
            </w:r>
          </w:p>
        </w:tc>
        <w:tc>
          <w:tcPr>
            <w:tcW w:type="dxa" w:w="1757"/>
          </w:tcPr>
          <w:p>
            <w:pPr>
              <w:jc w:val="center"/>
            </w:pPr>
            <w:r>
              <w:rPr>
                <w:sz w:val="18"/>
              </w:rPr>
              <w:t>0.1039</w:t>
            </w:r>
          </w:p>
        </w:tc>
        <w:tc>
          <w:tcPr>
            <w:tcW w:type="dxa" w:w="1757"/>
          </w:tcPr>
          <w:p>
            <w:pPr>
              <w:jc w:val="center"/>
            </w:pPr>
            <w:r>
              <w:rPr>
                <w:sz w:val="18"/>
              </w:rPr>
              <w:t>0.0267</w:t>
            </w:r>
          </w:p>
        </w:tc>
      </w:tr>
      <w:tr>
        <w:tc>
          <w:tcPr>
            <w:tcW w:type="dxa" w:w="1757"/>
          </w:tcPr>
          <w:p>
            <w:pPr>
              <w:jc w:val="left"/>
            </w:pPr>
            <w:r>
              <w:rPr>
                <w:sz w:val="18"/>
              </w:rPr>
              <w:t>Llama 3.1 8B</w:t>
            </w:r>
          </w:p>
        </w:tc>
        <w:tc>
          <w:tcPr>
            <w:tcW w:type="dxa" w:w="1757"/>
          </w:tcPr>
          <w:p>
            <w:pPr>
              <w:jc w:val="center"/>
            </w:pPr>
            <w:r>
              <w:rPr>
                <w:sz w:val="18"/>
              </w:rPr>
              <w:t>Anglo_T1 (ref)</w:t>
            </w:r>
          </w:p>
        </w:tc>
        <w:tc>
          <w:tcPr>
            <w:tcW w:type="dxa" w:w="1757"/>
          </w:tcPr>
          <w:p>
            <w:pPr>
              <w:jc w:val="center"/>
            </w:pPr>
            <w:r>
              <w:rPr>
                <w:sz w:val="18"/>
              </w:rPr>
              <w:t>0.7800</w:t>
            </w:r>
          </w:p>
        </w:tc>
        <w:tc>
          <w:tcPr>
            <w:tcW w:type="dxa" w:w="1757"/>
          </w:tcPr>
          <w:p>
            <w:pPr>
              <w:jc w:val="center"/>
            </w:pPr>
            <w:r>
              <w:rPr>
                <w:sz w:val="18"/>
              </w:rPr>
              <w:t>0.1151</w:t>
            </w:r>
          </w:p>
        </w:tc>
        <w:tc>
          <w:tcPr>
            <w:tcW w:type="dxa" w:w="1757"/>
          </w:tcPr>
          <w:p>
            <w:pPr>
              <w:jc w:val="center"/>
            </w:pPr>
            <w:r>
              <w:rPr>
                <w:sz w:val="18"/>
              </w:rPr>
              <w:t>0.0000</w:t>
            </w:r>
          </w:p>
        </w:tc>
      </w:tr>
      <w:tr>
        <w:tc>
          <w:tcPr>
            <w:tcW w:type="dxa" w:w="1757"/>
          </w:tcPr>
          <w:p>
            <w:pPr>
              <w:jc w:val="left"/>
            </w:pPr>
            <w:r>
              <w:rPr>
                <w:sz w:val="18"/>
              </w:rPr>
              <w:t>Llama 3.1 8B</w:t>
            </w:r>
          </w:p>
        </w:tc>
        <w:tc>
          <w:tcPr>
            <w:tcW w:type="dxa" w:w="1757"/>
          </w:tcPr>
          <w:p>
            <w:pPr>
              <w:jc w:val="center"/>
            </w:pPr>
            <w:r>
              <w:rPr>
                <w:sz w:val="18"/>
              </w:rPr>
              <w:t>Anglo_T5</w:t>
            </w:r>
          </w:p>
        </w:tc>
        <w:tc>
          <w:tcPr>
            <w:tcW w:type="dxa" w:w="1757"/>
          </w:tcPr>
          <w:p>
            <w:pPr>
              <w:jc w:val="center"/>
            </w:pPr>
            <w:r>
              <w:rPr>
                <w:sz w:val="18"/>
              </w:rPr>
              <w:t>0.7224</w:t>
            </w:r>
          </w:p>
        </w:tc>
        <w:tc>
          <w:tcPr>
            <w:tcW w:type="dxa" w:w="1757"/>
          </w:tcPr>
          <w:p>
            <w:pPr>
              <w:jc w:val="center"/>
            </w:pPr>
            <w:r>
              <w:rPr>
                <w:sz w:val="18"/>
              </w:rPr>
              <w:t>0.1870</w:t>
            </w:r>
          </w:p>
        </w:tc>
        <w:tc>
          <w:tcPr>
            <w:tcW w:type="dxa" w:w="1757"/>
          </w:tcPr>
          <w:p>
            <w:pPr>
              <w:jc w:val="center"/>
            </w:pPr>
            <w:r>
              <w:rPr>
                <w:sz w:val="18"/>
              </w:rPr>
              <w:t>0.0566</w:t>
            </w:r>
          </w:p>
        </w:tc>
      </w:tr>
      <w:tr>
        <w:tc>
          <w:tcPr>
            <w:tcW w:type="dxa" w:w="1757"/>
          </w:tcPr>
          <w:p>
            <w:pPr>
              <w:jc w:val="left"/>
            </w:pPr>
            <w:r>
              <w:rPr>
                <w:sz w:val="18"/>
              </w:rPr>
              <w:t>Llama 3.1 8B</w:t>
            </w:r>
          </w:p>
        </w:tc>
        <w:tc>
          <w:tcPr>
            <w:tcW w:type="dxa" w:w="1757"/>
          </w:tcPr>
          <w:p>
            <w:pPr>
              <w:jc w:val="center"/>
            </w:pPr>
            <w:r>
              <w:rPr>
                <w:sz w:val="18"/>
              </w:rPr>
              <w:t>Latino_T5</w:t>
            </w:r>
          </w:p>
        </w:tc>
        <w:tc>
          <w:tcPr>
            <w:tcW w:type="dxa" w:w="1757"/>
          </w:tcPr>
          <w:p>
            <w:pPr>
              <w:jc w:val="center"/>
            </w:pPr>
            <w:r>
              <w:rPr>
                <w:sz w:val="18"/>
              </w:rPr>
              <w:t>0.7467</w:t>
            </w:r>
          </w:p>
        </w:tc>
        <w:tc>
          <w:tcPr>
            <w:tcW w:type="dxa" w:w="1757"/>
          </w:tcPr>
          <w:p>
            <w:pPr>
              <w:jc w:val="center"/>
            </w:pPr>
            <w:r>
              <w:rPr>
                <w:sz w:val="18"/>
              </w:rPr>
              <w:t>0.1530</w:t>
            </w:r>
          </w:p>
        </w:tc>
        <w:tc>
          <w:tcPr>
            <w:tcW w:type="dxa" w:w="1757"/>
          </w:tcPr>
          <w:p>
            <w:pPr>
              <w:jc w:val="center"/>
            </w:pPr>
            <w:r>
              <w:rPr>
                <w:sz w:val="18"/>
              </w:rPr>
              <w:t>0.0333</w:t>
            </w:r>
          </w:p>
        </w:tc>
      </w:tr>
      <w:tr>
        <w:tc>
          <w:tcPr>
            <w:tcW w:type="dxa" w:w="1757"/>
          </w:tcPr>
          <w:p>
            <w:pPr>
              <w:jc w:val="left"/>
            </w:pPr>
            <w:r>
              <w:rPr>
                <w:sz w:val="18"/>
              </w:rPr>
              <w:t>Llama 3.1 8B</w:t>
            </w:r>
          </w:p>
        </w:tc>
        <w:tc>
          <w:tcPr>
            <w:tcW w:type="dxa" w:w="1757"/>
          </w:tcPr>
          <w:p>
            <w:pPr>
              <w:jc w:val="center"/>
            </w:pPr>
            <w:r>
              <w:rPr>
                <w:sz w:val="18"/>
              </w:rPr>
              <w:t>Arabic_T5</w:t>
            </w:r>
          </w:p>
        </w:tc>
        <w:tc>
          <w:tcPr>
            <w:tcW w:type="dxa" w:w="1757"/>
          </w:tcPr>
          <w:p>
            <w:pPr>
              <w:jc w:val="center"/>
            </w:pPr>
            <w:r>
              <w:rPr>
                <w:sz w:val="18"/>
              </w:rPr>
              <w:t>0.7433</w:t>
            </w:r>
          </w:p>
        </w:tc>
        <w:tc>
          <w:tcPr>
            <w:tcW w:type="dxa" w:w="1757"/>
          </w:tcPr>
          <w:p>
            <w:pPr>
              <w:jc w:val="center"/>
            </w:pPr>
            <w:r>
              <w:rPr>
                <w:sz w:val="18"/>
              </w:rPr>
              <w:t>0.1341</w:t>
            </w:r>
          </w:p>
        </w:tc>
        <w:tc>
          <w:tcPr>
            <w:tcW w:type="dxa" w:w="1757"/>
          </w:tcPr>
          <w:p>
            <w:pPr>
              <w:jc w:val="center"/>
            </w:pPr>
            <w:r>
              <w:rPr>
                <w:sz w:val="18"/>
              </w:rPr>
              <w:t>0.0367</w:t>
            </w:r>
          </w:p>
        </w:tc>
      </w:tr>
    </w:tbl>
    <w:p/>
    <w:p>
      <w:pPr>
        <w:spacing w:before="200" w:after="80"/>
      </w:pPr>
      <w:r>
        <w:rPr>
          <w:b/>
          <w:sz w:val="24"/>
        </w:rPr>
        <w:t>5. Discussion</w:t>
      </w:r>
    </w:p>
    <w:p>
      <w:pPr>
        <w:spacing w:before="120" w:after="40"/>
      </w:pPr>
      <w:r>
        <w:rPr>
          <w:b/>
          <w:sz w:val="22"/>
        </w:rPr>
        <w:t>5.1 What the two studies together establish</w:t>
      </w:r>
    </w:p>
    <w:p>
      <w:pPr>
        <w:spacing w:after="80"/>
        <w:ind w:firstLine="432"/>
        <w:jc w:val="both"/>
      </w:pPr>
      <w:r>
        <w:rPr>
          <w:sz w:val="22"/>
        </w:rPr>
        <w:t>Study 1 establishes that LLMs assign systematically higher scores to candidates from elite institutions, with a cross-model gradient of +0.297 points. Study 2 shows that this effect is primarily driven by prestige recognition (+0.185) rather than country-of-origin stereotyping (+0.126), with prestige accounting for approximately 60% of the combined effect. Together, the studies support the conclusion that LLMs encode institutional prestige hierarchies and apply them in evaluation tasks — including tasks where prestige is normatively irrelevant.</w:t>
      </w:r>
    </w:p>
    <w:p>
      <w:pPr>
        <w:spacing w:after="80"/>
        <w:ind w:firstLine="432"/>
        <w:jc w:val="both"/>
      </w:pPr>
      <w:r>
        <w:rPr>
          <w:sz w:val="22"/>
        </w:rPr>
        <w:t>The NBI F component provides a useful summary: for Llama 3.1 8B, a candidate from Universidad de Guayaquil (Anglo name) receives F=0.057, meaning a systematic 5.7% penalty on the normalized scale relative to the MIT baseline. This is not negligible in automated screening contexts where small score differences determine shortlisting.</w:t>
      </w:r>
    </w:p>
    <w:p>
      <w:pPr>
        <w:spacing w:before="120" w:after="40"/>
      </w:pPr>
      <w:r>
        <w:rPr>
          <w:b/>
          <w:sz w:val="22"/>
        </w:rPr>
        <w:t>5.2 The name-origin reversal</w:t>
      </w:r>
    </w:p>
    <w:p>
      <w:pPr>
        <w:spacing w:after="80"/>
        <w:ind w:firstLine="432"/>
        <w:jc w:val="both"/>
      </w:pPr>
      <w:r>
        <w:rPr>
          <w:sz w:val="22"/>
        </w:rPr>
        <w:t>The finding that Arabic and Latino names receive marginally higher scores than Anglo names (Δ &lt; 0.1 points, Study 1; confirmed in Study 2) is consistent with alignment training aimed at suppressing ethnic name bias. However, this interpretation is speculative: the effect is small, and no causal mechanism is established here. What the data clearly shows is that name-based discrimination, whatever its source, is substantially smaller than institutional prestige discrimination.</w:t>
      </w:r>
    </w:p>
    <w:p>
      <w:pPr>
        <w:spacing w:before="120" w:after="40"/>
      </w:pPr>
      <w:r>
        <w:rPr>
          <w:b/>
          <w:sz w:val="22"/>
        </w:rPr>
        <w:t>5.3 Role of the NBI framework</w:t>
      </w:r>
    </w:p>
    <w:p>
      <w:pPr>
        <w:spacing w:after="80"/>
        <w:ind w:firstLine="432"/>
        <w:jc w:val="both"/>
      </w:pPr>
      <w:r>
        <w:rPr>
          <w:sz w:val="22"/>
        </w:rPr>
        <w:t>The NBI &lt;T,I,F&gt; framework contributes in two ways. First, the F component isolates systematic downward bias from general score variance, which is important because high-variance evaluations (high I) can obscure systematic bias (high F) in mean-only analyses. Second, the I component reveals that low-prestige profiles generate more inconsistent evaluations — suggesting that models are less certain about how to score candidates from unfamiliar institutions, which itself is a form of epistemic disadvantage. Both insights are visible in Table 6: Anglo_T5 profiles show I=0.118–0.187, substantially higher than the reference (I=0.079–0.139).</w:t>
      </w:r>
    </w:p>
    <w:p>
      <w:pPr>
        <w:spacing w:before="120" w:after="40"/>
      </w:pPr>
      <w:r>
        <w:rPr>
          <w:b/>
          <w:sz w:val="22"/>
        </w:rPr>
        <w:t>5.4 Limitations</w:t>
      </w:r>
    </w:p>
    <w:p>
      <w:pPr>
        <w:spacing w:after="80"/>
        <w:ind w:firstLine="432"/>
        <w:jc w:val="both"/>
      </w:pPr>
      <w:r>
        <w:rPr>
          <w:sz w:val="22"/>
        </w:rPr>
        <w:t>This study has four main limitations. First, no formal statistical significance tests (t-test, ANOVA, bootstrap confidence intervals) are reported; effect sizes are presented as descriptive estimates. Second, the scenario texts include both institution name and city/country, so even Study 2 cannot fully eliminate geographic associations embedded in the institution names themselves. Third, all credentials are presented in English, which may interact with language-model associations in ways not captured here. Fourth, the institution sample is limited to four universities; generalizability to African, South Asian, or Eastern European institutions is unknown.</w:t>
      </w:r>
    </w:p>
    <w:p>
      <w:pPr>
        <w:spacing w:before="200" w:after="80"/>
      </w:pPr>
      <w:r>
        <w:rPr>
          <w:b/>
          <w:sz w:val="24"/>
        </w:rPr>
        <w:t>6. Conclusion</w:t>
      </w:r>
    </w:p>
    <w:p>
      <w:pPr>
        <w:spacing w:after="80"/>
        <w:ind w:firstLine="432"/>
        <w:jc w:val="both"/>
      </w:pPr>
      <w:r>
        <w:rPr>
          <w:sz w:val="22"/>
        </w:rPr>
        <w:t>Two factorial experiments with 2,880 total API calls across four LLMs and five professional domains show that: (1) LLMs assign systematically higher scores to candidates from prestigious institutions (cross-model gradient +0.297, Study 1); (2) this effect is primarily driven by prestige recognition, not country-of-origin stereotyping, as confirmed by the UNAM vs. Framingham State contrast in Study 2 (prestige effect +0.185 vs. country effect +0.126); (3) name-based ethnic discrimination is negligible (&lt;0.094); (4) the institutional prestige bias is largest in credit scoring and public policy — domains where it carries no normative justification. The Neutrosophic Bias Index captures both the magnitude (F) and inconsistency (I) of these effects, providing a richer characterization than point-estimate metrics. All code and data are publicly available at https://github.com/mleyvaz/geo-bias-llm.</w:t>
      </w:r>
    </w:p>
    <w:p>
      <w:pPr>
        <w:spacing w:before="200" w:after="80"/>
      </w:pPr>
      <w:r>
        <w:rPr>
          <w:b/>
          <w:sz w:val="24"/>
        </w:rPr>
        <w:t>References</w:t>
      </w:r>
    </w:p>
    <w:p>
      <w:pPr>
        <w:spacing w:after="40"/>
        <w:ind w:left="432" w:hanging="432"/>
      </w:pPr>
      <w:r>
        <w:rPr>
          <w:sz w:val="18"/>
        </w:rPr>
        <w:t>[1] Koepf, A. et al. (2024). OpenAssistant Conversations: Democratizing LLM Alignment. NeurIPS.</w:t>
      </w:r>
    </w:p>
    <w:p>
      <w:pPr>
        <w:spacing w:after="40"/>
        <w:ind w:left="432" w:hanging="432"/>
      </w:pPr>
      <w:r>
        <w:rPr>
          <w:sz w:val="18"/>
        </w:rPr>
        <w:t>[2] Tamkin, A. et al. (2023). Evaluating and Mitigating Discrimination in Language Model Decisions. arXiv:2312.03689.</w:t>
      </w:r>
    </w:p>
    <w:p>
      <w:pPr>
        <w:spacing w:after="40"/>
        <w:ind w:left="432" w:hanging="432"/>
      </w:pPr>
      <w:r>
        <w:rPr>
          <w:sz w:val="18"/>
        </w:rPr>
        <w:t>[3] Salinas, A. et al. (2023). Unequal Representations: Analyzing Intersectional Biases in NLP. arXiv:2306.11521.</w:t>
      </w:r>
    </w:p>
    <w:p>
      <w:pPr>
        <w:spacing w:after="40"/>
        <w:ind w:left="432" w:hanging="432"/>
      </w:pPr>
      <w:r>
        <w:rPr>
          <w:sz w:val="18"/>
        </w:rPr>
        <w:t>[4] Wan, Y. et al. (2023). Kelly is a Warm Person, Joseph is a Role Model: Gender Biases in LLM-Generated Reference Letters. EMNLP Findings.</w:t>
      </w:r>
    </w:p>
    <w:p>
      <w:pPr>
        <w:spacing w:after="40"/>
        <w:ind w:left="432" w:hanging="432"/>
      </w:pPr>
      <w:r>
        <w:rPr>
          <w:sz w:val="18"/>
        </w:rPr>
        <w:t>[5] Leyva-Vazquez, M. (2026). Institutional Prestige as Geographic Bias in LLMs: A Neutrosophic Factorial Experiment. NCML (pilot study).</w:t>
      </w:r>
    </w:p>
    <w:p>
      <w:pPr>
        <w:spacing w:after="40"/>
        <w:ind w:left="432" w:hanging="432"/>
      </w:pPr>
      <w:r>
        <w:rPr>
          <w:sz w:val="18"/>
        </w:rPr>
        <w:t>[6] Naous, T. et al. (2024). Having Beer after Prayer? Measuring Cultural Bias in Large Language Models. ACL.</w:t>
      </w:r>
    </w:p>
    <w:p>
      <w:pPr>
        <w:spacing w:after="40"/>
        <w:ind w:left="432" w:hanging="432"/>
      </w:pPr>
      <w:r>
        <w:rPr>
          <w:sz w:val="18"/>
        </w:rPr>
        <w:t>[7] Cao, Y. et al. (2023). Assessing Cross-Cultural Alignment between ChatGPT and Human Societies. C3NLP Workshop.</w:t>
      </w:r>
    </w:p>
    <w:p>
      <w:pPr>
        <w:spacing w:after="40"/>
        <w:ind w:left="432" w:hanging="432"/>
      </w:pPr>
      <w:r>
        <w:rPr>
          <w:sz w:val="18"/>
        </w:rPr>
        <w:t>[8] Smarandache, F. (2005). A Unifying Field in Logics: Neutrosophic Logic. American Research Press.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