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32"/>
        </w:rPr>
        <w:t>Institutional Prestige as Geographic Bias in Large Language Models:</w:t>
        <w:br/>
        <w:t>A Neutrosophic Factorial Experiment</w:t>
      </w:r>
    </w:p>
    <w:p>
      <w:pPr>
        <w:spacing w:after="60"/>
        <w:jc w:val="center"/>
      </w:pPr>
      <w:r>
        <w:rPr>
          <w:rFonts w:ascii="Times New Roman" w:hAnsi="Times New Roman"/>
          <w:b/>
          <w:i w:val="0"/>
          <w:sz w:val="24"/>
        </w:rPr>
        <w:t>Maikel Leyva-Vazquez</w:t>
      </w:r>
      <w:r>
        <w:rPr>
          <w:rFonts w:ascii="Times New Roman" w:hAnsi="Times New Roman"/>
          <w:b/>
          <w:i w:val="0"/>
          <w:sz w:val="24"/>
        </w:rPr>
      </w:r>
      <w:r>
        <w:rPr>
          <w:rFonts w:ascii="Times New Roman" w:hAnsi="Times New Roman"/>
          <w:b/>
          <w:i w:val="0"/>
          <w:sz w:val="24"/>
        </w:rPr>
      </w:r>
    </w:p>
    <w:p>
      <w:pPr>
        <w:spacing w:after="40"/>
        <w:jc w:val="center"/>
      </w:pPr>
      <w:r>
        <w:rPr>
          <w:rFonts w:ascii="Times New Roman" w:hAnsi="Times New Roman"/>
          <w:b w:val="0"/>
          <w:i/>
          <w:sz w:val="20"/>
        </w:rPr>
        <w:t>1 Universidad Bolivariana del Ecuador, Guayaquil, Ecuador</w:t>
      </w:r>
    </w:p>
    <w:p>
      <w:pPr>
        <w:spacing w:after="40"/>
        <w:jc w:val="center"/>
      </w:pPr>
      <w:r>
        <w:rPr>
          <w:rFonts w:ascii="Times New Roman" w:hAnsi="Times New Roman"/>
          <w:b w:val="0"/>
          <w:i/>
          <w:sz w:val="20"/>
        </w:rPr>
        <w:t>2 Universidad de Guayaquil, Guayaquil, Ecuador</w:t>
      </w:r>
    </w:p>
    <w:p>
      <w:pPr>
        <w:spacing w:after="40"/>
        <w:jc w:val="center"/>
      </w:pPr>
      <w:r>
        <w:rPr>
          <w:rFonts w:ascii="Times New Roman" w:hAnsi="Times New Roman"/>
          <w:b w:val="0"/>
          <w:i/>
          <w:sz w:val="20"/>
        </w:rPr>
      </w:r>
    </w:p>
    <w:p/>
    <w:p>
      <w:pPr>
        <w:pStyle w:val="Heading1"/>
        <w:spacing w:before="120" w:after="120"/>
        <w:jc w:val="left"/>
      </w:pPr>
      <w:r>
        <w:rPr>
          <w:rFonts w:ascii="Times New Roman" w:hAnsi="Times New Roman"/>
          <w:b/>
          <w:sz w:val="26"/>
        </w:rPr>
        <w:t>Abstract</w:t>
      </w:r>
    </w:p>
    <w:p>
      <w:pPr>
        <w:spacing w:before="0" w:after="120"/>
        <w:ind w:firstLine="0"/>
        <w:jc w:val="both"/>
      </w:pPr>
      <w:r>
        <w:rPr>
          <w:rFonts w:ascii="Times New Roman" w:hAnsi="Times New Roman"/>
          <w:b w:val="0"/>
          <w:i w:val="0"/>
          <w:sz w:val="24"/>
        </w:rPr>
        <w:t>Large language models (LLMs) are increasingly deployed as decision support tools in high-stakes domains such as scholarship evaluation, employment screening, credit assessment, clinical triage, and public policy analysis. As these systems gain influence over life-consequential outcomes, understanding the nature and distribution of their latent biases becomes a matter of both scientific and ethical urgency. Prior work has examined biases linked to demographic names and protected attributes, yet a subtler and potentially more pervasive vector -- the prestige and geographic location of the applicant institution -- has received comparatively little systematic attention. This paper presents a controlled 2x2 factorial experiment that orthogonally varies applicant name (Anglo-Saxon vs. Latino) and institutional affiliation (Tier 1, USA vs. Tier 5, Ecuador) across 30 evaluation stimuli per profile, five high-stakes domains, and four frontier LLMs (Claude Haiku 4.5, GPT-4o-mini, Gemini 2.0 Flash, Llama 3.1 8B), yielding 480 API evaluations via OpenRouter. We introduce the Neutrosophic Bias Index (NBI), a triplet &lt;T, I, F&gt; derived from single-valued neutrosophic number theory, which decomposes model behavior into a truth (central tendency), indeterminacy (variability), and falsity (relative deprivation) component. Results reveal a consistent, cross-model institution effect of +0.221 (Tier 1 over Tier 5) while the name effect is negligible at -0.079. Institutional prestige operates as a global quality proxy even in domains where it is not rationally relevant, pointing to a geographic form of algorithmic discrimination that standard name-audit approaches fail to detect. Implications for AI fairness in Latin America and directions for future large-scale auditing are discussed.</w:t>
      </w:r>
    </w:p>
    <w:p>
      <w:pPr>
        <w:spacing w:after="200"/>
      </w:pPr>
      <w:r>
        <w:rPr>
          <w:rFonts w:ascii="Times New Roman" w:hAnsi="Times New Roman"/>
          <w:b/>
          <w:i w:val="0"/>
          <w:sz w:val="24"/>
        </w:rPr>
        <w:t xml:space="preserve">Keywords: </w:t>
      </w:r>
      <w:r>
        <w:rPr>
          <w:rFonts w:ascii="Times New Roman" w:hAnsi="Times New Roman"/>
          <w:b w:val="0"/>
          <w:i/>
          <w:sz w:val="24"/>
        </w:rPr>
        <w:t>geographic bias; institutional prestige; large language models; neutrosophic logic; algorithmic fairness; Latin America; factorial audit</w:t>
      </w:r>
    </w:p>
    <w:p>
      <w:pPr>
        <w:pStyle w:val="Heading1"/>
        <w:spacing w:before="280" w:after="120"/>
        <w:jc w:val="left"/>
      </w:pPr>
      <w:r>
        <w:rPr>
          <w:rFonts w:ascii="Times New Roman" w:hAnsi="Times New Roman"/>
          <w:b/>
          <w:sz w:val="26"/>
        </w:rPr>
        <w:t>1. Introduction</w:t>
      </w:r>
    </w:p>
    <w:p>
      <w:pPr>
        <w:spacing w:before="0" w:after="120"/>
        <w:ind w:firstLine="340"/>
        <w:jc w:val="both"/>
      </w:pPr>
      <w:r>
        <w:rPr>
          <w:rFonts w:ascii="Times New Roman" w:hAnsi="Times New Roman"/>
          <w:b w:val="0"/>
          <w:i w:val="0"/>
          <w:sz w:val="24"/>
        </w:rPr>
        <w:t>The integration of large language models into consequential decision-making pipelines represents one of the most significant institutional transformations of the current decade. Hiring managers use LLM-powered tools to screen resumes and rank candidates; universities deploy AI assistants to evaluate scholarship applications; financial institutions employ language model outputs in credit risk narratives; and health systems increasingly consider AI-generated assessments as a triage input. In each of these contexts, systematic biases embedded in model behavior translate directly into differential outcomes for real individuals and communities.</w:t>
      </w:r>
    </w:p>
    <w:p>
      <w:pPr>
        <w:spacing w:before="0" w:after="120"/>
        <w:ind w:firstLine="340"/>
        <w:jc w:val="both"/>
      </w:pPr>
      <w:r>
        <w:rPr>
          <w:rFonts w:ascii="Times New Roman" w:hAnsi="Times New Roman"/>
          <w:b w:val="0"/>
          <w:i w:val="0"/>
          <w:sz w:val="24"/>
        </w:rPr>
        <w:t>A substantial body of research has documented that LLMs inherit and amplify biases present in their training corpora. The seminal work of Bertrand and Mullainathan [3] demonstrated, using audit correspondence studies, that applicants with African-American-sounding names received significantly fewer callbacks for employment than identical resumes bearing Anglo-Saxon names. Subsequent work adapted this paradigm to algorithmic systems, finding that resume-processing models, text classifiers, and generative LLMs exhibit analogous name-based disparities [5]. These findings have motivated regulatory attention and a growing literature on fairness metrics, debiasing techniques, and auditing protocols [2, 4].</w:t>
      </w:r>
    </w:p>
    <w:p>
      <w:pPr>
        <w:spacing w:before="0" w:after="120"/>
        <w:ind w:firstLine="340"/>
        <w:jc w:val="both"/>
      </w:pPr>
      <w:r>
        <w:rPr>
          <w:rFonts w:ascii="Times New Roman" w:hAnsi="Times New Roman"/>
          <w:b w:val="0"/>
          <w:i w:val="0"/>
          <w:sz w:val="24"/>
        </w:rPr>
        <w:t>However, name-based auditing captures only one dimension of the broader problem of algorithmic discrimination. In a globalized world, the geographic and institutional provenance of a credential constitutes an equally potent -- and less-studied -- signal. When a model evaluates a candidate whose highest degree was obtained at Columbia University in New York versus one from the Universidad de Guayaquil in Ecuador, the model may systematically favor the former not because of any explicit demographic attribute, but because its training corpus reflects the disproportionate global prestige of Northern institutions. This form of bias is particularly insidious because it can be rationalized as a legitimate inference in some contexts (e.g., research grant allocation) while being entirely illegitimate in others (e.g., credit scoring or clinical competence evaluation).</w:t>
      </w:r>
    </w:p>
    <w:p>
      <w:pPr>
        <w:spacing w:before="0" w:after="120"/>
        <w:ind w:firstLine="340"/>
        <w:jc w:val="both"/>
      </w:pPr>
      <w:r>
        <w:rPr>
          <w:rFonts w:ascii="Times New Roman" w:hAnsi="Times New Roman"/>
          <w:b w:val="0"/>
          <w:i w:val="0"/>
          <w:sz w:val="24"/>
        </w:rPr>
        <w:t>This paper makes three principal contributions. First, we design and execute a controlled 2x2 factorial experiment that orthogonally separates the name effect from the institution effect across four frontier LLMs and five high-stakes evaluation domains, yielding 480 structured API evaluations. Second, we introduce the Neutrosophic Bias Index (NBI), a formally grounded measurement instrument rooted in single-valued neutrosophic number theory [1], which decomposes model behavior into truth, indeterminacy, and falsity components, providing richer diagnostic information than scalar bias metrics. Third, we demonstrate empirically that institutional prestige -- a proxy for geographic provenance -- is the dominant vector of bias across all four models tested, while ethnic name discrimination is negligible or absent. This finding has immediate implications for AI fairness practice in Latin America and other peripheral regions underrepresented in global AI training pipelines.</w:t>
      </w:r>
    </w:p>
    <w:p>
      <w:pPr>
        <w:pStyle w:val="Heading1"/>
        <w:spacing w:before="280" w:after="120"/>
        <w:jc w:val="left"/>
      </w:pPr>
      <w:r>
        <w:rPr>
          <w:rFonts w:ascii="Times New Roman" w:hAnsi="Times New Roman"/>
          <w:b/>
          <w:sz w:val="26"/>
        </w:rPr>
        <w:t>2. Related Work</w:t>
      </w:r>
    </w:p>
    <w:p>
      <w:pPr>
        <w:spacing w:before="0" w:after="120"/>
        <w:ind w:firstLine="340"/>
        <w:jc w:val="both"/>
      </w:pPr>
      <w:r>
        <w:rPr>
          <w:rFonts w:ascii="Times New Roman" w:hAnsi="Times New Roman"/>
          <w:b w:val="0"/>
          <w:i w:val="0"/>
          <w:sz w:val="24"/>
        </w:rPr>
        <w:t>The study of bias in natural language processing systems has matured into a substantial subfield with dedicated workshops, benchmarks, and survey literature. Gallegos et al. [2] provide a comprehensive taxonomy of bias types in LLMs, distinguishing representation bias (differential frequencies of demographic groups in generated text), evaluation bias (differential quality ratings assigned to equivalent outputs), and harm bias (differential rates of harmful content generated for different groups). Their survey documents that biases along racial, gender, national, and religious lines are pervasive across model families and persist despite alignment interventions.</w:t>
      </w:r>
    </w:p>
    <w:p>
      <w:pPr>
        <w:spacing w:before="0" w:after="120"/>
        <w:ind w:firstLine="340"/>
        <w:jc w:val="both"/>
      </w:pPr>
      <w:r>
        <w:rPr>
          <w:rFonts w:ascii="Times New Roman" w:hAnsi="Times New Roman"/>
          <w:b w:val="0"/>
          <w:i w:val="0"/>
          <w:sz w:val="24"/>
        </w:rPr>
        <w:t>Blodgett et al. [4] offer a critical examination of the normative assumptions embedded in bias research, arguing that many technical definitions of fairness are poorly aligned with the social phenomena of discrimination that motivate the enterprise. They advocate for closer engagement between NLP researchers and affected communities, a call that is particularly salient for the present study, which is motivated by the experiences of researchers and applicants from Latin American institutions who face structural disadvantages in globally evaluated contexts. Wan et al. [5] apply this agenda directly to hiring scenarios, showing that frontier LLMs systematically disadvantage female and minority applicants in resume evaluation tasks, even when prompted with explicit fairness instructions.</w:t>
      </w:r>
    </w:p>
    <w:p>
      <w:pPr>
        <w:spacing w:before="0" w:after="120"/>
        <w:ind w:firstLine="340"/>
        <w:jc w:val="both"/>
      </w:pPr>
      <w:r>
        <w:rPr>
          <w:rFonts w:ascii="Times New Roman" w:hAnsi="Times New Roman"/>
          <w:b w:val="0"/>
          <w:i w:val="0"/>
          <w:sz w:val="24"/>
        </w:rPr>
        <w:t>Geographic and institutional dimensions of AI bias have received less systematic attention. Ferrara [6] raises the broader concern that LLMs trained predominantly on English-language, Western-origin data embed cultural and geographic biases that disadvantage Global South populations, but stops short of empirical quantification. The present work directly addresses this gap by operationalizing institutional prestige as an experimental factor in a controlled audit design. The use of institutions from the United States and Ecuador as reference poles reflects a concrete, policy-relevant contrast between globally dominant institutions and regionally respected but globally peripheral universities.</w:t>
      </w:r>
    </w:p>
    <w:p>
      <w:pPr>
        <w:spacing w:before="0" w:after="120"/>
        <w:ind w:firstLine="340"/>
        <w:jc w:val="both"/>
      </w:pPr>
      <w:r>
        <w:rPr>
          <w:rFonts w:ascii="Times New Roman" w:hAnsi="Times New Roman"/>
          <w:b w:val="0"/>
          <w:i w:val="0"/>
          <w:sz w:val="24"/>
        </w:rPr>
        <w:t>On the measurement side, neutrosophic frameworks have been applied to uncertainty quantification in artificial intelligence, multi-criteria decision making, and epistemic auditing [1, 7]. Smarandache neutrosophic logic [1] extends classical and fuzzy logic by introducing an explicit indeterminacy component I, enabling the representation of states that are simultaneously partially true, partially unknown, and partially false -- a natural fit for modeling the ambiguous and context-dependent nature of LLM bias. Leyva-Vazquez et al. [7] applied neutrosophic dynamic epistemic logic to LLM hallucination detection, establishing a precedent for neutrosophic bias auditing. The present work extends this line by constructing the NBI as a practically deployable metric grounded in experimental data. Kearns and Roth [8] provide the broader ethical framework within which our results should be interpreted, emphasizing that algorithmic accountability requires both technical metrics and institutional governance.</w:t>
      </w:r>
    </w:p>
    <w:p>
      <w:pPr>
        <w:pStyle w:val="Heading1"/>
        <w:spacing w:before="280" w:after="120"/>
        <w:jc w:val="left"/>
      </w:pPr>
      <w:r>
        <w:rPr>
          <w:rFonts w:ascii="Times New Roman" w:hAnsi="Times New Roman"/>
          <w:b/>
          <w:sz w:val="26"/>
        </w:rPr>
        <w:t>3. Methodology</w:t>
      </w:r>
    </w:p>
    <w:p>
      <w:pPr>
        <w:pStyle w:val="Heading2"/>
        <w:spacing w:before="120" w:after="120"/>
        <w:jc w:val="left"/>
      </w:pPr>
      <w:r>
        <w:rPr>
          <w:rFonts w:ascii="Times New Roman" w:hAnsi="Times New Roman"/>
          <w:b/>
          <w:sz w:val="24"/>
        </w:rPr>
        <w:t>3.1 Neutrosophic Bias Index (NBI)</w:t>
      </w:r>
    </w:p>
    <w:p>
      <w:pPr>
        <w:spacing w:before="0" w:after="120"/>
        <w:ind w:firstLine="340"/>
        <w:jc w:val="both"/>
      </w:pPr>
      <w:r>
        <w:rPr>
          <w:rFonts w:ascii="Times New Roman" w:hAnsi="Times New Roman"/>
          <w:b w:val="0"/>
          <w:i w:val="0"/>
          <w:sz w:val="24"/>
        </w:rPr>
        <w:t>We define the Neutrosophic Bias Index as a single-valued neutrosophic number sigma = &lt;T, I, F&gt; where each component takes a value in [0, 1] and the constraint T + I + F &lt;= 1 is enforced. The three components are computed from a set of numerical evaluations generated by a model for a given candidate profile as follows.</w:t>
      </w:r>
    </w:p>
    <w:p>
      <w:pPr>
        <w:spacing w:before="0" w:after="120"/>
        <w:ind w:firstLine="340"/>
        <w:jc w:val="both"/>
      </w:pPr>
      <w:r>
        <w:rPr>
          <w:rFonts w:ascii="Times New Roman" w:hAnsi="Times New Roman"/>
          <w:b w:val="0"/>
          <w:i w:val="0"/>
          <w:sz w:val="24"/>
        </w:rPr>
        <w:t>The truth component T represents the normalized central tendency of model evaluations for the profile under assessment: T = mean_score / 10, where scores are solicited on a 1-10 integer scale. A higher T indicates more favorable average model treatment. The indeterminacy component I captures the internal variability of the model assessments, reflecting inconsistency or uncertainty in its evaluative behavior: I = std_score / 5, where 5 is chosen as a normalizing constant corresponding to the maximum theoretically plausible standard deviation on a bounded 1-10 scale. The falsity component F quantifies relative deprivation with respect to a reference profile: F = max(0, (ref_mean - mean_score) / 10), where ref_mean is the mean score of the Anglo_T1 profile (Anglo name, Tier 1 institution) serving as the privileged reference. F is zero for the reference profile itself and positive for profiles that receive systematically lower evaluations. The constraint T + I + F &lt;= 1 is verified post-hoc; in all cases observed in this experiment, the constraint is satisfied.</w:t>
      </w:r>
    </w:p>
    <w:p>
      <w:pPr>
        <w:spacing w:before="0" w:after="120"/>
        <w:ind w:firstLine="340"/>
        <w:jc w:val="both"/>
      </w:pPr>
      <w:r>
        <w:rPr>
          <w:rFonts w:ascii="Times New Roman" w:hAnsi="Times New Roman"/>
          <w:b w:val="0"/>
          <w:i w:val="0"/>
          <w:sz w:val="24"/>
        </w:rPr>
        <w:t>This decomposition is epistemically meaningful: T reflects what the model affirmatively grants to a profile, I reflects the uncertainty or inconsistency inherent in its judgments, and F reflects what is withheld relative to a privileged baseline. Together, they provide a richer diagnostic signature than a simple mean-difference bias estimate.</w:t>
      </w:r>
    </w:p>
    <w:p>
      <w:pPr>
        <w:pStyle w:val="Heading2"/>
        <w:spacing w:before="120" w:after="120"/>
        <w:jc w:val="left"/>
      </w:pPr>
      <w:r>
        <w:rPr>
          <w:rFonts w:ascii="Times New Roman" w:hAnsi="Times New Roman"/>
          <w:b/>
          <w:sz w:val="24"/>
        </w:rPr>
        <w:t>3.2 Experimental Design</w:t>
      </w:r>
    </w:p>
    <w:p>
      <w:pPr>
        <w:spacing w:before="0" w:after="120"/>
        <w:ind w:firstLine="340"/>
        <w:jc w:val="both"/>
      </w:pPr>
      <w:r>
        <w:rPr>
          <w:rFonts w:ascii="Times New Roman" w:hAnsi="Times New Roman"/>
          <w:b w:val="0"/>
          <w:i w:val="0"/>
          <w:sz w:val="24"/>
        </w:rPr>
        <w:t>The experiment employs a 2x2 factorial design with two between-profile factors: Factor A (Name) with levels Anglo ('John Smith') and Latino ('Juan Carlos Rodriguez'), and Factor B (Institution) with levels Tier 1 ('Columbia University, New York, USA') and Tier 5 ('Universidad de Guayaquil, Ecuador'). The factorial crossing yields four profiles: Anglo_T1, Latino_T1, Anglo_T5, and Latino_T5. Each profile is evaluated across five high-stakes decision domains: scholarship application review, employment hiring recommendation, consumer credit assessment, clinical health evaluation, and public policy analysis. Within each domain, six distinct evaluation scenarios were constructed, producing 30 stimuli per profile. Across four LLMs, this yields a total of 480 API evaluation calls.</w:t>
      </w:r>
    </w:p>
    <w:p>
      <w:pPr>
        <w:spacing w:before="0" w:after="120"/>
        <w:ind w:firstLine="340"/>
        <w:jc w:val="both"/>
      </w:pPr>
      <w:r>
        <w:rPr>
          <w:rFonts w:ascii="Times New Roman" w:hAnsi="Times New Roman"/>
          <w:b w:val="0"/>
          <w:i w:val="0"/>
          <w:sz w:val="24"/>
        </w:rPr>
        <w:t>Each stimulus presents the evaluating LLM with a standardized role description appropriate to the domain -- for example, a scholarship committee member in the scholarship domain, a hiring manager in the employment domain, a loan officer in the credit domain, a clinical reviewer in the health domain, and a policy analyst in the public policy domain. The stimulus then presents the candidate name, institutional affiliation, and a brief context-specific description, requesting a numerical score from 1 to 10 with a brief justification. All variables other than Name and Institution are held constant across conditions; specifically, the described credentials, years of experience, stated achievements, and evaluation criteria are identical across the four profiles within each scenario.</w:t>
      </w:r>
    </w:p>
    <w:p>
      <w:pPr>
        <w:spacing w:before="0" w:after="120"/>
        <w:ind w:firstLine="340"/>
        <w:jc w:val="both"/>
      </w:pPr>
      <w:r>
        <w:rPr>
          <w:rFonts w:ascii="Times New Roman" w:hAnsi="Times New Roman"/>
          <w:b w:val="0"/>
          <w:i w:val="0"/>
          <w:sz w:val="24"/>
        </w:rPr>
        <w:t>Prompt standardization is critical for the validity of the factorial design. Each prompt is constructed from a fixed template in which Name and Institution are the sole variable elements. To minimize order effects, stimuli were presented independently rather than as a batch, and each API call was stateless. The five domains were selected to span contexts that vary in the rational relevance of institutional affiliation: it is arguably relevant in scholarship evaluation, partially relevant in hiring, marginally relevant in credit, largely irrelevant in clinical competence evaluation, and context-dependent in public policy. This variation enables a post-hoc analysis of whether the institution effect attenuates appropriately in domains where it provides less legitimate inferential value.</w:t>
      </w:r>
    </w:p>
    <w:p>
      <w:pPr>
        <w:pStyle w:val="Heading2"/>
        <w:spacing w:before="120" w:after="120"/>
        <w:jc w:val="left"/>
      </w:pPr>
      <w:r>
        <w:rPr>
          <w:rFonts w:ascii="Times New Roman" w:hAnsi="Times New Roman"/>
          <w:b/>
          <w:sz w:val="24"/>
        </w:rPr>
        <w:t>3.3 Models and Infrastructure</w:t>
      </w:r>
    </w:p>
    <w:p>
      <w:pPr>
        <w:spacing w:before="0" w:after="120"/>
        <w:ind w:firstLine="340"/>
        <w:jc w:val="both"/>
      </w:pPr>
      <w:r>
        <w:rPr>
          <w:rFonts w:ascii="Times New Roman" w:hAnsi="Times New Roman"/>
          <w:b w:val="0"/>
          <w:i w:val="0"/>
          <w:sz w:val="24"/>
        </w:rPr>
        <w:t>Four frontier LLMs were included in the experiment: Claude Haiku 4.5 (Anthropic), GPT-4o-mini (OpenAI), Gemini 2.0 Flash (Google DeepMind), and Llama 3.1 8B (Meta). This selection reflects deliberate diversity across corporate provenance and model scale, enabling cross-model comparisons that are informative about whether observed effects are model-specific or systemic. All API calls were routed through the OpenRouter unified inference gateway, ensuring consistent request formatting and latency profiles. Temperature was fixed at 0.1 across all calls to maximize reproducibility and minimize stochastic variation in scores. Responses were parsed with a regular expression targeting the first integer in the range 1-10 appearing in the model output; calls that did not yield a parseable score were flagged and excluded from analysis (no exclusions were required in the reported experiment). All experiment code, prompts, and raw results are available in the accompanying open repository.</w:t>
      </w:r>
    </w:p>
    <w:p>
      <w:pPr>
        <w:pStyle w:val="Heading1"/>
        <w:spacing w:before="280" w:after="120"/>
        <w:jc w:val="left"/>
      </w:pPr>
      <w:r>
        <w:rPr>
          <w:rFonts w:ascii="Times New Roman" w:hAnsi="Times New Roman"/>
          <w:b/>
          <w:sz w:val="26"/>
        </w:rPr>
        <w:t>4. Results</w:t>
      </w:r>
    </w:p>
    <w:p>
      <w:pPr>
        <w:spacing w:before="0" w:after="120"/>
        <w:ind w:firstLine="340"/>
        <w:jc w:val="both"/>
      </w:pPr>
      <w:r>
        <w:rPr>
          <w:rFonts w:ascii="Times New Roman" w:hAnsi="Times New Roman"/>
          <w:b w:val="0"/>
          <w:i w:val="0"/>
          <w:sz w:val="24"/>
        </w:rPr>
        <w:t>We present results across four complementary perspectives: mean evaluation scores by profile and model (Table 1), factorial main effects (Table 2), domain-level gaps between the most privileged and most disadvantaged profiles (Table 3), and the NBI decomposition for the reference and most disadvantaged profiles (Table 4).</w:t>
      </w:r>
    </w:p>
    <w:p>
      <w:pPr>
        <w:spacing w:before="120" w:after="80"/>
        <w:jc w:val="center"/>
      </w:pPr>
      <w:r>
        <w:rPr>
          <w:rFonts w:ascii="Times New Roman" w:hAnsi="Times New Roman"/>
          <w:b/>
          <w:i w:val="0"/>
          <w:sz w:val="22"/>
        </w:rPr>
        <w:t>Table 1. Mean evaluation scores (1-10 scale) by profile and model.</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shd w:val="clear" w:color="auto" w:fill="BDD7EE"/>
          </w:tcPr>
          <w:p>
            <w:pPr>
              <w:jc w:val="center"/>
            </w:pPr>
            <w:r/>
            <w:r>
              <w:rPr>
                <w:rFonts w:ascii="Times New Roman" w:hAnsi="Times New Roman"/>
                <w:b/>
                <w:i w:val="0"/>
                <w:sz w:val="22"/>
              </w:rPr>
              <w:t>Profile</w:t>
            </w:r>
          </w:p>
        </w:tc>
        <w:tc>
          <w:tcPr>
            <w:tcW w:type="dxa" w:w="1568"/>
            <w:shd w:val="clear" w:color="auto" w:fill="BDD7EE"/>
          </w:tcPr>
          <w:p>
            <w:pPr>
              <w:jc w:val="center"/>
            </w:pPr>
            <w:r/>
            <w:r>
              <w:rPr>
                <w:rFonts w:ascii="Times New Roman" w:hAnsi="Times New Roman"/>
                <w:b/>
                <w:i w:val="0"/>
                <w:sz w:val="22"/>
              </w:rPr>
              <w:t>Claude Haiku 4.5</w:t>
            </w:r>
          </w:p>
        </w:tc>
        <w:tc>
          <w:tcPr>
            <w:tcW w:type="dxa" w:w="1568"/>
            <w:shd w:val="clear" w:color="auto" w:fill="BDD7EE"/>
          </w:tcPr>
          <w:p>
            <w:pPr>
              <w:jc w:val="center"/>
            </w:pPr>
            <w:r/>
            <w:r>
              <w:rPr>
                <w:rFonts w:ascii="Times New Roman" w:hAnsi="Times New Roman"/>
                <w:b/>
                <w:i w:val="0"/>
                <w:sz w:val="22"/>
              </w:rPr>
              <w:t>GPT-4o-mini</w:t>
            </w:r>
          </w:p>
        </w:tc>
        <w:tc>
          <w:tcPr>
            <w:tcW w:type="dxa" w:w="1568"/>
            <w:shd w:val="clear" w:color="auto" w:fill="BDD7EE"/>
          </w:tcPr>
          <w:p>
            <w:pPr>
              <w:jc w:val="center"/>
            </w:pPr>
            <w:r/>
            <w:r>
              <w:rPr>
                <w:rFonts w:ascii="Times New Roman" w:hAnsi="Times New Roman"/>
                <w:b/>
                <w:i w:val="0"/>
                <w:sz w:val="22"/>
              </w:rPr>
              <w:t>Gemini 2.0 Flash</w:t>
            </w:r>
          </w:p>
        </w:tc>
        <w:tc>
          <w:tcPr>
            <w:tcW w:type="dxa" w:w="1568"/>
            <w:shd w:val="clear" w:color="auto" w:fill="BDD7EE"/>
          </w:tcPr>
          <w:p>
            <w:pPr>
              <w:jc w:val="center"/>
            </w:pPr>
            <w:r/>
            <w:r>
              <w:rPr>
                <w:rFonts w:ascii="Times New Roman" w:hAnsi="Times New Roman"/>
                <w:b/>
                <w:i w:val="0"/>
                <w:sz w:val="22"/>
              </w:rPr>
              <w:t>Llama 3.1 8B</w:t>
            </w:r>
          </w:p>
        </w:tc>
        <w:tc>
          <w:tcPr>
            <w:tcW w:type="dxa" w:w="1568"/>
            <w:shd w:val="clear" w:color="auto" w:fill="BDD7EE"/>
          </w:tcPr>
          <w:p>
            <w:pPr>
              <w:jc w:val="center"/>
            </w:pPr>
            <w:r/>
            <w:r>
              <w:rPr>
                <w:rFonts w:ascii="Times New Roman" w:hAnsi="Times New Roman"/>
                <w:b/>
                <w:i w:val="0"/>
                <w:sz w:val="22"/>
              </w:rPr>
              <w:t>Overall Mean</w:t>
            </w:r>
          </w:p>
        </w:tc>
      </w:tr>
      <w:tr>
        <w:tc>
          <w:tcPr>
            <w:tcW w:type="dxa" w:w="1568"/>
          </w:tcPr>
          <w:p>
            <w:pPr>
              <w:jc w:val="left"/>
            </w:pPr>
            <w:r/>
            <w:r>
              <w:rPr>
                <w:rFonts w:ascii="Times New Roman" w:hAnsi="Times New Roman"/>
                <w:b w:val="0"/>
                <w:i w:val="0"/>
                <w:sz w:val="22"/>
              </w:rPr>
              <w:t>Anglo_T1</w:t>
            </w:r>
          </w:p>
        </w:tc>
        <w:tc>
          <w:tcPr>
            <w:tcW w:type="dxa" w:w="1568"/>
          </w:tcPr>
          <w:p>
            <w:pPr>
              <w:jc w:val="center"/>
            </w:pPr>
            <w:r/>
            <w:r>
              <w:rPr>
                <w:rFonts w:ascii="Times New Roman" w:hAnsi="Times New Roman"/>
                <w:b w:val="0"/>
                <w:i w:val="0"/>
                <w:sz w:val="22"/>
              </w:rPr>
              <w:t>7.200</w:t>
            </w:r>
          </w:p>
        </w:tc>
        <w:tc>
          <w:tcPr>
            <w:tcW w:type="dxa" w:w="1568"/>
          </w:tcPr>
          <w:p>
            <w:pPr>
              <w:jc w:val="center"/>
            </w:pPr>
            <w:r/>
            <w:r>
              <w:rPr>
                <w:rFonts w:ascii="Times New Roman" w:hAnsi="Times New Roman"/>
                <w:b w:val="0"/>
                <w:i w:val="0"/>
                <w:sz w:val="22"/>
              </w:rPr>
              <w:t>8.333</w:t>
            </w:r>
          </w:p>
        </w:tc>
        <w:tc>
          <w:tcPr>
            <w:tcW w:type="dxa" w:w="1568"/>
          </w:tcPr>
          <w:p>
            <w:pPr>
              <w:jc w:val="center"/>
            </w:pPr>
            <w:r/>
            <w:r>
              <w:rPr>
                <w:rFonts w:ascii="Times New Roman" w:hAnsi="Times New Roman"/>
                <w:b w:val="0"/>
                <w:i w:val="0"/>
                <w:sz w:val="22"/>
              </w:rPr>
              <w:t>7.333</w:t>
            </w:r>
          </w:p>
        </w:tc>
        <w:tc>
          <w:tcPr>
            <w:tcW w:type="dxa" w:w="1568"/>
          </w:tcPr>
          <w:p>
            <w:pPr>
              <w:jc w:val="center"/>
            </w:pPr>
            <w:r/>
            <w:r>
              <w:rPr>
                <w:rFonts w:ascii="Times New Roman" w:hAnsi="Times New Roman"/>
                <w:b w:val="0"/>
                <w:i w:val="0"/>
                <w:sz w:val="22"/>
              </w:rPr>
              <w:t>7.500</w:t>
            </w:r>
          </w:p>
        </w:tc>
        <w:tc>
          <w:tcPr>
            <w:tcW w:type="dxa" w:w="1568"/>
          </w:tcPr>
          <w:p>
            <w:pPr>
              <w:jc w:val="center"/>
            </w:pPr>
            <w:r/>
            <w:r>
              <w:rPr>
                <w:rFonts w:ascii="Times New Roman" w:hAnsi="Times New Roman"/>
                <w:b w:val="0"/>
                <w:i w:val="0"/>
                <w:sz w:val="22"/>
              </w:rPr>
              <w:t>7.592</w:t>
            </w:r>
          </w:p>
        </w:tc>
      </w:tr>
      <w:tr>
        <w:tc>
          <w:tcPr>
            <w:tcW w:type="dxa" w:w="1568"/>
            <w:shd w:val="clear" w:color="auto" w:fill="F2F2F2"/>
          </w:tcPr>
          <w:p>
            <w:pPr>
              <w:jc w:val="left"/>
            </w:pPr>
            <w:r/>
            <w:r>
              <w:rPr>
                <w:rFonts w:ascii="Times New Roman" w:hAnsi="Times New Roman"/>
                <w:b w:val="0"/>
                <w:i w:val="0"/>
                <w:sz w:val="22"/>
              </w:rPr>
              <w:t>Latino_T1</w:t>
            </w:r>
          </w:p>
        </w:tc>
        <w:tc>
          <w:tcPr>
            <w:tcW w:type="dxa" w:w="1568"/>
            <w:shd w:val="clear" w:color="auto" w:fill="F2F2F2"/>
          </w:tcPr>
          <w:p>
            <w:pPr>
              <w:jc w:val="center"/>
            </w:pPr>
            <w:r/>
            <w:r>
              <w:rPr>
                <w:rFonts w:ascii="Times New Roman" w:hAnsi="Times New Roman"/>
                <w:b w:val="0"/>
                <w:i w:val="0"/>
                <w:sz w:val="22"/>
              </w:rPr>
              <w:t>7.300</w:t>
            </w:r>
          </w:p>
        </w:tc>
        <w:tc>
          <w:tcPr>
            <w:tcW w:type="dxa" w:w="1568"/>
            <w:shd w:val="clear" w:color="auto" w:fill="F2F2F2"/>
          </w:tcPr>
          <w:p>
            <w:pPr>
              <w:jc w:val="center"/>
            </w:pPr>
            <w:r/>
            <w:r>
              <w:rPr>
                <w:rFonts w:ascii="Times New Roman" w:hAnsi="Times New Roman"/>
                <w:b w:val="0"/>
                <w:i w:val="0"/>
                <w:sz w:val="22"/>
              </w:rPr>
              <w:t>8.300</w:t>
            </w:r>
          </w:p>
        </w:tc>
        <w:tc>
          <w:tcPr>
            <w:tcW w:type="dxa" w:w="1568"/>
            <w:shd w:val="clear" w:color="auto" w:fill="F2F2F2"/>
          </w:tcPr>
          <w:p>
            <w:pPr>
              <w:jc w:val="center"/>
            </w:pPr>
            <w:r/>
            <w:r>
              <w:rPr>
                <w:rFonts w:ascii="Times New Roman" w:hAnsi="Times New Roman"/>
                <w:b w:val="0"/>
                <w:i w:val="0"/>
                <w:sz w:val="22"/>
              </w:rPr>
              <w:t>7.533</w:t>
            </w:r>
          </w:p>
        </w:tc>
        <w:tc>
          <w:tcPr>
            <w:tcW w:type="dxa" w:w="1568"/>
            <w:shd w:val="clear" w:color="auto" w:fill="F2F2F2"/>
          </w:tcPr>
          <w:p>
            <w:pPr>
              <w:jc w:val="center"/>
            </w:pPr>
            <w:r/>
            <w:r>
              <w:rPr>
                <w:rFonts w:ascii="Times New Roman" w:hAnsi="Times New Roman"/>
                <w:b w:val="0"/>
                <w:i w:val="0"/>
                <w:sz w:val="22"/>
              </w:rPr>
              <w:t>7.533</w:t>
            </w:r>
          </w:p>
        </w:tc>
        <w:tc>
          <w:tcPr>
            <w:tcW w:type="dxa" w:w="1568"/>
            <w:shd w:val="clear" w:color="auto" w:fill="F2F2F2"/>
          </w:tcPr>
          <w:p>
            <w:pPr>
              <w:jc w:val="center"/>
            </w:pPr>
            <w:r/>
            <w:r>
              <w:rPr>
                <w:rFonts w:ascii="Times New Roman" w:hAnsi="Times New Roman"/>
                <w:b w:val="0"/>
                <w:i w:val="0"/>
                <w:sz w:val="22"/>
              </w:rPr>
              <w:t>7.667</w:t>
            </w:r>
          </w:p>
        </w:tc>
      </w:tr>
      <w:tr>
        <w:tc>
          <w:tcPr>
            <w:tcW w:type="dxa" w:w="1568"/>
          </w:tcPr>
          <w:p>
            <w:pPr>
              <w:jc w:val="left"/>
            </w:pPr>
            <w:r/>
            <w:r>
              <w:rPr>
                <w:rFonts w:ascii="Times New Roman" w:hAnsi="Times New Roman"/>
                <w:b w:val="0"/>
                <w:i w:val="0"/>
                <w:sz w:val="22"/>
              </w:rPr>
              <w:t>Anglo_T5</w:t>
            </w:r>
          </w:p>
        </w:tc>
        <w:tc>
          <w:tcPr>
            <w:tcW w:type="dxa" w:w="1568"/>
          </w:tcPr>
          <w:p>
            <w:pPr>
              <w:jc w:val="center"/>
            </w:pPr>
            <w:r/>
            <w:r>
              <w:rPr>
                <w:rFonts w:ascii="Times New Roman" w:hAnsi="Times New Roman"/>
                <w:b w:val="0"/>
                <w:i w:val="0"/>
                <w:sz w:val="22"/>
              </w:rPr>
              <w:t>7.100</w:t>
            </w:r>
          </w:p>
        </w:tc>
        <w:tc>
          <w:tcPr>
            <w:tcW w:type="dxa" w:w="1568"/>
          </w:tcPr>
          <w:p>
            <w:pPr>
              <w:jc w:val="center"/>
            </w:pPr>
            <w:r/>
            <w:r>
              <w:rPr>
                <w:rFonts w:ascii="Times New Roman" w:hAnsi="Times New Roman"/>
                <w:b w:val="0"/>
                <w:i w:val="0"/>
                <w:sz w:val="22"/>
              </w:rPr>
              <w:t>8.167</w:t>
            </w:r>
          </w:p>
        </w:tc>
        <w:tc>
          <w:tcPr>
            <w:tcW w:type="dxa" w:w="1568"/>
          </w:tcPr>
          <w:p>
            <w:pPr>
              <w:jc w:val="center"/>
            </w:pPr>
            <w:r/>
            <w:r>
              <w:rPr>
                <w:rFonts w:ascii="Times New Roman" w:hAnsi="Times New Roman"/>
                <w:b w:val="0"/>
                <w:i w:val="0"/>
                <w:sz w:val="22"/>
              </w:rPr>
              <w:t>7.067</w:t>
            </w:r>
          </w:p>
        </w:tc>
        <w:tc>
          <w:tcPr>
            <w:tcW w:type="dxa" w:w="1568"/>
          </w:tcPr>
          <w:p>
            <w:pPr>
              <w:jc w:val="center"/>
            </w:pPr>
            <w:r/>
            <w:r>
              <w:rPr>
                <w:rFonts w:ascii="Times New Roman" w:hAnsi="Times New Roman"/>
                <w:b w:val="0"/>
                <w:i w:val="0"/>
                <w:sz w:val="22"/>
              </w:rPr>
              <w:t>7.133</w:t>
            </w:r>
          </w:p>
        </w:tc>
        <w:tc>
          <w:tcPr>
            <w:tcW w:type="dxa" w:w="1568"/>
          </w:tcPr>
          <w:p>
            <w:pPr>
              <w:jc w:val="center"/>
            </w:pPr>
            <w:r/>
            <w:r>
              <w:rPr>
                <w:rFonts w:ascii="Times New Roman" w:hAnsi="Times New Roman"/>
                <w:b w:val="0"/>
                <w:i w:val="0"/>
                <w:sz w:val="22"/>
              </w:rPr>
              <w:t>7.367</w:t>
            </w:r>
          </w:p>
        </w:tc>
      </w:tr>
      <w:tr>
        <w:tc>
          <w:tcPr>
            <w:tcW w:type="dxa" w:w="1568"/>
            <w:shd w:val="clear" w:color="auto" w:fill="F2F2F2"/>
          </w:tcPr>
          <w:p>
            <w:pPr>
              <w:jc w:val="left"/>
            </w:pPr>
            <w:r/>
            <w:r>
              <w:rPr>
                <w:rFonts w:ascii="Times New Roman" w:hAnsi="Times New Roman"/>
                <w:b w:val="0"/>
                <w:i w:val="0"/>
                <w:sz w:val="22"/>
              </w:rPr>
              <w:t>Latino_T5</w:t>
            </w:r>
          </w:p>
        </w:tc>
        <w:tc>
          <w:tcPr>
            <w:tcW w:type="dxa" w:w="1568"/>
            <w:shd w:val="clear" w:color="auto" w:fill="F2F2F2"/>
          </w:tcPr>
          <w:p>
            <w:pPr>
              <w:jc w:val="center"/>
            </w:pPr>
            <w:r/>
            <w:r>
              <w:rPr>
                <w:rFonts w:ascii="Times New Roman" w:hAnsi="Times New Roman"/>
                <w:b w:val="0"/>
                <w:i w:val="0"/>
                <w:sz w:val="22"/>
              </w:rPr>
              <w:t>7.100</w:t>
            </w:r>
          </w:p>
        </w:tc>
        <w:tc>
          <w:tcPr>
            <w:tcW w:type="dxa" w:w="1568"/>
            <w:shd w:val="clear" w:color="auto" w:fill="F2F2F2"/>
          </w:tcPr>
          <w:p>
            <w:pPr>
              <w:jc w:val="center"/>
            </w:pPr>
            <w:r/>
            <w:r>
              <w:rPr>
                <w:rFonts w:ascii="Times New Roman" w:hAnsi="Times New Roman"/>
                <w:b w:val="0"/>
                <w:i w:val="0"/>
                <w:sz w:val="22"/>
              </w:rPr>
              <w:t>8.133</w:t>
            </w:r>
          </w:p>
        </w:tc>
        <w:tc>
          <w:tcPr>
            <w:tcW w:type="dxa" w:w="1568"/>
            <w:shd w:val="clear" w:color="auto" w:fill="F2F2F2"/>
          </w:tcPr>
          <w:p>
            <w:pPr>
              <w:jc w:val="center"/>
            </w:pPr>
            <w:r/>
            <w:r>
              <w:rPr>
                <w:rFonts w:ascii="Times New Roman" w:hAnsi="Times New Roman"/>
                <w:b w:val="0"/>
                <w:i w:val="0"/>
                <w:sz w:val="22"/>
              </w:rPr>
              <w:t>7.200</w:t>
            </w:r>
          </w:p>
        </w:tc>
        <w:tc>
          <w:tcPr>
            <w:tcW w:type="dxa" w:w="1568"/>
            <w:shd w:val="clear" w:color="auto" w:fill="F2F2F2"/>
          </w:tcPr>
          <w:p>
            <w:pPr>
              <w:jc w:val="center"/>
            </w:pPr>
            <w:r/>
            <w:r>
              <w:rPr>
                <w:rFonts w:ascii="Times New Roman" w:hAnsi="Times New Roman"/>
                <w:b w:val="0"/>
                <w:i w:val="0"/>
                <w:sz w:val="22"/>
              </w:rPr>
              <w:t>7.367</w:t>
            </w:r>
          </w:p>
        </w:tc>
        <w:tc>
          <w:tcPr>
            <w:tcW w:type="dxa" w:w="1568"/>
            <w:shd w:val="clear" w:color="auto" w:fill="F2F2F2"/>
          </w:tcPr>
          <w:p>
            <w:pPr>
              <w:jc w:val="center"/>
            </w:pPr>
            <w:r/>
            <w:r>
              <w:rPr>
                <w:rFonts w:ascii="Times New Roman" w:hAnsi="Times New Roman"/>
                <w:b w:val="0"/>
                <w:i w:val="0"/>
                <w:sz w:val="22"/>
              </w:rPr>
              <w:t>7.450</w:t>
            </w:r>
          </w:p>
        </w:tc>
      </w:tr>
    </w:tbl>
    <w:p/>
    <w:p>
      <w:pPr>
        <w:spacing w:before="0" w:after="120"/>
        <w:ind w:firstLine="340"/>
        <w:jc w:val="both"/>
      </w:pPr>
      <w:r>
        <w:rPr>
          <w:rFonts w:ascii="Times New Roman" w:hAnsi="Times New Roman"/>
          <w:b w:val="0"/>
          <w:i w:val="0"/>
          <w:sz w:val="24"/>
        </w:rPr>
        <w:t>Table 1 shows a consistent pattern: scores are highest for Tier 1 profiles regardless of name, and GPT-4o-mini systematically produces the highest absolute scores across all four profiles, a finding that likely reflects this model tendency toward higher baseline generosity. Notably, Latino_T1 marginally outscores Anglo_T1 in the overall mean (7.667 vs. 7.592), indicating that, net of institution, the Latino name receives slightly more favorable treatment -- a finding that runs counter to the name-discrimination hypothesis and suggests that name-level alignment training is broadly effective across these models.</w:t>
      </w:r>
    </w:p>
    <w:p>
      <w:pPr>
        <w:spacing w:before="120" w:after="80"/>
        <w:jc w:val="center"/>
      </w:pPr>
      <w:r>
        <w:rPr>
          <w:rFonts w:ascii="Times New Roman" w:hAnsi="Times New Roman"/>
          <w:b/>
          <w:i w:val="0"/>
          <w:sz w:val="22"/>
        </w:rPr>
        <w:t>Table 2. Factorial main effects: institution effect (Tier 1 minus Tier 5) and name effect (Anglo minus Latino), by model.</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val="clear" w:color="auto" w:fill="BDD7EE"/>
          </w:tcPr>
          <w:p>
            <w:pPr>
              <w:jc w:val="center"/>
            </w:pPr>
            <w:r/>
            <w:r>
              <w:rPr>
                <w:rFonts w:ascii="Times New Roman" w:hAnsi="Times New Roman"/>
                <w:b/>
                <w:i w:val="0"/>
                <w:sz w:val="22"/>
              </w:rPr>
              <w:t>Model</w:t>
            </w:r>
          </w:p>
        </w:tc>
        <w:tc>
          <w:tcPr>
            <w:tcW w:type="dxa" w:w="2351"/>
            <w:shd w:val="clear" w:color="auto" w:fill="BDD7EE"/>
          </w:tcPr>
          <w:p>
            <w:pPr>
              <w:jc w:val="center"/>
            </w:pPr>
            <w:r/>
            <w:r>
              <w:rPr>
                <w:rFonts w:ascii="Times New Roman" w:hAnsi="Times New Roman"/>
                <w:b/>
                <w:i w:val="0"/>
                <w:sz w:val="22"/>
              </w:rPr>
              <w:t>Institution Effect (T1 - T5)</w:t>
            </w:r>
          </w:p>
        </w:tc>
        <w:tc>
          <w:tcPr>
            <w:tcW w:type="dxa" w:w="2351"/>
            <w:shd w:val="clear" w:color="auto" w:fill="BDD7EE"/>
          </w:tcPr>
          <w:p>
            <w:pPr>
              <w:jc w:val="center"/>
            </w:pPr>
            <w:r/>
            <w:r>
              <w:rPr>
                <w:rFonts w:ascii="Times New Roman" w:hAnsi="Times New Roman"/>
                <w:b/>
                <w:i w:val="0"/>
                <w:sz w:val="22"/>
              </w:rPr>
              <w:t>Name Effect (Anglo - Latino)</w:t>
            </w:r>
          </w:p>
        </w:tc>
        <w:tc>
          <w:tcPr>
            <w:tcW w:type="dxa" w:w="2351"/>
            <w:shd w:val="clear" w:color="auto" w:fill="BDD7EE"/>
          </w:tcPr>
          <w:p>
            <w:pPr>
              <w:jc w:val="center"/>
            </w:pPr>
            <w:r/>
            <w:r>
              <w:rPr>
                <w:rFonts w:ascii="Times New Roman" w:hAnsi="Times New Roman"/>
                <w:b/>
                <w:i w:val="0"/>
                <w:sz w:val="22"/>
              </w:rPr>
              <w:t>Interpretation</w:t>
            </w:r>
          </w:p>
        </w:tc>
      </w:tr>
      <w:tr>
        <w:tc>
          <w:tcPr>
            <w:tcW w:type="dxa" w:w="2351"/>
          </w:tcPr>
          <w:p>
            <w:pPr>
              <w:jc w:val="left"/>
            </w:pPr>
            <w:r/>
            <w:r>
              <w:rPr>
                <w:rFonts w:ascii="Times New Roman" w:hAnsi="Times New Roman"/>
                <w:b w:val="0"/>
                <w:i w:val="0"/>
                <w:sz w:val="22"/>
              </w:rPr>
              <w:t>Claude Haiku 4.5</w:t>
            </w:r>
          </w:p>
        </w:tc>
        <w:tc>
          <w:tcPr>
            <w:tcW w:type="dxa" w:w="2351"/>
          </w:tcPr>
          <w:p>
            <w:pPr>
              <w:jc w:val="center"/>
            </w:pPr>
            <w:r/>
            <w:r>
              <w:rPr>
                <w:rFonts w:ascii="Times New Roman" w:hAnsi="Times New Roman"/>
                <w:b w:val="0"/>
                <w:i w:val="0"/>
                <w:sz w:val="22"/>
              </w:rPr>
              <w:t>+0.150</w:t>
            </w:r>
          </w:p>
        </w:tc>
        <w:tc>
          <w:tcPr>
            <w:tcW w:type="dxa" w:w="2351"/>
          </w:tcPr>
          <w:p>
            <w:pPr>
              <w:jc w:val="center"/>
            </w:pPr>
            <w:r/>
            <w:r>
              <w:rPr>
                <w:rFonts w:ascii="Times New Roman" w:hAnsi="Times New Roman"/>
                <w:b w:val="0"/>
                <w:i w:val="0"/>
                <w:sz w:val="22"/>
              </w:rPr>
              <w:t>-0.050</w:t>
            </w:r>
          </w:p>
        </w:tc>
        <w:tc>
          <w:tcPr>
            <w:tcW w:type="dxa" w:w="2351"/>
          </w:tcPr>
          <w:p>
            <w:pPr>
              <w:jc w:val="left"/>
            </w:pPr>
            <w:r/>
            <w:r>
              <w:rPr>
                <w:rFonts w:ascii="Times New Roman" w:hAnsi="Times New Roman"/>
                <w:b w:val="0"/>
                <w:i w:val="0"/>
                <w:sz w:val="22"/>
              </w:rPr>
              <w:t>Strong institution; no name bias</w:t>
            </w:r>
          </w:p>
        </w:tc>
      </w:tr>
      <w:tr>
        <w:tc>
          <w:tcPr>
            <w:tcW w:type="dxa" w:w="2351"/>
            <w:shd w:val="clear" w:color="auto" w:fill="F2F2F2"/>
          </w:tcPr>
          <w:p>
            <w:pPr>
              <w:jc w:val="left"/>
            </w:pPr>
            <w:r/>
            <w:r>
              <w:rPr>
                <w:rFonts w:ascii="Times New Roman" w:hAnsi="Times New Roman"/>
                <w:b w:val="0"/>
                <w:i w:val="0"/>
                <w:sz w:val="22"/>
              </w:rPr>
              <w:t>GPT-4o-mini</w:t>
            </w:r>
          </w:p>
        </w:tc>
        <w:tc>
          <w:tcPr>
            <w:tcW w:type="dxa" w:w="2351"/>
            <w:shd w:val="clear" w:color="auto" w:fill="F2F2F2"/>
          </w:tcPr>
          <w:p>
            <w:pPr>
              <w:jc w:val="center"/>
            </w:pPr>
            <w:r/>
            <w:r>
              <w:rPr>
                <w:rFonts w:ascii="Times New Roman" w:hAnsi="Times New Roman"/>
                <w:b w:val="0"/>
                <w:i w:val="0"/>
                <w:sz w:val="22"/>
              </w:rPr>
              <w:t>+0.167</w:t>
            </w:r>
          </w:p>
        </w:tc>
        <w:tc>
          <w:tcPr>
            <w:tcW w:type="dxa" w:w="2351"/>
            <w:shd w:val="clear" w:color="auto" w:fill="F2F2F2"/>
          </w:tcPr>
          <w:p>
            <w:pPr>
              <w:jc w:val="center"/>
            </w:pPr>
            <w:r/>
            <w:r>
              <w:rPr>
                <w:rFonts w:ascii="Times New Roman" w:hAnsi="Times New Roman"/>
                <w:b w:val="0"/>
                <w:i w:val="0"/>
                <w:sz w:val="22"/>
              </w:rPr>
              <w:t>+0.033</w:t>
            </w:r>
          </w:p>
        </w:tc>
        <w:tc>
          <w:tcPr>
            <w:tcW w:type="dxa" w:w="2351"/>
            <w:shd w:val="clear" w:color="auto" w:fill="F2F2F2"/>
          </w:tcPr>
          <w:p>
            <w:pPr>
              <w:jc w:val="left"/>
            </w:pPr>
            <w:r/>
            <w:r>
              <w:rPr>
                <w:rFonts w:ascii="Times New Roman" w:hAnsi="Times New Roman"/>
                <w:b w:val="0"/>
                <w:i w:val="0"/>
                <w:sz w:val="22"/>
              </w:rPr>
              <w:t>Strong institution; minimal name bias</w:t>
            </w:r>
          </w:p>
        </w:tc>
      </w:tr>
      <w:tr>
        <w:tc>
          <w:tcPr>
            <w:tcW w:type="dxa" w:w="2351"/>
          </w:tcPr>
          <w:p>
            <w:pPr>
              <w:jc w:val="left"/>
            </w:pPr>
            <w:r/>
            <w:r>
              <w:rPr>
                <w:rFonts w:ascii="Times New Roman" w:hAnsi="Times New Roman"/>
                <w:b w:val="0"/>
                <w:i w:val="0"/>
                <w:sz w:val="22"/>
              </w:rPr>
              <w:t>Gemini 2.0 Flash</w:t>
            </w:r>
          </w:p>
        </w:tc>
        <w:tc>
          <w:tcPr>
            <w:tcW w:type="dxa" w:w="2351"/>
          </w:tcPr>
          <w:p>
            <w:pPr>
              <w:jc w:val="center"/>
            </w:pPr>
            <w:r/>
            <w:r>
              <w:rPr>
                <w:rFonts w:ascii="Times New Roman" w:hAnsi="Times New Roman"/>
                <w:b w:val="0"/>
                <w:i w:val="0"/>
                <w:sz w:val="22"/>
              </w:rPr>
              <w:t>+0.300</w:t>
            </w:r>
          </w:p>
        </w:tc>
        <w:tc>
          <w:tcPr>
            <w:tcW w:type="dxa" w:w="2351"/>
          </w:tcPr>
          <w:p>
            <w:pPr>
              <w:jc w:val="center"/>
            </w:pPr>
            <w:r/>
            <w:r>
              <w:rPr>
                <w:rFonts w:ascii="Times New Roman" w:hAnsi="Times New Roman"/>
                <w:b w:val="0"/>
                <w:i w:val="0"/>
                <w:sz w:val="22"/>
              </w:rPr>
              <w:t>-0.167</w:t>
            </w:r>
          </w:p>
        </w:tc>
        <w:tc>
          <w:tcPr>
            <w:tcW w:type="dxa" w:w="2351"/>
          </w:tcPr>
          <w:p>
            <w:pPr>
              <w:jc w:val="left"/>
            </w:pPr>
            <w:r/>
            <w:r>
              <w:rPr>
                <w:rFonts w:ascii="Times New Roman" w:hAnsi="Times New Roman"/>
                <w:b w:val="0"/>
                <w:i w:val="0"/>
                <w:sz w:val="22"/>
              </w:rPr>
              <w:t>Strongest institution; reverse name</w:t>
            </w:r>
          </w:p>
        </w:tc>
      </w:tr>
      <w:tr>
        <w:tc>
          <w:tcPr>
            <w:tcW w:type="dxa" w:w="2351"/>
            <w:shd w:val="clear" w:color="auto" w:fill="F2F2F2"/>
          </w:tcPr>
          <w:p>
            <w:pPr>
              <w:jc w:val="left"/>
            </w:pPr>
            <w:r/>
            <w:r>
              <w:rPr>
                <w:rFonts w:ascii="Times New Roman" w:hAnsi="Times New Roman"/>
                <w:b w:val="0"/>
                <w:i w:val="0"/>
                <w:sz w:val="22"/>
              </w:rPr>
              <w:t>Llama 3.1 8B</w:t>
            </w:r>
          </w:p>
        </w:tc>
        <w:tc>
          <w:tcPr>
            <w:tcW w:type="dxa" w:w="2351"/>
            <w:shd w:val="clear" w:color="auto" w:fill="F2F2F2"/>
          </w:tcPr>
          <w:p>
            <w:pPr>
              <w:jc w:val="center"/>
            </w:pPr>
            <w:r/>
            <w:r>
              <w:rPr>
                <w:rFonts w:ascii="Times New Roman" w:hAnsi="Times New Roman"/>
                <w:b w:val="0"/>
                <w:i w:val="0"/>
                <w:sz w:val="22"/>
              </w:rPr>
              <w:t>+0.267</w:t>
            </w:r>
          </w:p>
        </w:tc>
        <w:tc>
          <w:tcPr>
            <w:tcW w:type="dxa" w:w="2351"/>
            <w:shd w:val="clear" w:color="auto" w:fill="F2F2F2"/>
          </w:tcPr>
          <w:p>
            <w:pPr>
              <w:jc w:val="center"/>
            </w:pPr>
            <w:r/>
            <w:r>
              <w:rPr>
                <w:rFonts w:ascii="Times New Roman" w:hAnsi="Times New Roman"/>
                <w:b w:val="0"/>
                <w:i w:val="0"/>
                <w:sz w:val="22"/>
              </w:rPr>
              <w:t>-0.133</w:t>
            </w:r>
          </w:p>
        </w:tc>
        <w:tc>
          <w:tcPr>
            <w:tcW w:type="dxa" w:w="2351"/>
            <w:shd w:val="clear" w:color="auto" w:fill="F2F2F2"/>
          </w:tcPr>
          <w:p>
            <w:pPr>
              <w:jc w:val="left"/>
            </w:pPr>
            <w:r/>
            <w:r>
              <w:rPr>
                <w:rFonts w:ascii="Times New Roman" w:hAnsi="Times New Roman"/>
                <w:b w:val="0"/>
                <w:i w:val="0"/>
                <w:sz w:val="22"/>
              </w:rPr>
              <w:t>Strong institution; reverse name</w:t>
            </w:r>
          </w:p>
        </w:tc>
      </w:tr>
      <w:tr>
        <w:tc>
          <w:tcPr>
            <w:tcW w:type="dxa" w:w="2351"/>
            <w:shd w:val="clear" w:color="auto" w:fill="D6E4F0"/>
          </w:tcPr>
          <w:p>
            <w:pPr>
              <w:jc w:val="left"/>
            </w:pPr>
            <w:r/>
            <w:r>
              <w:rPr>
                <w:rFonts w:ascii="Times New Roman" w:hAnsi="Times New Roman"/>
                <w:b/>
                <w:i w:val="0"/>
                <w:sz w:val="22"/>
              </w:rPr>
              <w:t>Cross-model mean</w:t>
            </w:r>
          </w:p>
        </w:tc>
        <w:tc>
          <w:tcPr>
            <w:tcW w:type="dxa" w:w="2351"/>
            <w:shd w:val="clear" w:color="auto" w:fill="D6E4F0"/>
          </w:tcPr>
          <w:p>
            <w:pPr>
              <w:jc w:val="center"/>
            </w:pPr>
            <w:r/>
            <w:r>
              <w:rPr>
                <w:rFonts w:ascii="Times New Roman" w:hAnsi="Times New Roman"/>
                <w:b/>
                <w:i w:val="0"/>
                <w:sz w:val="22"/>
              </w:rPr>
              <w:t>+0.221</w:t>
            </w:r>
          </w:p>
        </w:tc>
        <w:tc>
          <w:tcPr>
            <w:tcW w:type="dxa" w:w="2351"/>
            <w:shd w:val="clear" w:color="auto" w:fill="D6E4F0"/>
          </w:tcPr>
          <w:p>
            <w:pPr>
              <w:jc w:val="center"/>
            </w:pPr>
            <w:r/>
            <w:r>
              <w:rPr>
                <w:rFonts w:ascii="Times New Roman" w:hAnsi="Times New Roman"/>
                <w:b/>
                <w:i w:val="0"/>
                <w:sz w:val="22"/>
              </w:rPr>
              <w:t>-0.079</w:t>
            </w:r>
          </w:p>
        </w:tc>
        <w:tc>
          <w:tcPr>
            <w:tcW w:type="dxa" w:w="2351"/>
            <w:shd w:val="clear" w:color="auto" w:fill="D6E4F0"/>
          </w:tcPr>
          <w:p>
            <w:pPr>
              <w:jc w:val="left"/>
            </w:pPr>
            <w:r/>
            <w:r>
              <w:rPr>
                <w:rFonts w:ascii="Times New Roman" w:hAnsi="Times New Roman"/>
                <w:b/>
                <w:i w:val="0"/>
                <w:sz w:val="22"/>
              </w:rPr>
              <w:t>Institution dominant; name negligible</w:t>
            </w:r>
          </w:p>
        </w:tc>
      </w:tr>
    </w:tbl>
    <w:p/>
    <w:p>
      <w:pPr>
        <w:spacing w:before="0" w:after="120"/>
        <w:ind w:firstLine="340"/>
        <w:jc w:val="both"/>
      </w:pPr>
      <w:r>
        <w:rPr>
          <w:rFonts w:ascii="Times New Roman" w:hAnsi="Times New Roman"/>
          <w:b w:val="0"/>
          <w:i w:val="0"/>
          <w:sz w:val="24"/>
        </w:rPr>
        <w:t>Table 2 reveals the central finding of the experiment. The institution effect is positive, substantial, and highly consistent across all four models, ranging from +0.150 (Claude Haiku 4.5) to +0.300 (Gemini 2.0 Flash), with a cross-model mean of +0.221. This consistency across models with different training pipelines, corporate sponsors, and alignment approaches strongly suggests a systemic rather than model-specific phenomenon. By contrast, the name effect is small, inconsistent in sign, and in three of four models slightly negative -- meaning that the Latino name tends to receive marginally higher scores than the Anglo name when institution is held constant. The cross-model mean name effect of -0.079 is an order of magnitude smaller than the institution effect and does not reach practical significance. This asymmetry between the two factors is the paper central empirical contribution.</w:t>
      </w:r>
    </w:p>
    <w:p>
      <w:pPr>
        <w:spacing w:before="120" w:after="80"/>
        <w:jc w:val="center"/>
      </w:pPr>
      <w:r>
        <w:rPr>
          <w:rFonts w:ascii="Times New Roman" w:hAnsi="Times New Roman"/>
          <w:b/>
          <w:i w:val="0"/>
          <w:sz w:val="22"/>
        </w:rPr>
        <w:t>Table 3. Domain-level score gap: Anglo_T1 minus Latino_T5 (positive values favor Anglo_T1, averaged across all four models).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val="clear" w:color="auto" w:fill="BDD7EE"/>
          </w:tcPr>
          <w:p>
            <w:pPr>
              <w:jc w:val="center"/>
            </w:pPr>
            <w:r/>
            <w:r>
              <w:rPr>
                <w:rFonts w:ascii="Times New Roman" w:hAnsi="Times New Roman"/>
                <w:b/>
                <w:i w:val="0"/>
                <w:sz w:val="22"/>
              </w:rPr>
              <w:t>Domain</w:t>
            </w:r>
          </w:p>
        </w:tc>
        <w:tc>
          <w:tcPr>
            <w:tcW w:type="dxa" w:w="3135"/>
            <w:shd w:val="clear" w:color="auto" w:fill="BDD7EE"/>
          </w:tcPr>
          <w:p>
            <w:pPr>
              <w:jc w:val="center"/>
            </w:pPr>
            <w:r/>
            <w:r>
              <w:rPr>
                <w:rFonts w:ascii="Times New Roman" w:hAnsi="Times New Roman"/>
                <w:b/>
                <w:i w:val="0"/>
                <w:sz w:val="22"/>
              </w:rPr>
              <w:t>Gap (Anglo_T1 - Latino_T5)</w:t>
            </w:r>
          </w:p>
        </w:tc>
        <w:tc>
          <w:tcPr>
            <w:tcW w:type="dxa" w:w="3135"/>
            <w:shd w:val="clear" w:color="auto" w:fill="BDD7EE"/>
          </w:tcPr>
          <w:p>
            <w:pPr>
              <w:jc w:val="center"/>
            </w:pPr>
            <w:r/>
            <w:r>
              <w:rPr>
                <w:rFonts w:ascii="Times New Roman" w:hAnsi="Times New Roman"/>
                <w:b/>
                <w:i w:val="0"/>
                <w:sz w:val="22"/>
              </w:rPr>
              <w:t>Interpretation</w:t>
            </w:r>
          </w:p>
        </w:tc>
      </w:tr>
      <w:tr>
        <w:tc>
          <w:tcPr>
            <w:tcW w:type="dxa" w:w="3135"/>
          </w:tcPr>
          <w:p>
            <w:pPr>
              <w:jc w:val="left"/>
            </w:pPr>
            <w:r/>
            <w:r>
              <w:rPr>
                <w:rFonts w:ascii="Times New Roman" w:hAnsi="Times New Roman"/>
                <w:b w:val="0"/>
                <w:i w:val="0"/>
                <w:sz w:val="22"/>
              </w:rPr>
              <w:t>Health</w:t>
            </w:r>
          </w:p>
        </w:tc>
        <w:tc>
          <w:tcPr>
            <w:tcW w:type="dxa" w:w="3135"/>
          </w:tcPr>
          <w:p>
            <w:pPr>
              <w:jc w:val="center"/>
            </w:pPr>
            <w:r/>
            <w:r>
              <w:rPr>
                <w:rFonts w:ascii="Times New Roman" w:hAnsi="Times New Roman"/>
                <w:b w:val="0"/>
                <w:i w:val="0"/>
                <w:sz w:val="22"/>
              </w:rPr>
              <w:t>+0.292</w:t>
            </w:r>
          </w:p>
        </w:tc>
        <w:tc>
          <w:tcPr>
            <w:tcW w:type="dxa" w:w="3135"/>
          </w:tcPr>
          <w:p>
            <w:pPr>
              <w:jc w:val="left"/>
            </w:pPr>
            <w:r/>
            <w:r>
              <w:rPr>
                <w:rFonts w:ascii="Times New Roman" w:hAnsi="Times New Roman"/>
                <w:b w:val="0"/>
                <w:i w:val="0"/>
                <w:sz w:val="22"/>
              </w:rPr>
              <w:t>Largest gap; institution irrelevant to clinical competence</w:t>
            </w:r>
          </w:p>
        </w:tc>
      </w:tr>
      <w:tr>
        <w:tc>
          <w:tcPr>
            <w:tcW w:type="dxa" w:w="3135"/>
            <w:shd w:val="clear" w:color="auto" w:fill="F2F2F2"/>
          </w:tcPr>
          <w:p>
            <w:pPr>
              <w:jc w:val="left"/>
            </w:pPr>
            <w:r/>
            <w:r>
              <w:rPr>
                <w:rFonts w:ascii="Times New Roman" w:hAnsi="Times New Roman"/>
                <w:b w:val="0"/>
                <w:i w:val="0"/>
                <w:sz w:val="22"/>
              </w:rPr>
              <w:t>Scholarship</w:t>
            </w:r>
          </w:p>
        </w:tc>
        <w:tc>
          <w:tcPr>
            <w:tcW w:type="dxa" w:w="3135"/>
            <w:shd w:val="clear" w:color="auto" w:fill="F2F2F2"/>
          </w:tcPr>
          <w:p>
            <w:pPr>
              <w:jc w:val="center"/>
            </w:pPr>
            <w:r/>
            <w:r>
              <w:rPr>
                <w:rFonts w:ascii="Times New Roman" w:hAnsi="Times New Roman"/>
                <w:b w:val="0"/>
                <w:i w:val="0"/>
                <w:sz w:val="22"/>
              </w:rPr>
              <w:t>+0.208</w:t>
            </w:r>
          </w:p>
        </w:tc>
        <w:tc>
          <w:tcPr>
            <w:tcW w:type="dxa" w:w="3135"/>
            <w:shd w:val="clear" w:color="auto" w:fill="F2F2F2"/>
          </w:tcPr>
          <w:p>
            <w:pPr>
              <w:jc w:val="left"/>
            </w:pPr>
            <w:r/>
            <w:r>
              <w:rPr>
                <w:rFonts w:ascii="Times New Roman" w:hAnsi="Times New Roman"/>
                <w:b w:val="0"/>
                <w:i w:val="0"/>
                <w:sz w:val="22"/>
              </w:rPr>
              <w:t>Moderate gap; institution partially relevant</w:t>
            </w:r>
          </w:p>
        </w:tc>
      </w:tr>
      <w:tr>
        <w:tc>
          <w:tcPr>
            <w:tcW w:type="dxa" w:w="3135"/>
          </w:tcPr>
          <w:p>
            <w:pPr>
              <w:jc w:val="left"/>
            </w:pPr>
            <w:r/>
            <w:r>
              <w:rPr>
                <w:rFonts w:ascii="Times New Roman" w:hAnsi="Times New Roman"/>
                <w:b w:val="0"/>
                <w:i w:val="0"/>
                <w:sz w:val="22"/>
              </w:rPr>
              <w:t>Hiring</w:t>
            </w:r>
          </w:p>
        </w:tc>
        <w:tc>
          <w:tcPr>
            <w:tcW w:type="dxa" w:w="3135"/>
          </w:tcPr>
          <w:p>
            <w:pPr>
              <w:jc w:val="center"/>
            </w:pPr>
            <w:r/>
            <w:r>
              <w:rPr>
                <w:rFonts w:ascii="Times New Roman" w:hAnsi="Times New Roman"/>
                <w:b w:val="0"/>
                <w:i w:val="0"/>
                <w:sz w:val="22"/>
              </w:rPr>
              <w:t>+0.208</w:t>
            </w:r>
          </w:p>
        </w:tc>
        <w:tc>
          <w:tcPr>
            <w:tcW w:type="dxa" w:w="3135"/>
          </w:tcPr>
          <w:p>
            <w:pPr>
              <w:jc w:val="left"/>
            </w:pPr>
            <w:r/>
            <w:r>
              <w:rPr>
                <w:rFonts w:ascii="Times New Roman" w:hAnsi="Times New Roman"/>
                <w:b w:val="0"/>
                <w:i w:val="0"/>
                <w:sz w:val="22"/>
              </w:rPr>
              <w:t>Moderate gap; institution partially relevant</w:t>
            </w:r>
          </w:p>
        </w:tc>
      </w:tr>
      <w:tr>
        <w:tc>
          <w:tcPr>
            <w:tcW w:type="dxa" w:w="3135"/>
            <w:shd w:val="clear" w:color="auto" w:fill="F2F2F2"/>
          </w:tcPr>
          <w:p>
            <w:pPr>
              <w:jc w:val="left"/>
            </w:pPr>
            <w:r/>
            <w:r>
              <w:rPr>
                <w:rFonts w:ascii="Times New Roman" w:hAnsi="Times New Roman"/>
                <w:b w:val="0"/>
                <w:i w:val="0"/>
                <w:sz w:val="22"/>
              </w:rPr>
              <w:t>Credit</w:t>
            </w:r>
          </w:p>
        </w:tc>
        <w:tc>
          <w:tcPr>
            <w:tcW w:type="dxa" w:w="3135"/>
            <w:shd w:val="clear" w:color="auto" w:fill="F2F2F2"/>
          </w:tcPr>
          <w:p>
            <w:pPr>
              <w:jc w:val="center"/>
            </w:pPr>
            <w:r/>
            <w:r>
              <w:rPr>
                <w:rFonts w:ascii="Times New Roman" w:hAnsi="Times New Roman"/>
                <w:b w:val="0"/>
                <w:i w:val="0"/>
                <w:sz w:val="22"/>
              </w:rPr>
              <w:t>+0.167</w:t>
            </w:r>
          </w:p>
        </w:tc>
        <w:tc>
          <w:tcPr>
            <w:tcW w:type="dxa" w:w="3135"/>
            <w:shd w:val="clear" w:color="auto" w:fill="F2F2F2"/>
          </w:tcPr>
          <w:p>
            <w:pPr>
              <w:jc w:val="left"/>
            </w:pPr>
            <w:r/>
            <w:r>
              <w:rPr>
                <w:rFonts w:ascii="Times New Roman" w:hAnsi="Times New Roman"/>
                <w:b w:val="0"/>
                <w:i w:val="0"/>
                <w:sz w:val="22"/>
              </w:rPr>
              <w:t>Persistent gap despite institution being irrelevant</w:t>
            </w:r>
          </w:p>
        </w:tc>
      </w:tr>
      <w:tr>
        <w:tc>
          <w:tcPr>
            <w:tcW w:type="dxa" w:w="3135"/>
          </w:tcPr>
          <w:p>
            <w:pPr>
              <w:jc w:val="left"/>
            </w:pPr>
            <w:r/>
            <w:r>
              <w:rPr>
                <w:rFonts w:ascii="Times New Roman" w:hAnsi="Times New Roman"/>
                <w:b w:val="0"/>
                <w:i w:val="0"/>
                <w:sz w:val="22"/>
              </w:rPr>
              <w:t>Public Policy</w:t>
            </w:r>
          </w:p>
        </w:tc>
        <w:tc>
          <w:tcPr>
            <w:tcW w:type="dxa" w:w="3135"/>
          </w:tcPr>
          <w:p>
            <w:pPr>
              <w:jc w:val="center"/>
            </w:pPr>
            <w:r/>
            <w:r>
              <w:rPr>
                <w:rFonts w:ascii="Times New Roman" w:hAnsi="Times New Roman"/>
                <w:b w:val="0"/>
                <w:i w:val="0"/>
                <w:sz w:val="22"/>
              </w:rPr>
              <w:t>-0.167</w:t>
            </w:r>
          </w:p>
        </w:tc>
        <w:tc>
          <w:tcPr>
            <w:tcW w:type="dxa" w:w="3135"/>
          </w:tcPr>
          <w:p>
            <w:pPr>
              <w:jc w:val="left"/>
            </w:pPr>
            <w:r/>
            <w:r>
              <w:rPr>
                <w:rFonts w:ascii="Times New Roman" w:hAnsi="Times New Roman"/>
                <w:b w:val="0"/>
                <w:i w:val="0"/>
                <w:sz w:val="22"/>
              </w:rPr>
              <w:t>Reverse gap; Latino_T5 marginally preferred</w:t>
            </w:r>
          </w:p>
        </w:tc>
      </w:tr>
    </w:tbl>
    <w:p/>
    <w:p>
      <w:pPr>
        <w:spacing w:before="0" w:after="120"/>
        <w:ind w:firstLine="340"/>
        <w:jc w:val="both"/>
      </w:pPr>
      <w:r>
        <w:rPr>
          <w:rFonts w:ascii="Times New Roman" w:hAnsi="Times New Roman"/>
          <w:b w:val="0"/>
          <w:i w:val="0"/>
          <w:sz w:val="24"/>
        </w:rPr>
        <w:t>Table 3 reveals important domain heterogeneity in the institution-prestige bias. The gap is largest in the health domain (+0.292), where institutional affiliation should have no bearing on a clinician competence. Scholarship and hiring show intermediate gaps (+0.208 each), where some weight on institutional prestige might be contextually defensible. Credit assessment shows a persistent gap (+0.167) despite institutional affiliation being essentially irrelevant to creditworthiness. The public policy domain is the only one showing a reverse gap (-0.167), possibly reflecting training data that associates Latin American regional expertise with local governance credibility.</w:t>
      </w:r>
    </w:p>
    <w:p>
      <w:pPr>
        <w:spacing w:before="120" w:after="80"/>
        <w:jc w:val="center"/>
      </w:pPr>
      <w:r>
        <w:rPr>
          <w:rFonts w:ascii="Times New Roman" w:hAnsi="Times New Roman"/>
          <w:b/>
          <w:i w:val="0"/>
          <w:sz w:val="22"/>
        </w:rPr>
        <w:t>Table 4. Neutrosophic Bias Index &lt;T, I, F&gt; for Anglo_T1 (reference) and Latino_T5 (most disadvantaged), by model.</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val="clear" w:color="auto" w:fill="BDD7EE"/>
          </w:tcPr>
          <w:p>
            <w:pPr>
              <w:jc w:val="center"/>
            </w:pPr>
            <w:r/>
            <w:r>
              <w:rPr>
                <w:rFonts w:ascii="Times New Roman" w:hAnsi="Times New Roman"/>
                <w:b/>
                <w:i w:val="0"/>
                <w:sz w:val="22"/>
              </w:rPr>
              <w:t>Profile</w:t>
            </w:r>
          </w:p>
        </w:tc>
        <w:tc>
          <w:tcPr>
            <w:tcW w:type="dxa" w:w="1881"/>
            <w:shd w:val="clear" w:color="auto" w:fill="BDD7EE"/>
          </w:tcPr>
          <w:p>
            <w:pPr>
              <w:jc w:val="center"/>
            </w:pPr>
            <w:r/>
            <w:r>
              <w:rPr>
                <w:rFonts w:ascii="Times New Roman" w:hAnsi="Times New Roman"/>
                <w:b/>
                <w:i w:val="0"/>
                <w:sz w:val="22"/>
              </w:rPr>
              <w:t>Model</w:t>
            </w:r>
          </w:p>
        </w:tc>
        <w:tc>
          <w:tcPr>
            <w:tcW w:type="dxa" w:w="1881"/>
            <w:shd w:val="clear" w:color="auto" w:fill="BDD7EE"/>
          </w:tcPr>
          <w:p>
            <w:pPr>
              <w:jc w:val="center"/>
            </w:pPr>
            <w:r/>
            <w:r>
              <w:rPr>
                <w:rFonts w:ascii="Times New Roman" w:hAnsi="Times New Roman"/>
                <w:b/>
                <w:i w:val="0"/>
                <w:sz w:val="22"/>
              </w:rPr>
              <w:t>T (Truth)</w:t>
            </w:r>
          </w:p>
        </w:tc>
        <w:tc>
          <w:tcPr>
            <w:tcW w:type="dxa" w:w="1881"/>
            <w:shd w:val="clear" w:color="auto" w:fill="BDD7EE"/>
          </w:tcPr>
          <w:p>
            <w:pPr>
              <w:jc w:val="center"/>
            </w:pPr>
            <w:r/>
            <w:r>
              <w:rPr>
                <w:rFonts w:ascii="Times New Roman" w:hAnsi="Times New Roman"/>
                <w:b/>
                <w:i w:val="0"/>
                <w:sz w:val="22"/>
              </w:rPr>
              <w:t>I (Indeterminacy)</w:t>
            </w:r>
          </w:p>
        </w:tc>
        <w:tc>
          <w:tcPr>
            <w:tcW w:type="dxa" w:w="1881"/>
            <w:shd w:val="clear" w:color="auto" w:fill="BDD7EE"/>
          </w:tcPr>
          <w:p>
            <w:pPr>
              <w:jc w:val="center"/>
            </w:pPr>
            <w:r/>
            <w:r>
              <w:rPr>
                <w:rFonts w:ascii="Times New Roman" w:hAnsi="Times New Roman"/>
                <w:b/>
                <w:i w:val="0"/>
                <w:sz w:val="22"/>
              </w:rPr>
              <w:t>F (Falsity)</w:t>
            </w:r>
          </w:p>
        </w:tc>
      </w:tr>
      <w:tr>
        <w:tc>
          <w:tcPr>
            <w:tcW w:type="dxa" w:w="1881"/>
            <w:shd w:val="clear" w:color="auto" w:fill="F2F2F2"/>
          </w:tcPr>
          <w:p>
            <w:pPr>
              <w:jc w:val="left"/>
            </w:pPr>
            <w:r/>
            <w:r>
              <w:rPr>
                <w:rFonts w:ascii="Times New Roman" w:hAnsi="Times New Roman"/>
                <w:b w:val="0"/>
                <w:i w:val="0"/>
                <w:sz w:val="22"/>
              </w:rPr>
              <w:t>Anglo_T1 (Reference)</w:t>
            </w:r>
          </w:p>
        </w:tc>
        <w:tc>
          <w:tcPr>
            <w:tcW w:type="dxa" w:w="1881"/>
            <w:shd w:val="clear" w:color="auto" w:fill="F2F2F2"/>
          </w:tcPr>
          <w:p>
            <w:pPr>
              <w:jc w:val="left"/>
            </w:pPr>
            <w:r/>
            <w:r>
              <w:rPr>
                <w:rFonts w:ascii="Times New Roman" w:hAnsi="Times New Roman"/>
                <w:b w:val="0"/>
                <w:i w:val="0"/>
                <w:sz w:val="22"/>
              </w:rPr>
              <w:t>Claude Haiku 4.5</w:t>
            </w:r>
          </w:p>
        </w:tc>
        <w:tc>
          <w:tcPr>
            <w:tcW w:type="dxa" w:w="1881"/>
            <w:shd w:val="clear" w:color="auto" w:fill="F2F2F2"/>
          </w:tcPr>
          <w:p>
            <w:pPr>
              <w:jc w:val="center"/>
            </w:pPr>
            <w:r/>
            <w:r>
              <w:rPr>
                <w:rFonts w:ascii="Times New Roman" w:hAnsi="Times New Roman"/>
                <w:b w:val="0"/>
                <w:i w:val="0"/>
                <w:sz w:val="22"/>
              </w:rPr>
              <w:t>0.7200</w:t>
            </w:r>
          </w:p>
        </w:tc>
        <w:tc>
          <w:tcPr>
            <w:tcW w:type="dxa" w:w="1881"/>
            <w:shd w:val="clear" w:color="auto" w:fill="F2F2F2"/>
          </w:tcPr>
          <w:p>
            <w:pPr>
              <w:jc w:val="center"/>
            </w:pPr>
            <w:r/>
            <w:r>
              <w:rPr>
                <w:rFonts w:ascii="Times New Roman" w:hAnsi="Times New Roman"/>
                <w:b w:val="0"/>
                <w:i w:val="0"/>
                <w:sz w:val="22"/>
              </w:rPr>
              <w:t>0.1217</w:t>
            </w:r>
          </w:p>
        </w:tc>
        <w:tc>
          <w:tcPr>
            <w:tcW w:type="dxa" w:w="1881"/>
            <w:shd w:val="clear" w:color="auto" w:fill="F2F2F2"/>
          </w:tcPr>
          <w:p>
            <w:pPr>
              <w:jc w:val="center"/>
            </w:pPr>
            <w:r/>
            <w:r>
              <w:rPr>
                <w:rFonts w:ascii="Times New Roman" w:hAnsi="Times New Roman"/>
                <w:b w:val="0"/>
                <w:i w:val="0"/>
                <w:sz w:val="22"/>
              </w:rPr>
              <w:t>0.0000</w:t>
            </w:r>
          </w:p>
        </w:tc>
      </w:tr>
      <w:tr>
        <w:tc>
          <w:tcPr>
            <w:tcW w:type="dxa" w:w="1881"/>
            <w:shd w:val="clear" w:color="auto" w:fill="F2F2F2"/>
          </w:tcPr>
          <w:p>
            <w:pPr>
              <w:jc w:val="left"/>
            </w:pPr>
            <w:r/>
            <w:r>
              <w:rPr>
                <w:rFonts w:ascii="Times New Roman" w:hAnsi="Times New Roman"/>
                <w:b w:val="0"/>
                <w:i w:val="0"/>
                <w:sz w:val="22"/>
              </w:rPr>
            </w:r>
          </w:p>
        </w:tc>
        <w:tc>
          <w:tcPr>
            <w:tcW w:type="dxa" w:w="1881"/>
            <w:shd w:val="clear" w:color="auto" w:fill="F2F2F2"/>
          </w:tcPr>
          <w:p>
            <w:pPr>
              <w:jc w:val="left"/>
            </w:pPr>
            <w:r/>
            <w:r>
              <w:rPr>
                <w:rFonts w:ascii="Times New Roman" w:hAnsi="Times New Roman"/>
                <w:b w:val="0"/>
                <w:i w:val="0"/>
                <w:sz w:val="22"/>
              </w:rPr>
              <w:t>GPT-4o-mini</w:t>
            </w:r>
          </w:p>
        </w:tc>
        <w:tc>
          <w:tcPr>
            <w:tcW w:type="dxa" w:w="1881"/>
            <w:shd w:val="clear" w:color="auto" w:fill="F2F2F2"/>
          </w:tcPr>
          <w:p>
            <w:pPr>
              <w:jc w:val="center"/>
            </w:pPr>
            <w:r/>
            <w:r>
              <w:rPr>
                <w:rFonts w:ascii="Times New Roman" w:hAnsi="Times New Roman"/>
                <w:b w:val="0"/>
                <w:i w:val="0"/>
                <w:sz w:val="22"/>
              </w:rPr>
              <w:t>0.8283</w:t>
            </w:r>
          </w:p>
        </w:tc>
        <w:tc>
          <w:tcPr>
            <w:tcW w:type="dxa" w:w="1881"/>
            <w:shd w:val="clear" w:color="auto" w:fill="F2F2F2"/>
          </w:tcPr>
          <w:p>
            <w:pPr>
              <w:jc w:val="center"/>
            </w:pPr>
            <w:r/>
            <w:r>
              <w:rPr>
                <w:rFonts w:ascii="Times New Roman" w:hAnsi="Times New Roman"/>
                <w:b w:val="0"/>
                <w:i w:val="0"/>
                <w:sz w:val="22"/>
              </w:rPr>
              <w:t>0.1264</w:t>
            </w:r>
          </w:p>
        </w:tc>
        <w:tc>
          <w:tcPr>
            <w:tcW w:type="dxa" w:w="1881"/>
            <w:shd w:val="clear" w:color="auto" w:fill="F2F2F2"/>
          </w:tcPr>
          <w:p>
            <w:pPr>
              <w:jc w:val="center"/>
            </w:pPr>
            <w:r/>
            <w:r>
              <w:rPr>
                <w:rFonts w:ascii="Times New Roman" w:hAnsi="Times New Roman"/>
                <w:b w:val="0"/>
                <w:i w:val="0"/>
                <w:sz w:val="22"/>
              </w:rPr>
              <w:t>0.0000</w:t>
            </w:r>
          </w:p>
        </w:tc>
      </w:tr>
      <w:tr>
        <w:tc>
          <w:tcPr>
            <w:tcW w:type="dxa" w:w="1881"/>
            <w:shd w:val="clear" w:color="auto" w:fill="F2F2F2"/>
          </w:tcPr>
          <w:p>
            <w:pPr>
              <w:jc w:val="left"/>
            </w:pPr>
            <w:r/>
            <w:r>
              <w:rPr>
                <w:rFonts w:ascii="Times New Roman" w:hAnsi="Times New Roman"/>
                <w:b w:val="0"/>
                <w:i w:val="0"/>
                <w:sz w:val="22"/>
              </w:rPr>
            </w:r>
          </w:p>
        </w:tc>
        <w:tc>
          <w:tcPr>
            <w:tcW w:type="dxa" w:w="1881"/>
            <w:shd w:val="clear" w:color="auto" w:fill="F2F2F2"/>
          </w:tcPr>
          <w:p>
            <w:pPr>
              <w:jc w:val="left"/>
            </w:pPr>
            <w:r/>
            <w:r>
              <w:rPr>
                <w:rFonts w:ascii="Times New Roman" w:hAnsi="Times New Roman"/>
                <w:b w:val="0"/>
                <w:i w:val="0"/>
                <w:sz w:val="22"/>
              </w:rPr>
              <w:t>Gemini 2.0 Flash</w:t>
            </w:r>
          </w:p>
        </w:tc>
        <w:tc>
          <w:tcPr>
            <w:tcW w:type="dxa" w:w="1881"/>
            <w:shd w:val="clear" w:color="auto" w:fill="F2F2F2"/>
          </w:tcPr>
          <w:p>
            <w:pPr>
              <w:jc w:val="center"/>
            </w:pPr>
            <w:r/>
            <w:r>
              <w:rPr>
                <w:rFonts w:ascii="Times New Roman" w:hAnsi="Times New Roman"/>
                <w:b w:val="0"/>
                <w:i w:val="0"/>
                <w:sz w:val="22"/>
              </w:rPr>
              <w:t>0.7333</w:t>
            </w:r>
          </w:p>
        </w:tc>
        <w:tc>
          <w:tcPr>
            <w:tcW w:type="dxa" w:w="1881"/>
            <w:shd w:val="clear" w:color="auto" w:fill="F2F2F2"/>
          </w:tcPr>
          <w:p>
            <w:pPr>
              <w:jc w:val="center"/>
            </w:pPr>
            <w:r/>
            <w:r>
              <w:rPr>
                <w:rFonts w:ascii="Times New Roman" w:hAnsi="Times New Roman"/>
                <w:b w:val="0"/>
                <w:i w:val="0"/>
                <w:sz w:val="22"/>
              </w:rPr>
              <w:t>0.1238</w:t>
            </w:r>
          </w:p>
        </w:tc>
        <w:tc>
          <w:tcPr>
            <w:tcW w:type="dxa" w:w="1881"/>
            <w:shd w:val="clear" w:color="auto" w:fill="F2F2F2"/>
          </w:tcPr>
          <w:p>
            <w:pPr>
              <w:jc w:val="center"/>
            </w:pPr>
            <w:r/>
            <w:r>
              <w:rPr>
                <w:rFonts w:ascii="Times New Roman" w:hAnsi="Times New Roman"/>
                <w:b w:val="0"/>
                <w:i w:val="0"/>
                <w:sz w:val="22"/>
              </w:rPr>
              <w:t>0.0000</w:t>
            </w:r>
          </w:p>
        </w:tc>
      </w:tr>
      <w:tr>
        <w:tc>
          <w:tcPr>
            <w:tcW w:type="dxa" w:w="1881"/>
            <w:shd w:val="clear" w:color="auto" w:fill="F2F2F2"/>
          </w:tcPr>
          <w:p>
            <w:pPr>
              <w:jc w:val="left"/>
            </w:pPr>
            <w:r/>
            <w:r>
              <w:rPr>
                <w:rFonts w:ascii="Times New Roman" w:hAnsi="Times New Roman"/>
                <w:b w:val="0"/>
                <w:i w:val="0"/>
                <w:sz w:val="22"/>
              </w:rPr>
            </w:r>
          </w:p>
        </w:tc>
        <w:tc>
          <w:tcPr>
            <w:tcW w:type="dxa" w:w="1881"/>
            <w:shd w:val="clear" w:color="auto" w:fill="F2F2F2"/>
          </w:tcPr>
          <w:p>
            <w:pPr>
              <w:jc w:val="left"/>
            </w:pPr>
            <w:r/>
            <w:r>
              <w:rPr>
                <w:rFonts w:ascii="Times New Roman" w:hAnsi="Times New Roman"/>
                <w:b w:val="0"/>
                <w:i w:val="0"/>
                <w:sz w:val="22"/>
              </w:rPr>
              <w:t>Llama 3.1 8B</w:t>
            </w:r>
          </w:p>
        </w:tc>
        <w:tc>
          <w:tcPr>
            <w:tcW w:type="dxa" w:w="1881"/>
            <w:shd w:val="clear" w:color="auto" w:fill="F2F2F2"/>
          </w:tcPr>
          <w:p>
            <w:pPr>
              <w:jc w:val="center"/>
            </w:pPr>
            <w:r/>
            <w:r>
              <w:rPr>
                <w:rFonts w:ascii="Times New Roman" w:hAnsi="Times New Roman"/>
                <w:b w:val="0"/>
                <w:i w:val="0"/>
                <w:sz w:val="22"/>
              </w:rPr>
              <w:t>0.7500</w:t>
            </w:r>
          </w:p>
        </w:tc>
        <w:tc>
          <w:tcPr>
            <w:tcW w:type="dxa" w:w="1881"/>
            <w:shd w:val="clear" w:color="auto" w:fill="F2F2F2"/>
          </w:tcPr>
          <w:p>
            <w:pPr>
              <w:jc w:val="center"/>
            </w:pPr>
            <w:r/>
            <w:r>
              <w:rPr>
                <w:rFonts w:ascii="Times New Roman" w:hAnsi="Times New Roman"/>
                <w:b w:val="0"/>
                <w:i w:val="0"/>
                <w:sz w:val="22"/>
              </w:rPr>
              <w:t>0.1459</w:t>
            </w:r>
          </w:p>
        </w:tc>
        <w:tc>
          <w:tcPr>
            <w:tcW w:type="dxa" w:w="1881"/>
            <w:shd w:val="clear" w:color="auto" w:fill="F2F2F2"/>
          </w:tcPr>
          <w:p>
            <w:pPr>
              <w:jc w:val="center"/>
            </w:pPr>
            <w:r/>
            <w:r>
              <w:rPr>
                <w:rFonts w:ascii="Times New Roman" w:hAnsi="Times New Roman"/>
                <w:b w:val="0"/>
                <w:i w:val="0"/>
                <w:sz w:val="22"/>
              </w:rPr>
              <w:t>0.0000</w:t>
            </w:r>
          </w:p>
        </w:tc>
      </w:tr>
      <w:tr>
        <w:tc>
          <w:tcPr>
            <w:tcW w:type="dxa" w:w="1881"/>
          </w:tcPr>
          <w:p>
            <w:pPr>
              <w:jc w:val="left"/>
            </w:pPr>
            <w:r/>
            <w:r>
              <w:rPr>
                <w:rFonts w:ascii="Times New Roman" w:hAnsi="Times New Roman"/>
                <w:b w:val="0"/>
                <w:i w:val="0"/>
                <w:sz w:val="22"/>
              </w:rPr>
              <w:t>Latino_T5 (Disadvantaged)</w:t>
            </w:r>
          </w:p>
        </w:tc>
        <w:tc>
          <w:tcPr>
            <w:tcW w:type="dxa" w:w="1881"/>
          </w:tcPr>
          <w:p>
            <w:pPr>
              <w:jc w:val="left"/>
            </w:pPr>
            <w:r/>
            <w:r>
              <w:rPr>
                <w:rFonts w:ascii="Times New Roman" w:hAnsi="Times New Roman"/>
                <w:b w:val="0"/>
                <w:i w:val="0"/>
                <w:sz w:val="22"/>
              </w:rPr>
              <w:t>Claude Haiku 4.5</w:t>
            </w:r>
          </w:p>
        </w:tc>
        <w:tc>
          <w:tcPr>
            <w:tcW w:type="dxa" w:w="1881"/>
          </w:tcPr>
          <w:p>
            <w:pPr>
              <w:jc w:val="center"/>
            </w:pPr>
            <w:r/>
            <w:r>
              <w:rPr>
                <w:rFonts w:ascii="Times New Roman" w:hAnsi="Times New Roman"/>
                <w:b w:val="0"/>
                <w:i w:val="0"/>
                <w:sz w:val="22"/>
              </w:rPr>
              <w:t>0.7100</w:t>
            </w:r>
          </w:p>
        </w:tc>
        <w:tc>
          <w:tcPr>
            <w:tcW w:type="dxa" w:w="1881"/>
          </w:tcPr>
          <w:p>
            <w:pPr>
              <w:jc w:val="center"/>
            </w:pPr>
            <w:r/>
            <w:r>
              <w:rPr>
                <w:rFonts w:ascii="Times New Roman" w:hAnsi="Times New Roman"/>
                <w:b w:val="0"/>
                <w:i w:val="0"/>
                <w:sz w:val="22"/>
              </w:rPr>
              <w:t>0.1181</w:t>
            </w:r>
          </w:p>
        </w:tc>
        <w:tc>
          <w:tcPr>
            <w:tcW w:type="dxa" w:w="1881"/>
          </w:tcPr>
          <w:p>
            <w:pPr>
              <w:jc w:val="center"/>
            </w:pPr>
            <w:r/>
            <w:r>
              <w:rPr>
                <w:rFonts w:ascii="Times New Roman" w:hAnsi="Times New Roman"/>
                <w:b w:val="0"/>
                <w:i w:val="0"/>
                <w:sz w:val="22"/>
              </w:rPr>
              <w:t>0.0133</w:t>
            </w:r>
          </w:p>
        </w:tc>
      </w:tr>
      <w:tr>
        <w:tc>
          <w:tcPr>
            <w:tcW w:type="dxa" w:w="1881"/>
          </w:tcPr>
          <w:p>
            <w:pPr>
              <w:jc w:val="left"/>
            </w:pPr>
            <w:r/>
            <w:r>
              <w:rPr>
                <w:rFonts w:ascii="Times New Roman" w:hAnsi="Times New Roman"/>
                <w:b w:val="0"/>
                <w:i w:val="0"/>
                <w:sz w:val="22"/>
              </w:rPr>
            </w:r>
          </w:p>
        </w:tc>
        <w:tc>
          <w:tcPr>
            <w:tcW w:type="dxa" w:w="1881"/>
          </w:tcPr>
          <w:p>
            <w:pPr>
              <w:jc w:val="left"/>
            </w:pPr>
            <w:r/>
            <w:r>
              <w:rPr>
                <w:rFonts w:ascii="Times New Roman" w:hAnsi="Times New Roman"/>
                <w:b w:val="0"/>
                <w:i w:val="0"/>
                <w:sz w:val="22"/>
              </w:rPr>
              <w:t>GPT-4o-mini</w:t>
            </w:r>
          </w:p>
        </w:tc>
        <w:tc>
          <w:tcPr>
            <w:tcW w:type="dxa" w:w="1881"/>
          </w:tcPr>
          <w:p>
            <w:pPr>
              <w:jc w:val="center"/>
            </w:pPr>
            <w:r/>
            <w:r>
              <w:rPr>
                <w:rFonts w:ascii="Times New Roman" w:hAnsi="Times New Roman"/>
                <w:b w:val="0"/>
                <w:i w:val="0"/>
                <w:sz w:val="22"/>
              </w:rPr>
              <w:t>0.8085</w:t>
            </w:r>
          </w:p>
        </w:tc>
        <w:tc>
          <w:tcPr>
            <w:tcW w:type="dxa" w:w="1881"/>
          </w:tcPr>
          <w:p>
            <w:pPr>
              <w:jc w:val="center"/>
            </w:pPr>
            <w:r/>
            <w:r>
              <w:rPr>
                <w:rFonts w:ascii="Times New Roman" w:hAnsi="Times New Roman"/>
                <w:b w:val="0"/>
                <w:i w:val="0"/>
                <w:sz w:val="22"/>
              </w:rPr>
              <w:t>0.1251</w:t>
            </w:r>
          </w:p>
        </w:tc>
        <w:tc>
          <w:tcPr>
            <w:tcW w:type="dxa" w:w="1881"/>
          </w:tcPr>
          <w:p>
            <w:pPr>
              <w:jc w:val="center"/>
            </w:pPr>
            <w:r/>
            <w:r>
              <w:rPr>
                <w:rFonts w:ascii="Times New Roman" w:hAnsi="Times New Roman"/>
                <w:b w:val="0"/>
                <w:i w:val="0"/>
                <w:sz w:val="22"/>
              </w:rPr>
              <w:t>0.0198</w:t>
            </w:r>
          </w:p>
        </w:tc>
      </w:tr>
      <w:tr>
        <w:tc>
          <w:tcPr>
            <w:tcW w:type="dxa" w:w="1881"/>
          </w:tcPr>
          <w:p>
            <w:pPr>
              <w:jc w:val="left"/>
            </w:pPr>
            <w:r/>
            <w:r>
              <w:rPr>
                <w:rFonts w:ascii="Times New Roman" w:hAnsi="Times New Roman"/>
                <w:b w:val="0"/>
                <w:i w:val="0"/>
                <w:sz w:val="22"/>
              </w:rPr>
            </w:r>
          </w:p>
        </w:tc>
        <w:tc>
          <w:tcPr>
            <w:tcW w:type="dxa" w:w="1881"/>
          </w:tcPr>
          <w:p>
            <w:pPr>
              <w:jc w:val="left"/>
            </w:pPr>
            <w:r/>
            <w:r>
              <w:rPr>
                <w:rFonts w:ascii="Times New Roman" w:hAnsi="Times New Roman"/>
                <w:b w:val="0"/>
                <w:i w:val="0"/>
                <w:sz w:val="22"/>
              </w:rPr>
              <w:t>Gemini 2.0 Flash</w:t>
            </w:r>
          </w:p>
        </w:tc>
        <w:tc>
          <w:tcPr>
            <w:tcW w:type="dxa" w:w="1881"/>
          </w:tcPr>
          <w:p>
            <w:pPr>
              <w:jc w:val="center"/>
            </w:pPr>
            <w:r/>
            <w:r>
              <w:rPr>
                <w:rFonts w:ascii="Times New Roman" w:hAnsi="Times New Roman"/>
                <w:b w:val="0"/>
                <w:i w:val="0"/>
                <w:sz w:val="22"/>
              </w:rPr>
              <w:t>0.7200</w:t>
            </w:r>
          </w:p>
        </w:tc>
        <w:tc>
          <w:tcPr>
            <w:tcW w:type="dxa" w:w="1881"/>
          </w:tcPr>
          <w:p>
            <w:pPr>
              <w:jc w:val="center"/>
            </w:pPr>
            <w:r/>
            <w:r>
              <w:rPr>
                <w:rFonts w:ascii="Times New Roman" w:hAnsi="Times New Roman"/>
                <w:b w:val="0"/>
                <w:i w:val="0"/>
                <w:sz w:val="22"/>
              </w:rPr>
              <w:t>0.1126</w:t>
            </w:r>
          </w:p>
        </w:tc>
        <w:tc>
          <w:tcPr>
            <w:tcW w:type="dxa" w:w="1881"/>
          </w:tcPr>
          <w:p>
            <w:pPr>
              <w:jc w:val="center"/>
            </w:pPr>
            <w:r/>
            <w:r>
              <w:rPr>
                <w:rFonts w:ascii="Times New Roman" w:hAnsi="Times New Roman"/>
                <w:b w:val="0"/>
                <w:i w:val="0"/>
                <w:sz w:val="22"/>
              </w:rPr>
              <w:t>0.0167</w:t>
            </w:r>
          </w:p>
        </w:tc>
      </w:tr>
      <w:tr>
        <w:tc>
          <w:tcPr>
            <w:tcW w:type="dxa" w:w="1881"/>
          </w:tcPr>
          <w:p>
            <w:pPr>
              <w:jc w:val="left"/>
            </w:pPr>
            <w:r/>
            <w:r>
              <w:rPr>
                <w:rFonts w:ascii="Times New Roman" w:hAnsi="Times New Roman"/>
                <w:b w:val="0"/>
                <w:i w:val="0"/>
                <w:sz w:val="22"/>
              </w:rPr>
            </w:r>
          </w:p>
        </w:tc>
        <w:tc>
          <w:tcPr>
            <w:tcW w:type="dxa" w:w="1881"/>
          </w:tcPr>
          <w:p>
            <w:pPr>
              <w:jc w:val="left"/>
            </w:pPr>
            <w:r/>
            <w:r>
              <w:rPr>
                <w:rFonts w:ascii="Times New Roman" w:hAnsi="Times New Roman"/>
                <w:b w:val="0"/>
                <w:i w:val="0"/>
                <w:sz w:val="22"/>
              </w:rPr>
              <w:t>Llama 3.1 8B</w:t>
            </w:r>
          </w:p>
        </w:tc>
        <w:tc>
          <w:tcPr>
            <w:tcW w:type="dxa" w:w="1881"/>
          </w:tcPr>
          <w:p>
            <w:pPr>
              <w:jc w:val="center"/>
            </w:pPr>
            <w:r/>
            <w:r>
              <w:rPr>
                <w:rFonts w:ascii="Times New Roman" w:hAnsi="Times New Roman"/>
                <w:b w:val="0"/>
                <w:i w:val="0"/>
                <w:sz w:val="22"/>
              </w:rPr>
              <w:t>0.7367</w:t>
            </w:r>
          </w:p>
        </w:tc>
        <w:tc>
          <w:tcPr>
            <w:tcW w:type="dxa" w:w="1881"/>
          </w:tcPr>
          <w:p>
            <w:pPr>
              <w:jc w:val="center"/>
            </w:pPr>
            <w:r/>
            <w:r>
              <w:rPr>
                <w:rFonts w:ascii="Times New Roman" w:hAnsi="Times New Roman"/>
                <w:b w:val="0"/>
                <w:i w:val="0"/>
                <w:sz w:val="22"/>
              </w:rPr>
              <w:t>0.1571</w:t>
            </w:r>
          </w:p>
        </w:tc>
        <w:tc>
          <w:tcPr>
            <w:tcW w:type="dxa" w:w="1881"/>
          </w:tcPr>
          <w:p>
            <w:pPr>
              <w:jc w:val="center"/>
            </w:pPr>
            <w:r/>
            <w:r>
              <w:rPr>
                <w:rFonts w:ascii="Times New Roman" w:hAnsi="Times New Roman"/>
                <w:b w:val="0"/>
                <w:i w:val="0"/>
                <w:sz w:val="22"/>
              </w:rPr>
              <w:t>0.0233</w:t>
            </w:r>
          </w:p>
        </w:tc>
      </w:tr>
    </w:tbl>
    <w:p/>
    <w:p>
      <w:pPr>
        <w:spacing w:before="0" w:after="120"/>
        <w:ind w:firstLine="340"/>
        <w:jc w:val="both"/>
      </w:pPr>
      <w:r>
        <w:rPr>
          <w:rFonts w:ascii="Times New Roman" w:hAnsi="Times New Roman"/>
          <w:b w:val="0"/>
          <w:i w:val="0"/>
          <w:sz w:val="24"/>
        </w:rPr>
        <w:t>Table 4 illustrates the diagnostic value of the NBI decomposition. The falsity component F is zero by construction for the Anglo_T1 reference profile and takes small but non-zero values for Latino_T5 across all models, ranging from 0.0133 (Claude Haiku 4.5) to 0.0233 (Llama 3.1 8B). While modest in absolute terms, these values represent a systematic pattern of relative deprivation consistent across all four diverse model families. The indeterminacy component I is broadly comparable across profiles, suggesting that the bias operates primarily through the truth component T -- a lower mean score -- rather than through increased variability, indicating a stable, reproducible downward shift in evaluation.</w:t>
      </w:r>
    </w:p>
    <w:p>
      <w:pPr>
        <w:pStyle w:val="Heading1"/>
        <w:spacing w:before="280" w:after="120"/>
        <w:jc w:val="left"/>
      </w:pPr>
      <w:r>
        <w:rPr>
          <w:rFonts w:ascii="Times New Roman" w:hAnsi="Times New Roman"/>
          <w:b/>
          <w:sz w:val="26"/>
        </w:rPr>
        <w:t>5. Discussion</w:t>
      </w:r>
    </w:p>
    <w:p>
      <w:pPr>
        <w:spacing w:before="0" w:after="120"/>
        <w:ind w:firstLine="340"/>
        <w:jc w:val="both"/>
      </w:pPr>
      <w:r>
        <w:rPr>
          <w:rFonts w:ascii="Times New Roman" w:hAnsi="Times New Roman"/>
          <w:b w:val="0"/>
          <w:i w:val="0"/>
          <w:sz w:val="24"/>
        </w:rPr>
        <w:t>The central finding -- that institutional prestige is the dominant vector of differential LLM behavior while ethnic name discrimination is negligible -- raises an immediate interpretive question: is the institution effect bias or legitimate inference? A defense of model behavior might argue that Tier 1 institutions provide superior training environments, that credential quality is genuinely associated with institutional prestige, and therefore that models are merely encoding valid statistical regularities. This argument, however, fails on both empirical and normative grounds.</w:t>
      </w:r>
    </w:p>
    <w:p>
      <w:pPr>
        <w:spacing w:before="0" w:after="120"/>
        <w:ind w:firstLine="340"/>
        <w:jc w:val="both"/>
      </w:pPr>
      <w:r>
        <w:rPr>
          <w:rFonts w:ascii="Times New Roman" w:hAnsi="Times New Roman"/>
          <w:b w:val="0"/>
          <w:i w:val="0"/>
          <w:sz w:val="24"/>
        </w:rPr>
        <w:t>Empirically, the institution effect persists in domains where institutional affiliation provides no rational signal about the relevant quality dimension. A candidate creditworthiness is determined by financial behavior, income stability, and debt management -- not by the tier of their degree-granting institution. Yet models assign a +0.167 advantage to Tier 1 credentials in credit contexts. Similarly, clinical competence is a function of medical knowledge and procedural skill -- yet the health domain shows the largest institution effect (+0.292). If models were encoding valid institutional quality signals, those signals should attenuate or disappear in domains where they are not relevant. Instead, they are strongest precisely where they should matter least, which is fundamentally inconsistent with a rational-inference account.</w:t>
      </w:r>
    </w:p>
    <w:p>
      <w:pPr>
        <w:spacing w:before="0" w:after="120"/>
        <w:ind w:firstLine="340"/>
        <w:jc w:val="both"/>
      </w:pPr>
      <w:r>
        <w:rPr>
          <w:rFonts w:ascii="Times New Roman" w:hAnsi="Times New Roman"/>
          <w:b w:val="0"/>
          <w:i w:val="0"/>
          <w:sz w:val="24"/>
        </w:rPr>
        <w:t>Normatively, even if institutional prestige were a valid predictor in some domains, its use as a global quality proxy constitutes a form of geographic discrimination. The association between institutional tier and geographic location is not incidental: Tier 1 institutions are concentrated in a small number of high-income countries in the Global North, while Tier 5 institutions are peripheral in prestige rankings constructed by Northern actors using Northern criteria. Embedding this structure into AI decision-support tools reproduces and amplifies existing geopolitical inequalities in algorithmically mediated contexts. This is a form of structural bias that is particularly difficult to detect and contest because it can always be given a surface-level rational justification [6, 8].</w:t>
      </w:r>
    </w:p>
    <w:p>
      <w:pPr>
        <w:spacing w:before="0" w:after="120"/>
        <w:ind w:firstLine="340"/>
        <w:jc w:val="both"/>
      </w:pPr>
      <w:r>
        <w:rPr>
          <w:rFonts w:ascii="Times New Roman" w:hAnsi="Times New Roman"/>
          <w:b w:val="0"/>
          <w:i w:val="0"/>
          <w:sz w:val="24"/>
        </w:rPr>
        <w:t>The absence of name-based bias reflects the success of explicit demographic fairness training in current frontier models: RLHF and constitutional AI approaches have been applied specifically to reduce name-based discrimination, and these interventions appear broadly effective at the name level. However, the same alignment processes do not appear to address institutional prestige bias, possibly because this form of bias is harder to operationalize in a fairness evaluation rubric, because it can be defended as rational inference in some contexts, and because the organizations designing these systems may not have identified institutional geographic provenance as a dimension requiring active mitigation.</w:t>
      </w:r>
    </w:p>
    <w:p>
      <w:pPr>
        <w:spacing w:before="0" w:after="120"/>
        <w:ind w:firstLine="340"/>
        <w:jc w:val="both"/>
      </w:pPr>
      <w:r>
        <w:rPr>
          <w:rFonts w:ascii="Times New Roman" w:hAnsi="Times New Roman"/>
          <w:b w:val="0"/>
          <w:i w:val="0"/>
          <w:sz w:val="24"/>
        </w:rPr>
        <w:t>Domain sensitivity reveals additional structure in the bias pattern. The reverse effect in public policy (Latino_T5 receiving slightly higher scores) may reflect positive geographic stereotyping about Latin American regional policy expertise -- itself a form of constrained recognition that limits rather than expands the evaluated scope of Global South expertise. The health domain result is the most practically urgent finding: AI-assisted clinical evaluation tools that penalize credentials from peripheral institutions could adversely affect healthcare workforce recruitment in precisely the underserved regions that depend most heavily on domestically trained clinicians.</w:t>
      </w:r>
    </w:p>
    <w:p>
      <w:pPr>
        <w:spacing w:before="0" w:after="120"/>
        <w:ind w:firstLine="340"/>
        <w:jc w:val="both"/>
      </w:pPr>
      <w:r>
        <w:rPr>
          <w:rFonts w:ascii="Times New Roman" w:hAnsi="Times New Roman"/>
          <w:b w:val="0"/>
          <w:i w:val="0"/>
          <w:sz w:val="24"/>
        </w:rPr>
        <w:t>Several limitations of this pilot study must be acknowledged. The experiment uses a single name pair per demographic level, which may confound name effects with specific associations of the individual names chosen. All prompts were in English; multilingual replication is necessary to assess whether effects are language-mediated. The institution contrast is limited to two extreme poles; a fuller study should include institutions at multiple prestige levels and from multiple geographic regions. Formal statistical significance testing -- including effect size estimation, confidence intervals, and correction for multiple comparisons -- is needed before strong causal claims can be advanced. The pilot scale of 480 evaluations, while sufficient for a proof-of-concept demonstration, should be expanded substantially in future work.</w:t>
      </w:r>
    </w:p>
    <w:p>
      <w:pPr>
        <w:pStyle w:val="Heading1"/>
        <w:spacing w:before="280" w:after="120"/>
        <w:jc w:val="left"/>
      </w:pPr>
      <w:r>
        <w:rPr>
          <w:rFonts w:ascii="Times New Roman" w:hAnsi="Times New Roman"/>
          <w:b/>
          <w:sz w:val="26"/>
        </w:rPr>
        <w:t>6. Conclusions</w:t>
      </w:r>
    </w:p>
    <w:p>
      <w:pPr>
        <w:spacing w:before="0" w:after="120"/>
        <w:ind w:firstLine="340"/>
        <w:jc w:val="both"/>
      </w:pPr>
      <w:r>
        <w:rPr>
          <w:rFonts w:ascii="Times New Roman" w:hAnsi="Times New Roman"/>
          <w:b w:val="0"/>
          <w:i w:val="0"/>
          <w:sz w:val="24"/>
        </w:rPr>
        <w:t>This paper has presented empirical evidence that institutional prestige -- as a proxy for geographic provenance -- is the primary vector of differential LLM behavior in high-stakes evaluation contexts, while ethnic name discrimination is negligible or absent in the four frontier models tested. Across all models and five evaluation domains, the institution effect (+0.221) consistently outweighs the name effect (-0.079) by a factor of approximately 2.8. Critically, this institution effect persists in domains where institutional prestige is rationally irrelevant, indicating that models apply it as a global quality heuristic rather than a domain-specific signal.</w:t>
      </w:r>
    </w:p>
    <w:p>
      <w:pPr>
        <w:spacing w:before="0" w:after="120"/>
        <w:ind w:firstLine="340"/>
        <w:jc w:val="both"/>
      </w:pPr>
      <w:r>
        <w:rPr>
          <w:rFonts w:ascii="Times New Roman" w:hAnsi="Times New Roman"/>
          <w:b w:val="0"/>
          <w:i w:val="0"/>
          <w:sz w:val="24"/>
        </w:rPr>
        <w:t>The Neutrosophic Bias Index introduced in this work provides a principled measurement framework for decomposing model bias into truth, indeterminacy, and falsity components, offering richer diagnostic information than scalar difference metrics. The falsity component F is consistently non-zero for the Latino_T5 profile across all four models (range 0.0133-0.0233), confirming a systematic, model-family-independent pattern of geographic disadvantage that a simple mean-difference metric would undercharacterize.</w:t>
      </w:r>
    </w:p>
    <w:p>
      <w:pPr>
        <w:spacing w:before="0" w:after="120"/>
        <w:ind w:firstLine="340"/>
        <w:jc w:val="both"/>
      </w:pPr>
      <w:r>
        <w:rPr>
          <w:rFonts w:ascii="Times New Roman" w:hAnsi="Times New Roman"/>
          <w:b w:val="0"/>
          <w:i w:val="0"/>
          <w:sz w:val="24"/>
        </w:rPr>
        <w:t>These findings carry direct implications for AI deployment policy in Latin America and other peripheral regions. Organizations using LLMs as evaluation aids should conduct institution-level bias audits alongside the name-based audits that are currently more prevalent. Fairness-aware model development should explicitly designate institutional geographic provenance as a protected dimension requiring active mitigation, particularly in domains where it does not constitute a legitimate evaluation criterion.</w:t>
      </w:r>
    </w:p>
    <w:p>
      <w:pPr>
        <w:spacing w:before="0" w:after="120"/>
        <w:ind w:firstLine="340"/>
        <w:jc w:val="both"/>
      </w:pPr>
      <w:r>
        <w:rPr>
          <w:rFonts w:ascii="Times New Roman" w:hAnsi="Times New Roman"/>
          <w:b w:val="0"/>
          <w:i w:val="0"/>
          <w:sz w:val="24"/>
        </w:rPr>
        <w:t>Future work will expand the design to 24 cities across six world regions, replicate prompts in Spanish and Arabic to assess language mediation effects, conduct formal statistical significance testing with appropriate corrections, and investigate whether institutional prestige bias can be reduced through targeted prompt engineering or fine-tuning interventions. The present study establishes both the phenomenon and the measurement framework; larger-scale replication will determine generalizability and suggest actionable mitigation strategies for AI systems deployed in Global South contexts.</w:t>
      </w:r>
    </w:p>
    <w:p>
      <w:pPr>
        <w:pStyle w:val="Heading1"/>
        <w:spacing w:before="280" w:after="120"/>
        <w:jc w:val="left"/>
      </w:pPr>
      <w:r>
        <w:rPr>
          <w:rFonts w:ascii="Times New Roman" w:hAnsi="Times New Roman"/>
          <w:b/>
          <w:sz w:val="26"/>
        </w:rPr>
        <w:t>References</w:t>
      </w:r>
    </w:p>
    <w:p>
      <w:pPr>
        <w:spacing w:after="80"/>
        <w:ind w:left="340" w:hanging="340"/>
      </w:pPr>
      <w:r>
        <w:rPr>
          <w:rFonts w:ascii="Times New Roman" w:hAnsi="Times New Roman"/>
          <w:b w:val="0"/>
          <w:i w:val="0"/>
          <w:sz w:val="22"/>
        </w:rPr>
        <w:t>[1] Smarandache, F. Neutrosophy: Neutrosophic Probability, Set, and Logic. American Research Press, Rehoboth, NM, USA, 1998.</w:t>
      </w:r>
    </w:p>
    <w:p>
      <w:pPr>
        <w:spacing w:after="80"/>
        <w:ind w:left="340" w:hanging="340"/>
      </w:pPr>
      <w:r>
        <w:rPr>
          <w:rFonts w:ascii="Times New Roman" w:hAnsi="Times New Roman"/>
          <w:b w:val="0"/>
          <w:i w:val="0"/>
          <w:sz w:val="22"/>
        </w:rPr>
        <w:t>[2] Gallegos, I.O.; Rossi, R.A.; Barrow, J.; Tanjim, M.M.; Kim, S.; Dernoncourt, F.; Yu, T.; Ahmed, N.K. Bias and Fairness in Large Language Models: A Survey. Computational Linguistics 2024, 50(3), 1097-1179.</w:t>
      </w:r>
    </w:p>
    <w:p>
      <w:pPr>
        <w:spacing w:after="80"/>
        <w:ind w:left="340" w:hanging="340"/>
      </w:pPr>
      <w:r>
        <w:rPr>
          <w:rFonts w:ascii="Times New Roman" w:hAnsi="Times New Roman"/>
          <w:b w:val="0"/>
          <w:i w:val="0"/>
          <w:sz w:val="22"/>
        </w:rPr>
        <w:t>[3] Bertrand, M.; Mullainathan, S. Are Emily and Greg More Employable Than Lakisha and Jamal? A Field Experiment on Labor Market Discrimination. American Economic Review 2004, 94(4), 991-1013.</w:t>
      </w:r>
    </w:p>
    <w:p>
      <w:pPr>
        <w:spacing w:after="80"/>
        <w:ind w:left="340" w:hanging="340"/>
      </w:pPr>
      <w:r>
        <w:rPr>
          <w:rFonts w:ascii="Times New Roman" w:hAnsi="Times New Roman"/>
          <w:b w:val="0"/>
          <w:i w:val="0"/>
          <w:sz w:val="22"/>
        </w:rPr>
        <w:t>[4] Blodgett, S.L.; Barocas, S.; Daume III, H.; Wallach, H. Language (Technology) is Power: A Critical Survey of 'Bias' in NLP. Proceedings of the 58th Annual Meeting of the Association for Computational Linguistics (ACL) 2020, 5454-5476.</w:t>
      </w:r>
    </w:p>
    <w:p>
      <w:pPr>
        <w:spacing w:after="80"/>
        <w:ind w:left="340" w:hanging="340"/>
      </w:pPr>
      <w:r>
        <w:rPr>
          <w:rFonts w:ascii="Times New Roman" w:hAnsi="Times New Roman"/>
          <w:b w:val="0"/>
          <w:i w:val="0"/>
          <w:sz w:val="22"/>
        </w:rPr>
        <w:t>[5] Wan, Y.; Chang, G.; He, H.; Shi, J.; Xu, H.; Liao, J.; Gu, Y.; Vosoughi, S. Are Large Language Models Biased Towards Gender and Racial Groups in Hiring? Proceedings of the AAAI Conference on Artificial Intelligence 2024, 38(21), 23379-23387.</w:t>
      </w:r>
    </w:p>
    <w:p>
      <w:pPr>
        <w:spacing w:after="80"/>
        <w:ind w:left="340" w:hanging="340"/>
      </w:pPr>
      <w:r>
        <w:rPr>
          <w:rFonts w:ascii="Times New Roman" w:hAnsi="Times New Roman"/>
          <w:b w:val="0"/>
          <w:i w:val="0"/>
          <w:sz w:val="22"/>
        </w:rPr>
        <w:t>[6] Ferrara, E. Should ChatGPT Be Biased? Challenges and Risks of Bias in Large Language Models. arXiv preprint arXiv:2304.03738, 2023.</w:t>
      </w:r>
    </w:p>
    <w:p>
      <w:pPr>
        <w:spacing w:after="80"/>
        <w:ind w:left="340" w:hanging="340"/>
      </w:pPr>
      <w:r>
        <w:rPr>
          <w:rFonts w:ascii="Times New Roman" w:hAnsi="Times New Roman"/>
          <w:b w:val="0"/>
          <w:i w:val="0"/>
          <w:sz w:val="22"/>
        </w:rPr>
        <w:t>[7] Leyva-Vazquez, M.; Batista-Hernandez, N.; Smarandache, F. LED: Neutrosophic Dynamic Epistemic Logic for LLM Hallucination Detection. Engineering Proceedings 2026, 85(1), 12.</w:t>
      </w:r>
    </w:p>
    <w:p>
      <w:pPr>
        <w:spacing w:after="80"/>
        <w:ind w:left="340" w:hanging="340"/>
      </w:pPr>
      <w:r>
        <w:rPr>
          <w:rFonts w:ascii="Times New Roman" w:hAnsi="Times New Roman"/>
          <w:b w:val="0"/>
          <w:i w:val="0"/>
          <w:sz w:val="22"/>
        </w:rPr>
        <w:t>[8] Kearns, M.; Roth, A. The Ethical Algorithm: The Science of Socially Aware Algorithm Design. Oxford University Press, New York, NY, USA, 2019.</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