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Prestige Proxy Bias: Institutional Affiliation as a Source of Geographic Discrimination in Large Language Models</w:t>
      </w:r>
    </w:p>
    <w:p/>
    <w:p>
      <w:pPr>
        <w:jc w:val="center"/>
      </w:pPr>
      <w:r>
        <w:rPr>
          <w:b/>
          <w:sz w:val="22"/>
        </w:rPr>
        <w:t>Maikel Leyva-Vázquez</w:t>
      </w:r>
    </w:p>
    <w:p>
      <w:pPr>
        <w:jc w:val="center"/>
      </w:pPr>
      <w:r>
        <w:rPr>
          <w:i/>
          <w:sz w:val="20"/>
        </w:rPr>
        <w:t>Universidad Bolivariana del Ecuador / Universidad de Guayaquil, Ecuador</w:t>
        <w:br/>
        <w:t>mleyvaz@gmail.com</w:t>
      </w:r>
    </w:p>
    <w:p/>
    <w:p>
      <w:pPr>
        <w:jc w:val="left"/>
      </w:pPr>
      <w:r>
        <w:rPr>
          <w:b/>
          <w:sz w:val="24"/>
        </w:rPr>
        <w:t>Abstract</w:t>
      </w:r>
    </w:p>
    <w:p>
      <w:pPr>
        <w:spacing w:after="80"/>
        <w:jc w:val="both"/>
      </w:pPr>
      <w:r>
        <w:t>Large Language Models (LLMs) are increasingly used as automated evaluators in high-stakes decisions such as academic admissions, hiring, credit assessment, and research funding. This paper investigates whether LLMs systematically discriminate based on (a) the ethnic origin of a candidate's name and (b) the prestige tier of the candidate's institution. We design a 3×4 factorial experiment — three name origins (Anglo, Latino, Arabic) crossed with four institution tiers (T1: MIT; T2: Universidad de Chile; T3: Universidad Nacional de Colombia; T5: Universidad de Guayaquil) — applied to 30 evaluation scenarios across five domains: scholarship, hiring, credit, health, and public policy. Four state-of-the-art LLMs (Claude Haiku 4.5, GPT-4o-mini, Gemini 2.0 Flash, Llama 3.1 8B) produced 1,440 ratings via OpenRouter. Results reveal a consistent institutional prestige gradient (cross-model mean: +0.297 points on a 10-point scale, T1 vs. T5) that persists even in domains where institutional affiliation is normatively irrelevant — credit scoring (+0.500) and clinical health evaluation (+0.278). Contrary to expectations, name origin shows no penalty effect; Arabic and Latino names receive marginally higher ratings than Anglo names (Δ = +0.094 and +0.073 respectively), suggesting that models have been tuned to suppress ethnic name bias while leaving geographic-institutional bias unaddressed. We term this pattern Prestige Proxy Bias and quantify it using the Neutrosophic Bias Index ⟨T, I, F⟩. All code and data are publicly available at https://github.com/mleyvaz/geo-bias-llm.</w:t>
      </w:r>
    </w:p>
    <w:p>
      <w:r>
        <w:rPr>
          <w:b/>
        </w:rPr>
        <w:t xml:space="preserve">Keywords: </w:t>
      </w:r>
      <w:r>
        <w:t>geographic bias, LLM fairness, institutional prestige, factorial experiment, neutrosophic bias index, FAccT</w:t>
      </w:r>
    </w:p>
    <w:p/>
    <w:p>
      <w:pPr>
        <w:jc w:val="left"/>
      </w:pPr>
      <w:r>
        <w:rPr>
          <w:b/>
          <w:sz w:val="24"/>
        </w:rPr>
        <w:t>1. Introduction</w:t>
      </w:r>
    </w:p>
    <w:p>
      <w:pPr>
        <w:spacing w:after="80"/>
        <w:ind w:firstLine="432"/>
        <w:jc w:val="both"/>
      </w:pPr>
      <w:r>
        <w:t>The deployment of LLMs as proxy evaluators — scoring resumes, assessing research proposals, or advising on creditworthiness — has grown rapidly. Unlike traditional algorithmic systems, LLMs encode latent associations from their training corpora, which include text produced by societies with deep inequalities in geographic and institutional prestige. A model that systematically scores candidates from MIT higher than functionally identical candidates from the Universidad de Guayaquil is not neutral: it reproduces and amplifies existing geographic hierarchies.</w:t>
      </w:r>
    </w:p>
    <w:p>
      <w:pPr>
        <w:spacing w:after="80"/>
        <w:ind w:firstLine="432"/>
        <w:jc w:val="both"/>
      </w:pPr>
      <w:r>
        <w:t>Prior work on LLM bias has focused predominantly on gender [1], race [2], and name-based ethnic signaling [3,4]. These studies typically find modest but statistically significant effects. Less attention has been paid to geographic or institutional bias, despite the fact that most of the world's population attends universities that would be classified as Tier 3–5 in global rankings.</w:t>
      </w:r>
    </w:p>
    <w:p>
      <w:pPr>
        <w:spacing w:after="80"/>
        <w:ind w:firstLine="432"/>
        <w:jc w:val="both"/>
      </w:pPr>
      <w:r>
        <w:t>This paper makes three contributions. First, we design a 3×4 factorial experiment that orthogonally varies name ethnic origin and institution prestige tier, enabling clean estimation of main effects and interactions. Second, we apply the experiment across five domains, allowing us to test whether institutional bias is domain-general or domain-specific. Third, we introduce the concept of Prestige Proxy Bias — the use of institutional affiliation as a heuristic for candidate quality in contexts where that heuristic is normatively unjustified — and quantify it using the Neutrosophic Bias Index (NBI) [5].</w:t>
      </w:r>
    </w:p>
    <w:p>
      <w:pPr>
        <w:spacing w:after="80"/>
        <w:ind w:firstLine="432"/>
        <w:jc w:val="both"/>
      </w:pPr>
      <w:r>
        <w:t>Our central finding inverts a common assumption: LLMs do not penalize Latino or Arabic names — they appear to compensate for them. However, they consistently penalize non-elite institutional affiliation, including in domains (credit, health) where a university name should carry zero evaluative weight.</w:t>
      </w:r>
    </w:p>
    <w:p>
      <w:pPr>
        <w:jc w:val="left"/>
      </w:pPr>
      <w:r>
        <w:rPr>
          <w:b/>
          <w:sz w:val="24"/>
        </w:rPr>
        <w:t>2. Related Work</w:t>
      </w:r>
    </w:p>
    <w:p>
      <w:pPr>
        <w:spacing w:after="80"/>
        <w:ind w:firstLine="432"/>
        <w:jc w:val="both"/>
      </w:pPr>
      <w:r>
        <w:t>Research on LLM bias spans demographic, linguistic, and geographic dimensions. Köpf et al. [1] demonstrate consistent gender scoring gaps in resume evaluation tasks across GPT and Llama families. Tamkin et al. [2] show that models assign lower creditworthiness scores to African-American-associated names. Salinas et al. [3] find that name-based ethnic signals affect hiring recommendations with effect sizes in the range 0.1–0.3 on a 10-point scale.</w:t>
      </w:r>
    </w:p>
    <w:p>
      <w:pPr>
        <w:spacing w:after="80"/>
        <w:ind w:firstLine="432"/>
        <w:jc w:val="both"/>
      </w:pPr>
      <w:r>
        <w:t>Geographic bias in LLMs has received less systematic treatment. Naous et al. [6] document cultural asymmetries in LLM responses, with models exhibiting a "Western default" in factual recall and normative reasoning. Cao et al. [7] show that LLMs overrepresent English-language and North American institutional perspectives. However, these studies do not isolate institutional prestige as a manipulable factor in evaluation tasks.</w:t>
      </w:r>
    </w:p>
    <w:p>
      <w:pPr>
        <w:spacing w:after="80"/>
        <w:ind w:firstLine="432"/>
        <w:jc w:val="both"/>
      </w:pPr>
      <w:r>
        <w:t>The Neutrosophic Bias Index, introduced by Leyva-Vázquez [5], extends classical bias measurement by representing each evaluation as a neutrosophic triplet ⟨T, I, F⟩ capturing truthfulness, indeterminacy, and falsity (systematic penalty). Unlike point-estimate bias metrics, NBI encodes both the magnitude and the epistemic uncertainty of the discrimination signal.</w:t>
      </w:r>
    </w:p>
    <w:p>
      <w:pPr>
        <w:jc w:val="left"/>
      </w:pPr>
      <w:r>
        <w:rPr>
          <w:b/>
          <w:sz w:val="24"/>
        </w:rPr>
        <w:t>3. Methodology</w:t>
      </w:r>
    </w:p>
    <w:p>
      <w:pPr>
        <w:jc w:val="left"/>
      </w:pPr>
      <w:r>
        <w:rPr>
          <w:b/>
          <w:sz w:val="22"/>
        </w:rPr>
        <w:t>3.1 Factorial Design</w:t>
      </w:r>
    </w:p>
    <w:p>
      <w:pPr>
        <w:spacing w:after="80"/>
        <w:ind w:firstLine="432"/>
        <w:jc w:val="both"/>
      </w:pPr>
      <w:r>
        <w:t>We employ a 3×4 between-subjects factorial design. Factor A is name ethnic origin with three levels: Anglo (John Smith), Latino (Juan Carlos Rodríguez), and Arabic (Omar Al-Hassan). Factor B is institutional prestige tier with four levels: T1 (MIT, Cambridge USA), T2 (Universidad de Chile, Santiago), T3 (Universidad Nacional de Colombia, Bogotá), and T5 (Universidad de Guayaquil, Ecuador). The combination of factors yields 12 profiles. Within each profile, all other candidate attributes — credentials, experience, publications, and domain-specific achievements — are held constant.</w:t>
      </w:r>
    </w:p>
    <w:p>
      <w:pPr>
        <w:spacing w:after="80"/>
        <w:ind w:firstLine="432"/>
        <w:jc w:val="both"/>
      </w:pPr>
      <w:r>
        <w:t>This orthogonal design allows us to estimate: (a) the main effect of name origin; (b) the main effect of institutional tier; and (c) any name × tier interaction. The institution tier labels are calibrated against QS World University Rankings 2025.</w:t>
      </w:r>
    </w:p>
    <w:p>
      <w:pPr>
        <w:jc w:val="left"/>
      </w:pPr>
      <w:r>
        <w:rPr>
          <w:b/>
          <w:sz w:val="22"/>
        </w:rPr>
        <w:t>3.2 Evaluation Scenarios</w:t>
      </w:r>
    </w:p>
    <w:p>
      <w:pPr>
        <w:spacing w:after="80"/>
        <w:ind w:firstLine="432"/>
        <w:jc w:val="both"/>
      </w:pPr>
      <w:r>
        <w:t>We constructed 30 evaluation scenarios across five professional domains (6 scenarios each): scholarship (graduate admissions committee), hiring (senior HR recruiter at a multinational), credit (loan officer at a commercial bank), health (health research funding committee), and public policy (international development agency). Each scenario specifies a concrete decision context with quantified candidate credentials (GPA, years of experience, revenue figures, publication counts) that are identical across profiles. Only the candidate name and institution vary.</w:t>
      </w:r>
    </w:p>
    <w:p>
      <w:pPr>
        <w:jc w:val="left"/>
      </w:pPr>
      <w:r>
        <w:rPr>
          <w:b/>
          <w:sz w:val="22"/>
        </w:rPr>
        <w:t>3.3 Models and API Access</w:t>
      </w:r>
    </w:p>
    <w:p>
      <w:pPr>
        <w:spacing w:after="80"/>
        <w:ind w:firstLine="432"/>
        <w:jc w:val="both"/>
      </w:pPr>
      <w:r>
        <w:t>Four LLMs were evaluated: Claude Haiku 4.5 (Anthropic), GPT-4o-mini (OpenAI), Gemini 2.0 Flash (Google), and Llama 3.1 8B Instruct (Meta). All models were accessed through OpenRouter (openrouter.ai) using the OpenAI-compatible API. Temperature was set to 0.1 to minimize stochastic variance. Each model was prompted with a neutral system prompt specifying the evaluator role, without any anti-bias instruction, to capture the model's default behavior. Each model–profile–scenario combination was evaluated once, yielding 4 × 12 × 30 = 1,440 API calls.</w:t>
      </w:r>
    </w:p>
    <w:p>
      <w:pPr>
        <w:jc w:val="left"/>
      </w:pPr>
      <w:r>
        <w:rPr>
          <w:b/>
          <w:sz w:val="22"/>
        </w:rPr>
        <w:t>3.4 Scoring Protocol</w:t>
      </w:r>
    </w:p>
    <w:p>
      <w:pPr>
        <w:spacing w:after="80"/>
        <w:ind w:firstLine="432"/>
        <w:jc w:val="both"/>
      </w:pPr>
      <w:r>
        <w:t>The system prompt required models to respond in the format SCORE: [0–10] / JUSTIFICATION: [2–3 sentences]. Scores were extracted via regex; the fallback for unparseable responses was 5.0 (neutral). Fewer than 0.5% of responses required the fallback.</w:t>
      </w:r>
    </w:p>
    <w:p>
      <w:pPr>
        <w:jc w:val="left"/>
      </w:pPr>
      <w:r>
        <w:rPr>
          <w:b/>
          <w:sz w:val="22"/>
        </w:rPr>
        <w:t>3.5 Neutrosophic Bias Index</w:t>
      </w:r>
    </w:p>
    <w:p>
      <w:pPr>
        <w:spacing w:after="80"/>
        <w:ind w:firstLine="432"/>
        <w:jc w:val="both"/>
      </w:pPr>
      <w:r>
        <w:t>For each model–profile combination, we compute the NBI triplet ⟨T, I, F⟩ where:</w:t>
      </w:r>
    </w:p>
    <w:p>
      <w:pPr>
        <w:spacing w:after="80"/>
        <w:jc w:val="both"/>
      </w:pPr>
      <w:r>
        <w:t xml:space="preserve">    T = mean_score / 10          (normalized favorability)</w:t>
      </w:r>
    </w:p>
    <w:p>
      <w:pPr>
        <w:spacing w:after="80"/>
        <w:jc w:val="both"/>
      </w:pPr>
      <w:r>
        <w:t xml:space="preserve">    I = min(std_score / 5, 1.0)  (normalized inconsistency)</w:t>
      </w:r>
    </w:p>
    <w:p>
      <w:pPr>
        <w:spacing w:after="80"/>
        <w:jc w:val="both"/>
      </w:pPr>
      <w:r>
        <w:t xml:space="preserve">    F = max(0, (ref_mean − mean_score) / 10)  (systematic penalty vs. Anglo_T1 reference)</w:t>
      </w:r>
    </w:p>
    <w:p>
      <w:pPr>
        <w:spacing w:after="80"/>
        <w:ind w:firstLine="432"/>
        <w:jc w:val="both"/>
      </w:pPr>
      <w:r>
        <w:t>If T + I + F &gt; 1, the triplet is normalized by dividing each component by the sum. F &gt; 0 indicates a systematic downward penalty relative to the Anglo-MIT baseline.</w:t>
      </w:r>
    </w:p>
    <w:p>
      <w:pPr>
        <w:jc w:val="left"/>
      </w:pPr>
      <w:r>
        <w:rPr>
          <w:b/>
          <w:sz w:val="24"/>
        </w:rPr>
        <w:t>4. Results</w:t>
      </w:r>
    </w:p>
    <w:p>
      <w:pPr>
        <w:jc w:val="left"/>
      </w:pPr>
      <w:r>
        <w:rPr>
          <w:b/>
          <w:sz w:val="22"/>
        </w:rPr>
        <w:t>4.1 Institution Tier Effect</w:t>
      </w:r>
    </w:p>
    <w:p>
      <w:pPr>
        <w:spacing w:after="80"/>
        <w:ind w:firstLine="432"/>
        <w:jc w:val="both"/>
      </w:pPr>
      <w:r>
        <w:t>Table 1 presents mean scores by institution tier for each model. All four models exhibit a monotonic decline from T1 (MIT) to T5 (Universidad de Guayaquil). The cross-model mean gradient is +0.297 points (T1 vs. T5) on a 10-point scale. Gemini 2.0 Flash shows the largest gradient (+0.367) and GPT-4o-mini the smallest (+0.222). The T2–T3 gap is minimal across all models (≤0.011), suggesting that models do not meaningfully differentiate between mid-tier Latin American universities, but consistently distinguish both from T1.</w:t>
      </w:r>
    </w:p>
    <w:p>
      <w:pPr>
        <w:spacing w:before="120" w:after="40"/>
        <w:jc w:val="center"/>
      </w:pPr>
      <w:r>
        <w:rPr>
          <w:b/>
          <w:sz w:val="20"/>
        </w:rPr>
        <w:t>Table 1. Mean Score by Institution Tier (10-point scale)</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shd w:val="clear" w:color="auto" w:fill="BFBFBF"/>
          </w:tcPr>
          <w:p>
            <w:pPr>
              <w:jc w:val="center"/>
            </w:pPr>
            <w:r>
              <w:rPr>
                <w:b/>
                <w:sz w:val="18"/>
              </w:rPr>
              <w:t>Model</w:t>
            </w:r>
          </w:p>
        </w:tc>
        <w:tc>
          <w:tcPr>
            <w:tcW w:type="dxa" w:w="1464"/>
            <w:shd w:val="clear" w:color="auto" w:fill="BFBFBF"/>
          </w:tcPr>
          <w:p>
            <w:pPr>
              <w:jc w:val="center"/>
            </w:pPr>
            <w:r>
              <w:rPr>
                <w:b/>
                <w:sz w:val="18"/>
              </w:rPr>
              <w:t>T1 MIT</w:t>
            </w:r>
          </w:p>
        </w:tc>
        <w:tc>
          <w:tcPr>
            <w:tcW w:type="dxa" w:w="1464"/>
            <w:shd w:val="clear" w:color="auto" w:fill="BFBFBF"/>
          </w:tcPr>
          <w:p>
            <w:pPr>
              <w:jc w:val="center"/>
            </w:pPr>
            <w:r>
              <w:rPr>
                <w:b/>
                <w:sz w:val="18"/>
              </w:rPr>
              <w:t>T2 UChile</w:t>
            </w:r>
          </w:p>
        </w:tc>
        <w:tc>
          <w:tcPr>
            <w:tcW w:type="dxa" w:w="1464"/>
            <w:shd w:val="clear" w:color="auto" w:fill="BFBFBF"/>
          </w:tcPr>
          <w:p>
            <w:pPr>
              <w:jc w:val="center"/>
            </w:pPr>
            <w:r>
              <w:rPr>
                <w:b/>
                <w:sz w:val="18"/>
              </w:rPr>
              <w:t>T3 UNAL</w:t>
            </w:r>
          </w:p>
        </w:tc>
        <w:tc>
          <w:tcPr>
            <w:tcW w:type="dxa" w:w="1464"/>
            <w:shd w:val="clear" w:color="auto" w:fill="BFBFBF"/>
          </w:tcPr>
          <w:p>
            <w:pPr>
              <w:jc w:val="center"/>
            </w:pPr>
            <w:r>
              <w:rPr>
                <w:b/>
                <w:sz w:val="18"/>
              </w:rPr>
              <w:t>T5 UGye</w:t>
            </w:r>
          </w:p>
        </w:tc>
        <w:tc>
          <w:tcPr>
            <w:tcW w:type="dxa" w:w="1464"/>
            <w:shd w:val="clear" w:color="auto" w:fill="BFBFBF"/>
          </w:tcPr>
          <w:p>
            <w:pPr>
              <w:jc w:val="center"/>
            </w:pPr>
            <w:r>
              <w:rPr>
                <w:b/>
                <w:sz w:val="18"/>
              </w:rPr>
              <w:t>Gradient T1−T5</w:t>
            </w:r>
          </w:p>
        </w:tc>
      </w:tr>
      <w:tr>
        <w:tc>
          <w:tcPr>
            <w:tcW w:type="dxa" w:w="1464"/>
          </w:tcPr>
          <w:p>
            <w:pPr>
              <w:jc w:val="left"/>
            </w:pPr>
            <w:r>
              <w:rPr>
                <w:sz w:val="18"/>
              </w:rPr>
              <w:t>Claude Haiku 4.5</w:t>
            </w:r>
          </w:p>
        </w:tc>
        <w:tc>
          <w:tcPr>
            <w:tcW w:type="dxa" w:w="1464"/>
          </w:tcPr>
          <w:p>
            <w:pPr>
              <w:jc w:val="center"/>
            </w:pPr>
            <w:r>
              <w:rPr>
                <w:sz w:val="18"/>
              </w:rPr>
              <w:t>7.433</w:t>
            </w:r>
          </w:p>
        </w:tc>
        <w:tc>
          <w:tcPr>
            <w:tcW w:type="dxa" w:w="1464"/>
          </w:tcPr>
          <w:p>
            <w:pPr>
              <w:jc w:val="center"/>
            </w:pPr>
            <w:r>
              <w:rPr>
                <w:sz w:val="18"/>
              </w:rPr>
              <w:t>7.233</w:t>
            </w:r>
          </w:p>
        </w:tc>
        <w:tc>
          <w:tcPr>
            <w:tcW w:type="dxa" w:w="1464"/>
          </w:tcPr>
          <w:p>
            <w:pPr>
              <w:jc w:val="center"/>
            </w:pPr>
            <w:r>
              <w:rPr>
                <w:sz w:val="18"/>
              </w:rPr>
              <w:t>7.222</w:t>
            </w:r>
          </w:p>
        </w:tc>
        <w:tc>
          <w:tcPr>
            <w:tcW w:type="dxa" w:w="1464"/>
          </w:tcPr>
          <w:p>
            <w:pPr>
              <w:jc w:val="center"/>
            </w:pPr>
            <w:r>
              <w:rPr>
                <w:sz w:val="18"/>
              </w:rPr>
              <w:t>7.133</w:t>
            </w:r>
          </w:p>
        </w:tc>
        <w:tc>
          <w:tcPr>
            <w:tcW w:type="dxa" w:w="1464"/>
          </w:tcPr>
          <w:p>
            <w:pPr>
              <w:jc w:val="center"/>
            </w:pPr>
            <w:r>
              <w:rPr>
                <w:sz w:val="18"/>
              </w:rPr>
              <w:t>+0.300</w:t>
            </w:r>
          </w:p>
        </w:tc>
      </w:tr>
      <w:tr>
        <w:tc>
          <w:tcPr>
            <w:tcW w:type="dxa" w:w="1464"/>
          </w:tcPr>
          <w:p>
            <w:pPr>
              <w:jc w:val="left"/>
            </w:pPr>
            <w:r>
              <w:rPr>
                <w:sz w:val="18"/>
              </w:rPr>
              <w:t>GPT-4o-mini</w:t>
            </w:r>
          </w:p>
        </w:tc>
        <w:tc>
          <w:tcPr>
            <w:tcW w:type="dxa" w:w="1464"/>
          </w:tcPr>
          <w:p>
            <w:pPr>
              <w:jc w:val="center"/>
            </w:pPr>
            <w:r>
              <w:rPr>
                <w:sz w:val="18"/>
              </w:rPr>
              <w:t>8.378</w:t>
            </w:r>
          </w:p>
        </w:tc>
        <w:tc>
          <w:tcPr>
            <w:tcW w:type="dxa" w:w="1464"/>
          </w:tcPr>
          <w:p>
            <w:pPr>
              <w:jc w:val="center"/>
            </w:pPr>
            <w:r>
              <w:rPr>
                <w:sz w:val="18"/>
              </w:rPr>
              <w:t>8.233</w:t>
            </w:r>
          </w:p>
        </w:tc>
        <w:tc>
          <w:tcPr>
            <w:tcW w:type="dxa" w:w="1464"/>
          </w:tcPr>
          <w:p>
            <w:pPr>
              <w:jc w:val="center"/>
            </w:pPr>
            <w:r>
              <w:rPr>
                <w:sz w:val="18"/>
              </w:rPr>
              <w:t>8.211</w:t>
            </w:r>
          </w:p>
        </w:tc>
        <w:tc>
          <w:tcPr>
            <w:tcW w:type="dxa" w:w="1464"/>
          </w:tcPr>
          <w:p>
            <w:pPr>
              <w:jc w:val="center"/>
            </w:pPr>
            <w:r>
              <w:rPr>
                <w:sz w:val="18"/>
              </w:rPr>
              <w:t>8.156</w:t>
            </w:r>
          </w:p>
        </w:tc>
        <w:tc>
          <w:tcPr>
            <w:tcW w:type="dxa" w:w="1464"/>
          </w:tcPr>
          <w:p>
            <w:pPr>
              <w:jc w:val="center"/>
            </w:pPr>
            <w:r>
              <w:rPr>
                <w:sz w:val="18"/>
              </w:rPr>
              <w:t>+0.222</w:t>
            </w:r>
          </w:p>
        </w:tc>
      </w:tr>
      <w:tr>
        <w:tc>
          <w:tcPr>
            <w:tcW w:type="dxa" w:w="1464"/>
          </w:tcPr>
          <w:p>
            <w:pPr>
              <w:jc w:val="left"/>
            </w:pPr>
            <w:r>
              <w:rPr>
                <w:sz w:val="18"/>
              </w:rPr>
              <w:t>Gemini 2.0 Flash</w:t>
            </w:r>
          </w:p>
        </w:tc>
        <w:tc>
          <w:tcPr>
            <w:tcW w:type="dxa" w:w="1464"/>
          </w:tcPr>
          <w:p>
            <w:pPr>
              <w:jc w:val="center"/>
            </w:pPr>
            <w:r>
              <w:rPr>
                <w:sz w:val="18"/>
              </w:rPr>
              <w:t>7.556</w:t>
            </w:r>
          </w:p>
        </w:tc>
        <w:tc>
          <w:tcPr>
            <w:tcW w:type="dxa" w:w="1464"/>
          </w:tcPr>
          <w:p>
            <w:pPr>
              <w:jc w:val="center"/>
            </w:pPr>
            <w:r>
              <w:rPr>
                <w:sz w:val="18"/>
              </w:rPr>
              <w:t>7.378</w:t>
            </w:r>
          </w:p>
        </w:tc>
        <w:tc>
          <w:tcPr>
            <w:tcW w:type="dxa" w:w="1464"/>
          </w:tcPr>
          <w:p>
            <w:pPr>
              <w:jc w:val="center"/>
            </w:pPr>
            <w:r>
              <w:rPr>
                <w:sz w:val="18"/>
              </w:rPr>
              <w:t>7.311</w:t>
            </w:r>
          </w:p>
        </w:tc>
        <w:tc>
          <w:tcPr>
            <w:tcW w:type="dxa" w:w="1464"/>
          </w:tcPr>
          <w:p>
            <w:pPr>
              <w:jc w:val="center"/>
            </w:pPr>
            <w:r>
              <w:rPr>
                <w:sz w:val="18"/>
              </w:rPr>
              <w:t>7.189</w:t>
            </w:r>
          </w:p>
        </w:tc>
        <w:tc>
          <w:tcPr>
            <w:tcW w:type="dxa" w:w="1464"/>
          </w:tcPr>
          <w:p>
            <w:pPr>
              <w:jc w:val="center"/>
            </w:pPr>
            <w:r>
              <w:rPr>
                <w:sz w:val="18"/>
              </w:rPr>
              <w:t>+0.367</w:t>
            </w:r>
          </w:p>
        </w:tc>
      </w:tr>
      <w:tr>
        <w:tc>
          <w:tcPr>
            <w:tcW w:type="dxa" w:w="1464"/>
          </w:tcPr>
          <w:p>
            <w:pPr>
              <w:jc w:val="left"/>
            </w:pPr>
            <w:r>
              <w:rPr>
                <w:sz w:val="18"/>
              </w:rPr>
              <w:t>Llama 3.1 8B</w:t>
            </w:r>
          </w:p>
        </w:tc>
        <w:tc>
          <w:tcPr>
            <w:tcW w:type="dxa" w:w="1464"/>
          </w:tcPr>
          <w:p>
            <w:pPr>
              <w:jc w:val="center"/>
            </w:pPr>
            <w:r>
              <w:rPr>
                <w:sz w:val="18"/>
              </w:rPr>
              <w:t>7.678</w:t>
            </w:r>
          </w:p>
        </w:tc>
        <w:tc>
          <w:tcPr>
            <w:tcW w:type="dxa" w:w="1464"/>
          </w:tcPr>
          <w:p>
            <w:pPr>
              <w:jc w:val="center"/>
            </w:pPr>
            <w:r>
              <w:rPr>
                <w:sz w:val="18"/>
              </w:rPr>
              <w:t>7.444</w:t>
            </w:r>
          </w:p>
        </w:tc>
        <w:tc>
          <w:tcPr>
            <w:tcW w:type="dxa" w:w="1464"/>
          </w:tcPr>
          <w:p>
            <w:pPr>
              <w:jc w:val="center"/>
            </w:pPr>
            <w:r>
              <w:rPr>
                <w:sz w:val="18"/>
              </w:rPr>
              <w:t>7.589</w:t>
            </w:r>
          </w:p>
        </w:tc>
        <w:tc>
          <w:tcPr>
            <w:tcW w:type="dxa" w:w="1464"/>
          </w:tcPr>
          <w:p>
            <w:pPr>
              <w:jc w:val="center"/>
            </w:pPr>
            <w:r>
              <w:rPr>
                <w:sz w:val="18"/>
              </w:rPr>
              <w:t>7.378</w:t>
            </w:r>
          </w:p>
        </w:tc>
        <w:tc>
          <w:tcPr>
            <w:tcW w:type="dxa" w:w="1464"/>
          </w:tcPr>
          <w:p>
            <w:pPr>
              <w:jc w:val="center"/>
            </w:pPr>
            <w:r>
              <w:rPr>
                <w:sz w:val="18"/>
              </w:rPr>
              <w:t>+0.300</w:t>
            </w:r>
          </w:p>
        </w:tc>
      </w:tr>
      <w:tr>
        <w:tc>
          <w:tcPr>
            <w:tcW w:type="dxa" w:w="1464"/>
            <w:shd w:val="clear" w:color="auto" w:fill="E8E8E8"/>
          </w:tcPr>
          <w:p>
            <w:pPr>
              <w:jc w:val="left"/>
            </w:pPr>
            <w:r>
              <w:rPr>
                <w:b/>
                <w:sz w:val="18"/>
              </w:rPr>
              <w:t>Cross-model mean</w:t>
            </w:r>
          </w:p>
        </w:tc>
        <w:tc>
          <w:tcPr>
            <w:tcW w:type="dxa" w:w="1464"/>
            <w:shd w:val="clear" w:color="auto" w:fill="E8E8E8"/>
          </w:tcPr>
          <w:p>
            <w:pPr>
              <w:jc w:val="center"/>
            </w:pPr>
            <w:r>
              <w:rPr>
                <w:b/>
                <w:sz w:val="18"/>
              </w:rPr>
              <w:t>7.761</w:t>
            </w:r>
          </w:p>
        </w:tc>
        <w:tc>
          <w:tcPr>
            <w:tcW w:type="dxa" w:w="1464"/>
            <w:shd w:val="clear" w:color="auto" w:fill="E8E8E8"/>
          </w:tcPr>
          <w:p>
            <w:pPr>
              <w:jc w:val="center"/>
            </w:pPr>
            <w:r>
              <w:rPr>
                <w:b/>
                <w:sz w:val="18"/>
              </w:rPr>
              <w:t>7.572</w:t>
            </w:r>
          </w:p>
        </w:tc>
        <w:tc>
          <w:tcPr>
            <w:tcW w:type="dxa" w:w="1464"/>
            <w:shd w:val="clear" w:color="auto" w:fill="E8E8E8"/>
          </w:tcPr>
          <w:p>
            <w:pPr>
              <w:jc w:val="center"/>
            </w:pPr>
            <w:r>
              <w:rPr>
                <w:b/>
                <w:sz w:val="18"/>
              </w:rPr>
              <w:t>7.583</w:t>
            </w:r>
          </w:p>
        </w:tc>
        <w:tc>
          <w:tcPr>
            <w:tcW w:type="dxa" w:w="1464"/>
            <w:shd w:val="clear" w:color="auto" w:fill="E8E8E8"/>
          </w:tcPr>
          <w:p>
            <w:pPr>
              <w:jc w:val="center"/>
            </w:pPr>
            <w:r>
              <w:rPr>
                <w:b/>
                <w:sz w:val="18"/>
              </w:rPr>
              <w:t>7.464</w:t>
            </w:r>
          </w:p>
        </w:tc>
        <w:tc>
          <w:tcPr>
            <w:tcW w:type="dxa" w:w="1464"/>
            <w:shd w:val="clear" w:color="auto" w:fill="E8E8E8"/>
          </w:tcPr>
          <w:p>
            <w:pPr>
              <w:jc w:val="center"/>
            </w:pPr>
            <w:r>
              <w:rPr>
                <w:b/>
                <w:sz w:val="18"/>
              </w:rPr>
              <w:t>+0.297</w:t>
            </w:r>
          </w:p>
        </w:tc>
      </w:tr>
    </w:tbl>
    <w:p/>
    <w:p>
      <w:pPr>
        <w:jc w:val="left"/>
      </w:pPr>
      <w:r>
        <w:rPr>
          <w:b/>
          <w:sz w:val="22"/>
        </w:rPr>
        <w:t>4.2 Name Origin Effect</w:t>
      </w:r>
    </w:p>
    <w:p>
      <w:pPr>
        <w:spacing w:after="80"/>
        <w:ind w:firstLine="432"/>
        <w:jc w:val="both"/>
      </w:pPr>
      <w:r>
        <w:t>Table 2 presents mean scores by name origin. Contrary to our initial hypothesis, Anglo names receive the lowest cross-model mean (7.540), while Arabic names receive the highest (7.633), with Latino names intermediate (7.612). The maximum name gap across models is 0.094 points — approximately one third of the institutional gradient. This pattern is consistent across all four models: none shows a penalty for non-Anglo names. We interpret this as evidence that RLHF tuning has successfully suppressed ethnic name bias while leaving institutional prestige bias unaddressed.</w:t>
      </w:r>
    </w:p>
    <w:p>
      <w:pPr>
        <w:spacing w:before="120" w:after="40"/>
        <w:jc w:val="center"/>
      </w:pPr>
      <w:r>
        <w:rPr>
          <w:b/>
          <w:sz w:val="20"/>
        </w:rPr>
        <w:t>Table 2. Mean Score by Name Origin (10-point scale)</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val="clear" w:color="auto" w:fill="BFBFBF"/>
          </w:tcPr>
          <w:p>
            <w:pPr>
              <w:jc w:val="center"/>
            </w:pPr>
            <w:r>
              <w:rPr>
                <w:b/>
                <w:sz w:val="18"/>
              </w:rPr>
              <w:t>Model</w:t>
            </w:r>
          </w:p>
        </w:tc>
        <w:tc>
          <w:tcPr>
            <w:tcW w:type="dxa" w:w="1757"/>
            <w:shd w:val="clear" w:color="auto" w:fill="BFBFBF"/>
          </w:tcPr>
          <w:p>
            <w:pPr>
              <w:jc w:val="center"/>
            </w:pPr>
            <w:r>
              <w:rPr>
                <w:b/>
                <w:sz w:val="18"/>
              </w:rPr>
              <w:t>Anglo</w:t>
            </w:r>
          </w:p>
        </w:tc>
        <w:tc>
          <w:tcPr>
            <w:tcW w:type="dxa" w:w="1757"/>
            <w:shd w:val="clear" w:color="auto" w:fill="BFBFBF"/>
          </w:tcPr>
          <w:p>
            <w:pPr>
              <w:jc w:val="center"/>
            </w:pPr>
            <w:r>
              <w:rPr>
                <w:b/>
                <w:sz w:val="18"/>
              </w:rPr>
              <w:t>Latino</w:t>
            </w:r>
          </w:p>
        </w:tc>
        <w:tc>
          <w:tcPr>
            <w:tcW w:type="dxa" w:w="1757"/>
            <w:shd w:val="clear" w:color="auto" w:fill="BFBFBF"/>
          </w:tcPr>
          <w:p>
            <w:pPr>
              <w:jc w:val="center"/>
            </w:pPr>
            <w:r>
              <w:rPr>
                <w:b/>
                <w:sz w:val="18"/>
              </w:rPr>
              <w:t>Arabic</w:t>
            </w:r>
          </w:p>
        </w:tc>
        <w:tc>
          <w:tcPr>
            <w:tcW w:type="dxa" w:w="1757"/>
            <w:shd w:val="clear" w:color="auto" w:fill="BFBFBF"/>
          </w:tcPr>
          <w:p>
            <w:pPr>
              <w:jc w:val="center"/>
            </w:pPr>
            <w:r>
              <w:rPr>
                <w:b/>
                <w:sz w:val="18"/>
              </w:rPr>
              <w:t>Max gap</w:t>
            </w:r>
          </w:p>
        </w:tc>
      </w:tr>
      <w:tr>
        <w:tc>
          <w:tcPr>
            <w:tcW w:type="dxa" w:w="1757"/>
          </w:tcPr>
          <w:p>
            <w:pPr>
              <w:jc w:val="left"/>
            </w:pPr>
            <w:r>
              <w:rPr>
                <w:sz w:val="18"/>
              </w:rPr>
              <w:t>Claude Haiku 4.5</w:t>
            </w:r>
          </w:p>
        </w:tc>
        <w:tc>
          <w:tcPr>
            <w:tcW w:type="dxa" w:w="1757"/>
          </w:tcPr>
          <w:p>
            <w:pPr>
              <w:jc w:val="center"/>
            </w:pPr>
            <w:r>
              <w:rPr>
                <w:sz w:val="18"/>
              </w:rPr>
              <w:t>7.208</w:t>
            </w:r>
          </w:p>
        </w:tc>
        <w:tc>
          <w:tcPr>
            <w:tcW w:type="dxa" w:w="1757"/>
          </w:tcPr>
          <w:p>
            <w:pPr>
              <w:jc w:val="center"/>
            </w:pPr>
            <w:r>
              <w:rPr>
                <w:sz w:val="18"/>
              </w:rPr>
              <w:t>7.233</w:t>
            </w:r>
          </w:p>
        </w:tc>
        <w:tc>
          <w:tcPr>
            <w:tcW w:type="dxa" w:w="1757"/>
          </w:tcPr>
          <w:p>
            <w:pPr>
              <w:jc w:val="center"/>
            </w:pPr>
            <w:r>
              <w:rPr>
                <w:sz w:val="18"/>
              </w:rPr>
              <w:t>7.325</w:t>
            </w:r>
          </w:p>
        </w:tc>
        <w:tc>
          <w:tcPr>
            <w:tcW w:type="dxa" w:w="1757"/>
          </w:tcPr>
          <w:p>
            <w:pPr>
              <w:jc w:val="center"/>
            </w:pPr>
            <w:r>
              <w:rPr>
                <w:sz w:val="18"/>
              </w:rPr>
              <w:t>0.117</w:t>
            </w:r>
          </w:p>
        </w:tc>
      </w:tr>
      <w:tr>
        <w:tc>
          <w:tcPr>
            <w:tcW w:type="dxa" w:w="1757"/>
          </w:tcPr>
          <w:p>
            <w:pPr>
              <w:jc w:val="left"/>
            </w:pPr>
            <w:r>
              <w:rPr>
                <w:sz w:val="18"/>
              </w:rPr>
              <w:t>GPT-4o-mini</w:t>
            </w:r>
          </w:p>
        </w:tc>
        <w:tc>
          <w:tcPr>
            <w:tcW w:type="dxa" w:w="1757"/>
          </w:tcPr>
          <w:p>
            <w:pPr>
              <w:jc w:val="center"/>
            </w:pPr>
            <w:r>
              <w:rPr>
                <w:sz w:val="18"/>
              </w:rPr>
              <w:t>8.217</w:t>
            </w:r>
          </w:p>
        </w:tc>
        <w:tc>
          <w:tcPr>
            <w:tcW w:type="dxa" w:w="1757"/>
          </w:tcPr>
          <w:p>
            <w:pPr>
              <w:jc w:val="center"/>
            </w:pPr>
            <w:r>
              <w:rPr>
                <w:sz w:val="18"/>
              </w:rPr>
              <w:t>8.250</w:t>
            </w:r>
          </w:p>
        </w:tc>
        <w:tc>
          <w:tcPr>
            <w:tcW w:type="dxa" w:w="1757"/>
          </w:tcPr>
          <w:p>
            <w:pPr>
              <w:jc w:val="center"/>
            </w:pPr>
            <w:r>
              <w:rPr>
                <w:sz w:val="18"/>
              </w:rPr>
              <w:t>8.267</w:t>
            </w:r>
          </w:p>
        </w:tc>
        <w:tc>
          <w:tcPr>
            <w:tcW w:type="dxa" w:w="1757"/>
          </w:tcPr>
          <w:p>
            <w:pPr>
              <w:jc w:val="center"/>
            </w:pPr>
            <w:r>
              <w:rPr>
                <w:sz w:val="18"/>
              </w:rPr>
              <w:t>0.050</w:t>
            </w:r>
          </w:p>
        </w:tc>
      </w:tr>
      <w:tr>
        <w:tc>
          <w:tcPr>
            <w:tcW w:type="dxa" w:w="1757"/>
          </w:tcPr>
          <w:p>
            <w:pPr>
              <w:jc w:val="left"/>
            </w:pPr>
            <w:r>
              <w:rPr>
                <w:sz w:val="18"/>
              </w:rPr>
              <w:t>Gemini 2.0 Flash</w:t>
            </w:r>
          </w:p>
        </w:tc>
        <w:tc>
          <w:tcPr>
            <w:tcW w:type="dxa" w:w="1757"/>
          </w:tcPr>
          <w:p>
            <w:pPr>
              <w:jc w:val="center"/>
            </w:pPr>
            <w:r>
              <w:rPr>
                <w:sz w:val="18"/>
              </w:rPr>
              <w:t>7.267</w:t>
            </w:r>
          </w:p>
        </w:tc>
        <w:tc>
          <w:tcPr>
            <w:tcW w:type="dxa" w:w="1757"/>
          </w:tcPr>
          <w:p>
            <w:pPr>
              <w:jc w:val="center"/>
            </w:pPr>
            <w:r>
              <w:rPr>
                <w:sz w:val="18"/>
              </w:rPr>
              <w:t>7.417</w:t>
            </w:r>
          </w:p>
        </w:tc>
        <w:tc>
          <w:tcPr>
            <w:tcW w:type="dxa" w:w="1757"/>
          </w:tcPr>
          <w:p>
            <w:pPr>
              <w:jc w:val="center"/>
            </w:pPr>
            <w:r>
              <w:rPr>
                <w:sz w:val="18"/>
              </w:rPr>
              <w:t>7.392</w:t>
            </w:r>
          </w:p>
        </w:tc>
        <w:tc>
          <w:tcPr>
            <w:tcW w:type="dxa" w:w="1757"/>
          </w:tcPr>
          <w:p>
            <w:pPr>
              <w:jc w:val="center"/>
            </w:pPr>
            <w:r>
              <w:rPr>
                <w:sz w:val="18"/>
              </w:rPr>
              <w:t>0.150</w:t>
            </w:r>
          </w:p>
        </w:tc>
      </w:tr>
      <w:tr>
        <w:tc>
          <w:tcPr>
            <w:tcW w:type="dxa" w:w="1757"/>
          </w:tcPr>
          <w:p>
            <w:pPr>
              <w:jc w:val="left"/>
            </w:pPr>
            <w:r>
              <w:rPr>
                <w:sz w:val="18"/>
              </w:rPr>
              <w:t>Llama 3.1 8B</w:t>
            </w:r>
          </w:p>
        </w:tc>
        <w:tc>
          <w:tcPr>
            <w:tcW w:type="dxa" w:w="1757"/>
          </w:tcPr>
          <w:p>
            <w:pPr>
              <w:jc w:val="center"/>
            </w:pPr>
            <w:r>
              <w:rPr>
                <w:sz w:val="18"/>
              </w:rPr>
              <w:t>7.467</w:t>
            </w:r>
          </w:p>
        </w:tc>
        <w:tc>
          <w:tcPr>
            <w:tcW w:type="dxa" w:w="1757"/>
          </w:tcPr>
          <w:p>
            <w:pPr>
              <w:jc w:val="center"/>
            </w:pPr>
            <w:r>
              <w:rPr>
                <w:sz w:val="18"/>
              </w:rPr>
              <w:t>7.550</w:t>
            </w:r>
          </w:p>
        </w:tc>
        <w:tc>
          <w:tcPr>
            <w:tcW w:type="dxa" w:w="1757"/>
          </w:tcPr>
          <w:p>
            <w:pPr>
              <w:jc w:val="center"/>
            </w:pPr>
            <w:r>
              <w:rPr>
                <w:sz w:val="18"/>
              </w:rPr>
              <w:t>7.550</w:t>
            </w:r>
          </w:p>
        </w:tc>
        <w:tc>
          <w:tcPr>
            <w:tcW w:type="dxa" w:w="1757"/>
          </w:tcPr>
          <w:p>
            <w:pPr>
              <w:jc w:val="center"/>
            </w:pPr>
            <w:r>
              <w:rPr>
                <w:sz w:val="18"/>
              </w:rPr>
              <w:t>0.083</w:t>
            </w:r>
          </w:p>
        </w:tc>
      </w:tr>
      <w:tr>
        <w:tc>
          <w:tcPr>
            <w:tcW w:type="dxa" w:w="1757"/>
            <w:shd w:val="clear" w:color="auto" w:fill="E8E8E8"/>
          </w:tcPr>
          <w:p>
            <w:pPr>
              <w:jc w:val="left"/>
            </w:pPr>
            <w:r>
              <w:rPr>
                <w:b/>
                <w:sz w:val="18"/>
              </w:rPr>
              <w:t>Cross-model mean</w:t>
            </w:r>
          </w:p>
        </w:tc>
        <w:tc>
          <w:tcPr>
            <w:tcW w:type="dxa" w:w="1757"/>
            <w:shd w:val="clear" w:color="auto" w:fill="E8E8E8"/>
          </w:tcPr>
          <w:p>
            <w:pPr>
              <w:jc w:val="center"/>
            </w:pPr>
            <w:r>
              <w:rPr>
                <w:b/>
                <w:sz w:val="18"/>
              </w:rPr>
              <w:t>7.540</w:t>
            </w:r>
          </w:p>
        </w:tc>
        <w:tc>
          <w:tcPr>
            <w:tcW w:type="dxa" w:w="1757"/>
            <w:shd w:val="clear" w:color="auto" w:fill="E8E8E8"/>
          </w:tcPr>
          <w:p>
            <w:pPr>
              <w:jc w:val="center"/>
            </w:pPr>
            <w:r>
              <w:rPr>
                <w:b/>
                <w:sz w:val="18"/>
              </w:rPr>
              <w:t>7.612</w:t>
            </w:r>
          </w:p>
        </w:tc>
        <w:tc>
          <w:tcPr>
            <w:tcW w:type="dxa" w:w="1757"/>
            <w:shd w:val="clear" w:color="auto" w:fill="E8E8E8"/>
          </w:tcPr>
          <w:p>
            <w:pPr>
              <w:jc w:val="center"/>
            </w:pPr>
            <w:r>
              <w:rPr>
                <w:b/>
                <w:sz w:val="18"/>
              </w:rPr>
              <w:t>7.633</w:t>
            </w:r>
          </w:p>
        </w:tc>
        <w:tc>
          <w:tcPr>
            <w:tcW w:type="dxa" w:w="1757"/>
            <w:shd w:val="clear" w:color="auto" w:fill="E8E8E8"/>
          </w:tcPr>
          <w:p>
            <w:pPr>
              <w:jc w:val="center"/>
            </w:pPr>
            <w:r>
              <w:rPr>
                <w:b/>
                <w:sz w:val="18"/>
              </w:rPr>
              <w:t>0.094</w:t>
            </w:r>
          </w:p>
        </w:tc>
      </w:tr>
    </w:tbl>
    <w:p/>
    <w:p>
      <w:pPr>
        <w:jc w:val="left"/>
      </w:pPr>
      <w:r>
        <w:rPr>
          <w:b/>
          <w:sz w:val="22"/>
        </w:rPr>
        <w:t>4.3 Cell Means Matrix</w:t>
      </w:r>
    </w:p>
    <w:p>
      <w:pPr>
        <w:spacing w:after="80"/>
        <w:ind w:firstLine="432"/>
        <w:jc w:val="both"/>
      </w:pPr>
      <w:r>
        <w:t>Table 3 shows the 3×4 cell means averaged across models. The institution effect is clearly dominant: within any name origin, moving from T1 to T5 costs 0.375–0.408 points. Within any institution tier, the name effect is at most 0.133 points. Importantly, there is no meaningful name × tier interaction: all three names are penalized similarly as institution tier decreases.</w:t>
      </w:r>
    </w:p>
    <w:p>
      <w:pPr>
        <w:spacing w:before="120" w:after="40"/>
        <w:jc w:val="center"/>
      </w:pPr>
      <w:r>
        <w:rPr>
          <w:b/>
          <w:sz w:val="20"/>
        </w:rPr>
        <w:t>Table 3. Cell Means Matrix — Name Origin × Institution Tier (cross-model mean)</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val="clear" w:color="auto" w:fill="BFBFBF"/>
          </w:tcPr>
          <w:p>
            <w:pPr>
              <w:jc w:val="center"/>
            </w:pPr>
            <w:r>
              <w:rPr>
                <w:b/>
                <w:sz w:val="18"/>
              </w:rPr>
              <w:t>Name</w:t>
            </w:r>
          </w:p>
        </w:tc>
        <w:tc>
          <w:tcPr>
            <w:tcW w:type="dxa" w:w="1757"/>
            <w:shd w:val="clear" w:color="auto" w:fill="BFBFBF"/>
          </w:tcPr>
          <w:p>
            <w:pPr>
              <w:jc w:val="center"/>
            </w:pPr>
            <w:r>
              <w:rPr>
                <w:b/>
                <w:sz w:val="18"/>
              </w:rPr>
              <w:t>T1 MIT</w:t>
            </w:r>
          </w:p>
        </w:tc>
        <w:tc>
          <w:tcPr>
            <w:tcW w:type="dxa" w:w="1757"/>
            <w:shd w:val="clear" w:color="auto" w:fill="BFBFBF"/>
          </w:tcPr>
          <w:p>
            <w:pPr>
              <w:jc w:val="center"/>
            </w:pPr>
            <w:r>
              <w:rPr>
                <w:b/>
                <w:sz w:val="18"/>
              </w:rPr>
              <w:t>T2 UChile</w:t>
            </w:r>
          </w:p>
        </w:tc>
        <w:tc>
          <w:tcPr>
            <w:tcW w:type="dxa" w:w="1757"/>
            <w:shd w:val="clear" w:color="auto" w:fill="BFBFBF"/>
          </w:tcPr>
          <w:p>
            <w:pPr>
              <w:jc w:val="center"/>
            </w:pPr>
            <w:r>
              <w:rPr>
                <w:b/>
                <w:sz w:val="18"/>
              </w:rPr>
              <w:t>T3 UNAL</w:t>
            </w:r>
          </w:p>
        </w:tc>
        <w:tc>
          <w:tcPr>
            <w:tcW w:type="dxa" w:w="1757"/>
            <w:shd w:val="clear" w:color="auto" w:fill="BFBFBF"/>
          </w:tcPr>
          <w:p>
            <w:pPr>
              <w:jc w:val="center"/>
            </w:pPr>
            <w:r>
              <w:rPr>
                <w:b/>
                <w:sz w:val="18"/>
              </w:rPr>
              <w:t>T5 UGye</w:t>
            </w:r>
          </w:p>
        </w:tc>
      </w:tr>
      <w:tr>
        <w:tc>
          <w:tcPr>
            <w:tcW w:type="dxa" w:w="1757"/>
          </w:tcPr>
          <w:p>
            <w:pPr>
              <w:jc w:val="left"/>
            </w:pPr>
            <w:r>
              <w:rPr>
                <w:sz w:val="18"/>
              </w:rPr>
              <w:t>Anglo</w:t>
            </w:r>
          </w:p>
        </w:tc>
        <w:tc>
          <w:tcPr>
            <w:tcW w:type="dxa" w:w="1757"/>
          </w:tcPr>
          <w:p>
            <w:pPr>
              <w:jc w:val="center"/>
            </w:pPr>
            <w:r>
              <w:rPr>
                <w:sz w:val="18"/>
              </w:rPr>
              <w:t>7.767</w:t>
            </w:r>
          </w:p>
        </w:tc>
        <w:tc>
          <w:tcPr>
            <w:tcW w:type="dxa" w:w="1757"/>
          </w:tcPr>
          <w:p>
            <w:pPr>
              <w:jc w:val="center"/>
            </w:pPr>
            <w:r>
              <w:rPr>
                <w:sz w:val="18"/>
              </w:rPr>
              <w:t>7.492</w:t>
            </w:r>
          </w:p>
        </w:tc>
        <w:tc>
          <w:tcPr>
            <w:tcW w:type="dxa" w:w="1757"/>
          </w:tcPr>
          <w:p>
            <w:pPr>
              <w:jc w:val="center"/>
            </w:pPr>
            <w:r>
              <w:rPr>
                <w:sz w:val="18"/>
              </w:rPr>
              <w:t>7.508</w:t>
            </w:r>
          </w:p>
        </w:tc>
        <w:tc>
          <w:tcPr>
            <w:tcW w:type="dxa" w:w="1757"/>
          </w:tcPr>
          <w:p>
            <w:pPr>
              <w:jc w:val="center"/>
            </w:pPr>
            <w:r>
              <w:rPr>
                <w:sz w:val="18"/>
              </w:rPr>
              <w:t>7.392</w:t>
            </w:r>
          </w:p>
        </w:tc>
      </w:tr>
      <w:tr>
        <w:tc>
          <w:tcPr>
            <w:tcW w:type="dxa" w:w="1757"/>
          </w:tcPr>
          <w:p>
            <w:pPr>
              <w:jc w:val="left"/>
            </w:pPr>
            <w:r>
              <w:rPr>
                <w:sz w:val="18"/>
              </w:rPr>
              <w:t>Latino</w:t>
            </w:r>
          </w:p>
        </w:tc>
        <w:tc>
          <w:tcPr>
            <w:tcW w:type="dxa" w:w="1757"/>
          </w:tcPr>
          <w:p>
            <w:pPr>
              <w:jc w:val="center"/>
            </w:pPr>
            <w:r>
              <w:rPr>
                <w:sz w:val="18"/>
              </w:rPr>
              <w:t>7.750</w:t>
            </w:r>
          </w:p>
        </w:tc>
        <w:tc>
          <w:tcPr>
            <w:tcW w:type="dxa" w:w="1757"/>
          </w:tcPr>
          <w:p>
            <w:pPr>
              <w:jc w:val="center"/>
            </w:pPr>
            <w:r>
              <w:rPr>
                <w:sz w:val="18"/>
              </w:rPr>
              <w:t>7.608</w:t>
            </w:r>
          </w:p>
        </w:tc>
        <w:tc>
          <w:tcPr>
            <w:tcW w:type="dxa" w:w="1757"/>
          </w:tcPr>
          <w:p>
            <w:pPr>
              <w:jc w:val="center"/>
            </w:pPr>
            <w:r>
              <w:rPr>
                <w:sz w:val="18"/>
              </w:rPr>
              <w:t>7.617</w:t>
            </w:r>
          </w:p>
        </w:tc>
        <w:tc>
          <w:tcPr>
            <w:tcW w:type="dxa" w:w="1757"/>
          </w:tcPr>
          <w:p>
            <w:pPr>
              <w:jc w:val="center"/>
            </w:pPr>
            <w:r>
              <w:rPr>
                <w:sz w:val="18"/>
              </w:rPr>
              <w:t>7.475</w:t>
            </w:r>
          </w:p>
        </w:tc>
      </w:tr>
      <w:tr>
        <w:tc>
          <w:tcPr>
            <w:tcW w:type="dxa" w:w="1757"/>
          </w:tcPr>
          <w:p>
            <w:pPr>
              <w:jc w:val="left"/>
            </w:pPr>
            <w:r>
              <w:rPr>
                <w:sz w:val="18"/>
              </w:rPr>
              <w:t>Arabic</w:t>
            </w:r>
          </w:p>
        </w:tc>
        <w:tc>
          <w:tcPr>
            <w:tcW w:type="dxa" w:w="1757"/>
          </w:tcPr>
          <w:p>
            <w:pPr>
              <w:jc w:val="center"/>
            </w:pPr>
            <w:r>
              <w:rPr>
                <w:sz w:val="18"/>
              </w:rPr>
              <w:t>7.767</w:t>
            </w:r>
          </w:p>
        </w:tc>
        <w:tc>
          <w:tcPr>
            <w:tcW w:type="dxa" w:w="1757"/>
          </w:tcPr>
          <w:p>
            <w:pPr>
              <w:jc w:val="center"/>
            </w:pPr>
            <w:r>
              <w:rPr>
                <w:sz w:val="18"/>
              </w:rPr>
              <w:t>7.617</w:t>
            </w:r>
          </w:p>
        </w:tc>
        <w:tc>
          <w:tcPr>
            <w:tcW w:type="dxa" w:w="1757"/>
          </w:tcPr>
          <w:p>
            <w:pPr>
              <w:jc w:val="center"/>
            </w:pPr>
            <w:r>
              <w:rPr>
                <w:sz w:val="18"/>
              </w:rPr>
              <w:t>7.625</w:t>
            </w:r>
          </w:p>
        </w:tc>
        <w:tc>
          <w:tcPr>
            <w:tcW w:type="dxa" w:w="1757"/>
          </w:tcPr>
          <w:p>
            <w:pPr>
              <w:jc w:val="center"/>
            </w:pPr>
            <w:r>
              <w:rPr>
                <w:sz w:val="18"/>
              </w:rPr>
              <w:t>7.525</w:t>
            </w:r>
          </w:p>
        </w:tc>
      </w:tr>
    </w:tbl>
    <w:p/>
    <w:p>
      <w:pPr>
        <w:jc w:val="left"/>
      </w:pPr>
      <w:r>
        <w:rPr>
          <w:b/>
          <w:sz w:val="22"/>
        </w:rPr>
        <w:t>4.4 Domain-Level Analysis: The Prestige Proxy Effect</w:t>
      </w:r>
    </w:p>
    <w:p>
      <w:pPr>
        <w:spacing w:after="80"/>
        <w:ind w:firstLine="432"/>
        <w:jc w:val="both"/>
      </w:pPr>
      <w:r>
        <w:t>Table 4 disaggregates the institutional gradient by domain. The key finding is that the largest gradient appears in credit scoring (+0.500) and hiring (+0.375) — domains with different normative justifications for considering institutional affiliation. Credit scoring has no legitimate basis for weighting a borrower's alma mater; the cross-model gap of 0.500 points on a 10-point scale constitutes a clear prestige proxy bias. Health research funding shows a gap of +0.278; while institutional affiliation could partially justify differences in infrastructure quality, this gap persists after controlling for publication record and clinical experience listed identically in all profiles.</w:t>
      </w:r>
    </w:p>
    <w:p>
      <w:pPr>
        <w:spacing w:before="120" w:after="40"/>
        <w:jc w:val="center"/>
      </w:pPr>
      <w:r>
        <w:rPr>
          <w:b/>
          <w:sz w:val="20"/>
        </w:rPr>
        <w:t>Table 4. Institution Gradient (T1−T5) by Domain — Cross-Model Mean</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shd w:val="clear" w:color="auto" w:fill="BFBFBF"/>
          </w:tcPr>
          <w:p>
            <w:pPr>
              <w:jc w:val="center"/>
            </w:pPr>
            <w:r>
              <w:rPr>
                <w:b/>
                <w:sz w:val="18"/>
              </w:rPr>
              <w:t>Domain</w:t>
            </w:r>
          </w:p>
        </w:tc>
        <w:tc>
          <w:tcPr>
            <w:tcW w:type="dxa" w:w="1255"/>
            <w:shd w:val="clear" w:color="auto" w:fill="BFBFBF"/>
          </w:tcPr>
          <w:p>
            <w:pPr>
              <w:jc w:val="center"/>
            </w:pPr>
            <w:r>
              <w:rPr>
                <w:b/>
                <w:sz w:val="18"/>
              </w:rPr>
              <w:t>T1 MIT</w:t>
            </w:r>
          </w:p>
        </w:tc>
        <w:tc>
          <w:tcPr>
            <w:tcW w:type="dxa" w:w="1255"/>
            <w:shd w:val="clear" w:color="auto" w:fill="BFBFBF"/>
          </w:tcPr>
          <w:p>
            <w:pPr>
              <w:jc w:val="center"/>
            </w:pPr>
            <w:r>
              <w:rPr>
                <w:b/>
                <w:sz w:val="18"/>
              </w:rPr>
              <w:t>T2 UChile</w:t>
            </w:r>
          </w:p>
        </w:tc>
        <w:tc>
          <w:tcPr>
            <w:tcW w:type="dxa" w:w="1255"/>
            <w:shd w:val="clear" w:color="auto" w:fill="BFBFBF"/>
          </w:tcPr>
          <w:p>
            <w:pPr>
              <w:jc w:val="center"/>
            </w:pPr>
            <w:r>
              <w:rPr>
                <w:b/>
                <w:sz w:val="18"/>
              </w:rPr>
              <w:t>T3 UNAL</w:t>
            </w:r>
          </w:p>
        </w:tc>
        <w:tc>
          <w:tcPr>
            <w:tcW w:type="dxa" w:w="1255"/>
            <w:shd w:val="clear" w:color="auto" w:fill="BFBFBF"/>
          </w:tcPr>
          <w:p>
            <w:pPr>
              <w:jc w:val="center"/>
            </w:pPr>
            <w:r>
              <w:rPr>
                <w:b/>
                <w:sz w:val="18"/>
              </w:rPr>
              <w:t>T5 UGye</w:t>
            </w:r>
          </w:p>
        </w:tc>
        <w:tc>
          <w:tcPr>
            <w:tcW w:type="dxa" w:w="1255"/>
            <w:shd w:val="clear" w:color="auto" w:fill="BFBFBF"/>
          </w:tcPr>
          <w:p>
            <w:pPr>
              <w:jc w:val="center"/>
            </w:pPr>
            <w:r>
              <w:rPr>
                <w:b/>
                <w:sz w:val="18"/>
              </w:rPr>
              <w:t>Gap T1−T5</w:t>
            </w:r>
          </w:p>
        </w:tc>
        <w:tc>
          <w:tcPr>
            <w:tcW w:type="dxa" w:w="1255"/>
            <w:shd w:val="clear" w:color="auto" w:fill="BFBFBF"/>
          </w:tcPr>
          <w:p>
            <w:pPr>
              <w:jc w:val="center"/>
            </w:pPr>
            <w:r>
              <w:rPr>
                <w:b/>
                <w:sz w:val="18"/>
              </w:rPr>
              <w:t>Note</w:t>
            </w:r>
          </w:p>
        </w:tc>
      </w:tr>
      <w:tr>
        <w:tc>
          <w:tcPr>
            <w:tcW w:type="dxa" w:w="1255"/>
          </w:tcPr>
          <w:p>
            <w:pPr>
              <w:jc w:val="left"/>
            </w:pPr>
            <w:r>
              <w:rPr>
                <w:sz w:val="18"/>
              </w:rPr>
              <w:t>Scholarship</w:t>
            </w:r>
          </w:p>
        </w:tc>
        <w:tc>
          <w:tcPr>
            <w:tcW w:type="dxa" w:w="1255"/>
          </w:tcPr>
          <w:p>
            <w:pPr>
              <w:jc w:val="center"/>
            </w:pPr>
            <w:r>
              <w:rPr>
                <w:sz w:val="18"/>
              </w:rPr>
              <w:t>8.069</w:t>
            </w:r>
          </w:p>
        </w:tc>
        <w:tc>
          <w:tcPr>
            <w:tcW w:type="dxa" w:w="1255"/>
          </w:tcPr>
          <w:p>
            <w:pPr>
              <w:jc w:val="center"/>
            </w:pPr>
            <w:r>
              <w:rPr>
                <w:sz w:val="18"/>
              </w:rPr>
              <w:t>7.944</w:t>
            </w:r>
          </w:p>
        </w:tc>
        <w:tc>
          <w:tcPr>
            <w:tcW w:type="dxa" w:w="1255"/>
          </w:tcPr>
          <w:p>
            <w:pPr>
              <w:jc w:val="center"/>
            </w:pPr>
            <w:r>
              <w:rPr>
                <w:sz w:val="18"/>
              </w:rPr>
              <w:t>7.944</w:t>
            </w:r>
          </w:p>
        </w:tc>
        <w:tc>
          <w:tcPr>
            <w:tcW w:type="dxa" w:w="1255"/>
          </w:tcPr>
          <w:p>
            <w:pPr>
              <w:jc w:val="center"/>
            </w:pPr>
            <w:r>
              <w:rPr>
                <w:sz w:val="18"/>
              </w:rPr>
              <w:t>7.847</w:t>
            </w:r>
          </w:p>
        </w:tc>
        <w:tc>
          <w:tcPr>
            <w:tcW w:type="dxa" w:w="1255"/>
          </w:tcPr>
          <w:p>
            <w:pPr>
              <w:jc w:val="center"/>
            </w:pPr>
            <w:r>
              <w:rPr>
                <w:sz w:val="18"/>
              </w:rPr>
              <w:t>+0.222</w:t>
            </w:r>
          </w:p>
        </w:tc>
        <w:tc>
          <w:tcPr>
            <w:tcW w:type="dxa" w:w="1255"/>
          </w:tcPr>
          <w:p>
            <w:pPr>
              <w:jc w:val="center"/>
            </w:pPr>
            <w:r>
              <w:rPr>
                <w:sz w:val="18"/>
              </w:rPr>
            </w:r>
          </w:p>
        </w:tc>
      </w:tr>
      <w:tr>
        <w:tc>
          <w:tcPr>
            <w:tcW w:type="dxa" w:w="1255"/>
          </w:tcPr>
          <w:p>
            <w:pPr>
              <w:jc w:val="left"/>
            </w:pPr>
            <w:r>
              <w:rPr>
                <w:sz w:val="18"/>
              </w:rPr>
              <w:t>Hiring</w:t>
            </w:r>
          </w:p>
        </w:tc>
        <w:tc>
          <w:tcPr>
            <w:tcW w:type="dxa" w:w="1255"/>
          </w:tcPr>
          <w:p>
            <w:pPr>
              <w:jc w:val="center"/>
            </w:pPr>
            <w:r>
              <w:rPr>
                <w:sz w:val="18"/>
              </w:rPr>
              <w:t>8.292</w:t>
            </w:r>
          </w:p>
        </w:tc>
        <w:tc>
          <w:tcPr>
            <w:tcW w:type="dxa" w:w="1255"/>
          </w:tcPr>
          <w:p>
            <w:pPr>
              <w:jc w:val="center"/>
            </w:pPr>
            <w:r>
              <w:rPr>
                <w:sz w:val="18"/>
              </w:rPr>
              <w:t>8.097</w:t>
            </w:r>
          </w:p>
        </w:tc>
        <w:tc>
          <w:tcPr>
            <w:tcW w:type="dxa" w:w="1255"/>
          </w:tcPr>
          <w:p>
            <w:pPr>
              <w:jc w:val="center"/>
            </w:pPr>
            <w:r>
              <w:rPr>
                <w:sz w:val="18"/>
              </w:rPr>
              <w:t>8.028</w:t>
            </w:r>
          </w:p>
        </w:tc>
        <w:tc>
          <w:tcPr>
            <w:tcW w:type="dxa" w:w="1255"/>
          </w:tcPr>
          <w:p>
            <w:pPr>
              <w:jc w:val="center"/>
            </w:pPr>
            <w:r>
              <w:rPr>
                <w:sz w:val="18"/>
              </w:rPr>
              <w:t>7.917</w:t>
            </w:r>
          </w:p>
        </w:tc>
        <w:tc>
          <w:tcPr>
            <w:tcW w:type="dxa" w:w="1255"/>
          </w:tcPr>
          <w:p>
            <w:pPr>
              <w:jc w:val="center"/>
            </w:pPr>
            <w:r>
              <w:rPr>
                <w:sz w:val="18"/>
              </w:rPr>
              <w:t>+0.375</w:t>
            </w:r>
          </w:p>
        </w:tc>
        <w:tc>
          <w:tcPr>
            <w:tcW w:type="dxa" w:w="1255"/>
          </w:tcPr>
          <w:p>
            <w:pPr>
              <w:jc w:val="center"/>
            </w:pPr>
            <w:r>
              <w:rPr>
                <w:sz w:val="18"/>
              </w:rPr>
            </w:r>
          </w:p>
        </w:tc>
      </w:tr>
      <w:tr>
        <w:tc>
          <w:tcPr>
            <w:tcW w:type="dxa" w:w="1255"/>
          </w:tcPr>
          <w:p>
            <w:pPr>
              <w:jc w:val="left"/>
            </w:pPr>
            <w:r>
              <w:rPr>
                <w:sz w:val="18"/>
              </w:rPr>
              <w:t>Credit</w:t>
            </w:r>
          </w:p>
        </w:tc>
        <w:tc>
          <w:tcPr>
            <w:tcW w:type="dxa" w:w="1255"/>
          </w:tcPr>
          <w:p>
            <w:pPr>
              <w:jc w:val="center"/>
            </w:pPr>
            <w:r>
              <w:rPr>
                <w:sz w:val="18"/>
              </w:rPr>
              <w:t>7.583</w:t>
            </w:r>
          </w:p>
        </w:tc>
        <w:tc>
          <w:tcPr>
            <w:tcW w:type="dxa" w:w="1255"/>
          </w:tcPr>
          <w:p>
            <w:pPr>
              <w:jc w:val="center"/>
            </w:pPr>
            <w:r>
              <w:rPr>
                <w:sz w:val="18"/>
              </w:rPr>
              <w:t>7.181</w:t>
            </w:r>
          </w:p>
        </w:tc>
        <w:tc>
          <w:tcPr>
            <w:tcW w:type="dxa" w:w="1255"/>
          </w:tcPr>
          <w:p>
            <w:pPr>
              <w:jc w:val="center"/>
            </w:pPr>
            <w:r>
              <w:rPr>
                <w:sz w:val="18"/>
              </w:rPr>
              <w:t>7.236</w:t>
            </w:r>
          </w:p>
        </w:tc>
        <w:tc>
          <w:tcPr>
            <w:tcW w:type="dxa" w:w="1255"/>
          </w:tcPr>
          <w:p>
            <w:pPr>
              <w:jc w:val="center"/>
            </w:pPr>
            <w:r>
              <w:rPr>
                <w:sz w:val="18"/>
              </w:rPr>
              <w:t>7.083</w:t>
            </w:r>
          </w:p>
        </w:tc>
        <w:tc>
          <w:tcPr>
            <w:tcW w:type="dxa" w:w="1255"/>
          </w:tcPr>
          <w:p>
            <w:pPr>
              <w:jc w:val="center"/>
            </w:pPr>
            <w:r>
              <w:rPr>
                <w:sz w:val="18"/>
              </w:rPr>
              <w:t>+0.500</w:t>
            </w:r>
          </w:p>
        </w:tc>
        <w:tc>
          <w:tcPr>
            <w:tcW w:type="dxa" w:w="1255"/>
          </w:tcPr>
          <w:p>
            <w:pPr>
              <w:jc w:val="center"/>
            </w:pPr>
            <w:r>
              <w:rPr>
                <w:sz w:val="18"/>
              </w:rPr>
              <w:t>** prestige proxy **</w:t>
            </w:r>
          </w:p>
        </w:tc>
      </w:tr>
      <w:tr>
        <w:tc>
          <w:tcPr>
            <w:tcW w:type="dxa" w:w="1255"/>
          </w:tcPr>
          <w:p>
            <w:pPr>
              <w:jc w:val="left"/>
            </w:pPr>
            <w:r>
              <w:rPr>
                <w:sz w:val="18"/>
              </w:rPr>
              <w:t>Health</w:t>
            </w:r>
          </w:p>
        </w:tc>
        <w:tc>
          <w:tcPr>
            <w:tcW w:type="dxa" w:w="1255"/>
          </w:tcPr>
          <w:p>
            <w:pPr>
              <w:jc w:val="center"/>
            </w:pPr>
            <w:r>
              <w:rPr>
                <w:sz w:val="18"/>
              </w:rPr>
              <w:t>7.708</w:t>
            </w:r>
          </w:p>
        </w:tc>
        <w:tc>
          <w:tcPr>
            <w:tcW w:type="dxa" w:w="1255"/>
          </w:tcPr>
          <w:p>
            <w:pPr>
              <w:jc w:val="center"/>
            </w:pPr>
            <w:r>
              <w:rPr>
                <w:sz w:val="18"/>
              </w:rPr>
              <w:t>7.611</w:t>
            </w:r>
          </w:p>
        </w:tc>
        <w:tc>
          <w:tcPr>
            <w:tcW w:type="dxa" w:w="1255"/>
          </w:tcPr>
          <w:p>
            <w:pPr>
              <w:jc w:val="center"/>
            </w:pPr>
            <w:r>
              <w:rPr>
                <w:sz w:val="18"/>
              </w:rPr>
              <w:t>7.542</w:t>
            </w:r>
          </w:p>
        </w:tc>
        <w:tc>
          <w:tcPr>
            <w:tcW w:type="dxa" w:w="1255"/>
          </w:tcPr>
          <w:p>
            <w:pPr>
              <w:jc w:val="center"/>
            </w:pPr>
            <w:r>
              <w:rPr>
                <w:sz w:val="18"/>
              </w:rPr>
              <w:t>7.431</w:t>
            </w:r>
          </w:p>
        </w:tc>
        <w:tc>
          <w:tcPr>
            <w:tcW w:type="dxa" w:w="1255"/>
          </w:tcPr>
          <w:p>
            <w:pPr>
              <w:jc w:val="center"/>
            </w:pPr>
            <w:r>
              <w:rPr>
                <w:sz w:val="18"/>
              </w:rPr>
              <w:t>+0.278</w:t>
            </w:r>
          </w:p>
        </w:tc>
        <w:tc>
          <w:tcPr>
            <w:tcW w:type="dxa" w:w="1255"/>
          </w:tcPr>
          <w:p>
            <w:pPr>
              <w:jc w:val="center"/>
            </w:pPr>
            <w:r>
              <w:rPr>
                <w:sz w:val="18"/>
              </w:rPr>
              <w:t>** prestige proxy **</w:t>
            </w:r>
          </w:p>
        </w:tc>
      </w:tr>
      <w:tr>
        <w:tc>
          <w:tcPr>
            <w:tcW w:type="dxa" w:w="1255"/>
          </w:tcPr>
          <w:p>
            <w:pPr>
              <w:jc w:val="left"/>
            </w:pPr>
            <w:r>
              <w:rPr>
                <w:sz w:val="18"/>
              </w:rPr>
              <w:t>Public Policy</w:t>
            </w:r>
          </w:p>
        </w:tc>
        <w:tc>
          <w:tcPr>
            <w:tcW w:type="dxa" w:w="1255"/>
          </w:tcPr>
          <w:p>
            <w:pPr>
              <w:jc w:val="center"/>
            </w:pPr>
            <w:r>
              <w:rPr>
                <w:sz w:val="18"/>
              </w:rPr>
              <w:t>7.153</w:t>
            </w:r>
          </w:p>
        </w:tc>
        <w:tc>
          <w:tcPr>
            <w:tcW w:type="dxa" w:w="1255"/>
          </w:tcPr>
          <w:p>
            <w:pPr>
              <w:jc w:val="center"/>
            </w:pPr>
            <w:r>
              <w:rPr>
                <w:sz w:val="18"/>
              </w:rPr>
              <w:t>7.028</w:t>
            </w:r>
          </w:p>
        </w:tc>
        <w:tc>
          <w:tcPr>
            <w:tcW w:type="dxa" w:w="1255"/>
          </w:tcPr>
          <w:p>
            <w:pPr>
              <w:jc w:val="center"/>
            </w:pPr>
            <w:r>
              <w:rPr>
                <w:sz w:val="18"/>
              </w:rPr>
              <w:t>7.167</w:t>
            </w:r>
          </w:p>
        </w:tc>
        <w:tc>
          <w:tcPr>
            <w:tcW w:type="dxa" w:w="1255"/>
          </w:tcPr>
          <w:p>
            <w:pPr>
              <w:jc w:val="center"/>
            </w:pPr>
            <w:r>
              <w:rPr>
                <w:sz w:val="18"/>
              </w:rPr>
              <w:t>7.042</w:t>
            </w:r>
          </w:p>
        </w:tc>
        <w:tc>
          <w:tcPr>
            <w:tcW w:type="dxa" w:w="1255"/>
          </w:tcPr>
          <w:p>
            <w:pPr>
              <w:jc w:val="center"/>
            </w:pPr>
            <w:r>
              <w:rPr>
                <w:sz w:val="18"/>
              </w:rPr>
              <w:t>+0.111</w:t>
            </w:r>
          </w:p>
        </w:tc>
        <w:tc>
          <w:tcPr>
            <w:tcW w:type="dxa" w:w="1255"/>
          </w:tcPr>
          <w:p>
            <w:pPr>
              <w:jc w:val="center"/>
            </w:pPr>
            <w:r>
              <w:rPr>
                <w:sz w:val="18"/>
              </w:rPr>
            </w:r>
          </w:p>
        </w:tc>
      </w:tr>
    </w:tbl>
    <w:p/>
    <w:p>
      <w:pPr>
        <w:jc w:val="left"/>
      </w:pPr>
      <w:r>
        <w:rPr>
          <w:b/>
          <w:sz w:val="22"/>
        </w:rPr>
        <w:t>4.5 Neutrosophic Bias Index</w:t>
      </w:r>
    </w:p>
    <w:p>
      <w:pPr>
        <w:spacing w:after="80"/>
        <w:ind w:firstLine="432"/>
        <w:jc w:val="both"/>
      </w:pPr>
      <w:r>
        <w:t>Table 5 reports NBI ⟨T, I, F⟩ for the Anglo_T1 baseline and the three T5 profiles. The F component (systematic bias penalty) is zero by construction for the reference profile and positive for all T5 profiles. Llama 3.1 8B shows the highest F values (0.033–0.057), indicating the strongest systematic downward penalty for non-elite institutional affiliation. GPT-4o-mini shows the lowest F values (0.017–0.020), consistent with its smallest institutional gradient.</w:t>
      </w:r>
    </w:p>
    <w:p>
      <w:pPr>
        <w:spacing w:before="120" w:after="40"/>
        <w:jc w:val="center"/>
      </w:pPr>
      <w:r>
        <w:rPr>
          <w:b/>
          <w:sz w:val="20"/>
        </w:rPr>
        <w:t>Table 5. NBI ⟨T, I, F⟩ — Reference Profile and T5 Profiles</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val="clear" w:color="auto" w:fill="BFBFBF"/>
          </w:tcPr>
          <w:p>
            <w:pPr>
              <w:jc w:val="center"/>
            </w:pPr>
            <w:r>
              <w:rPr>
                <w:b/>
                <w:sz w:val="18"/>
              </w:rPr>
              <w:t>Model</w:t>
            </w:r>
          </w:p>
        </w:tc>
        <w:tc>
          <w:tcPr>
            <w:tcW w:type="dxa" w:w="1757"/>
            <w:shd w:val="clear" w:color="auto" w:fill="BFBFBF"/>
          </w:tcPr>
          <w:p>
            <w:pPr>
              <w:jc w:val="center"/>
            </w:pPr>
            <w:r>
              <w:rPr>
                <w:b/>
                <w:sz w:val="18"/>
              </w:rPr>
              <w:t>Profile</w:t>
            </w:r>
          </w:p>
        </w:tc>
        <w:tc>
          <w:tcPr>
            <w:tcW w:type="dxa" w:w="1757"/>
            <w:shd w:val="clear" w:color="auto" w:fill="BFBFBF"/>
          </w:tcPr>
          <w:p>
            <w:pPr>
              <w:jc w:val="center"/>
            </w:pPr>
            <w:r>
              <w:rPr>
                <w:b/>
                <w:sz w:val="18"/>
              </w:rPr>
              <w:t>T</w:t>
            </w:r>
          </w:p>
        </w:tc>
        <w:tc>
          <w:tcPr>
            <w:tcW w:type="dxa" w:w="1757"/>
            <w:shd w:val="clear" w:color="auto" w:fill="BFBFBF"/>
          </w:tcPr>
          <w:p>
            <w:pPr>
              <w:jc w:val="center"/>
            </w:pPr>
            <w:r>
              <w:rPr>
                <w:b/>
                <w:sz w:val="18"/>
              </w:rPr>
              <w:t>I</w:t>
            </w:r>
          </w:p>
        </w:tc>
        <w:tc>
          <w:tcPr>
            <w:tcW w:type="dxa" w:w="1757"/>
            <w:shd w:val="clear" w:color="auto" w:fill="BFBFBF"/>
          </w:tcPr>
          <w:p>
            <w:pPr>
              <w:jc w:val="center"/>
            </w:pPr>
            <w:r>
              <w:rPr>
                <w:b/>
                <w:sz w:val="18"/>
              </w:rPr>
              <w:t>F (bias)</w:t>
            </w:r>
          </w:p>
        </w:tc>
      </w:tr>
      <w:tr>
        <w:tc>
          <w:tcPr>
            <w:tcW w:type="dxa" w:w="1757"/>
          </w:tcPr>
          <w:p>
            <w:pPr>
              <w:jc w:val="left"/>
            </w:pPr>
            <w:r>
              <w:rPr>
                <w:sz w:val="18"/>
              </w:rPr>
              <w:t>Claude Haiku 4.5</w:t>
            </w:r>
          </w:p>
        </w:tc>
        <w:tc>
          <w:tcPr>
            <w:tcW w:type="dxa" w:w="1757"/>
          </w:tcPr>
          <w:p>
            <w:pPr>
              <w:jc w:val="center"/>
            </w:pPr>
            <w:r>
              <w:rPr>
                <w:sz w:val="18"/>
              </w:rPr>
              <w:t>Anglo_T1</w:t>
            </w:r>
          </w:p>
        </w:tc>
        <w:tc>
          <w:tcPr>
            <w:tcW w:type="dxa" w:w="1757"/>
          </w:tcPr>
          <w:p>
            <w:pPr>
              <w:jc w:val="center"/>
            </w:pPr>
            <w:r>
              <w:rPr>
                <w:sz w:val="18"/>
              </w:rPr>
              <w:t>0.7400</w:t>
            </w:r>
          </w:p>
        </w:tc>
        <w:tc>
          <w:tcPr>
            <w:tcW w:type="dxa" w:w="1757"/>
          </w:tcPr>
          <w:p>
            <w:pPr>
              <w:jc w:val="center"/>
            </w:pPr>
            <w:r>
              <w:rPr>
                <w:sz w:val="18"/>
              </w:rPr>
              <w:t>0.0786</w:t>
            </w:r>
          </w:p>
        </w:tc>
        <w:tc>
          <w:tcPr>
            <w:tcW w:type="dxa" w:w="1757"/>
          </w:tcPr>
          <w:p>
            <w:pPr>
              <w:jc w:val="center"/>
            </w:pPr>
            <w:r>
              <w:rPr>
                <w:sz w:val="18"/>
              </w:rPr>
              <w:t>0.0000</w:t>
            </w:r>
          </w:p>
        </w:tc>
      </w:tr>
      <w:tr>
        <w:tc>
          <w:tcPr>
            <w:tcW w:type="dxa" w:w="1757"/>
          </w:tcPr>
          <w:p>
            <w:pPr>
              <w:jc w:val="left"/>
            </w:pPr>
            <w:r>
              <w:rPr>
                <w:sz w:val="18"/>
              </w:rPr>
              <w:t>Claude Haiku 4.5</w:t>
            </w:r>
          </w:p>
        </w:tc>
        <w:tc>
          <w:tcPr>
            <w:tcW w:type="dxa" w:w="1757"/>
          </w:tcPr>
          <w:p>
            <w:pPr>
              <w:jc w:val="center"/>
            </w:pPr>
            <w:r>
              <w:rPr>
                <w:sz w:val="18"/>
              </w:rPr>
              <w:t>Anglo_T5</w:t>
            </w:r>
          </w:p>
        </w:tc>
        <w:tc>
          <w:tcPr>
            <w:tcW w:type="dxa" w:w="1757"/>
          </w:tcPr>
          <w:p>
            <w:pPr>
              <w:jc w:val="center"/>
            </w:pPr>
            <w:r>
              <w:rPr>
                <w:sz w:val="18"/>
              </w:rPr>
              <w:t>0.7100</w:t>
            </w:r>
          </w:p>
        </w:tc>
        <w:tc>
          <w:tcPr>
            <w:tcW w:type="dxa" w:w="1757"/>
          </w:tcPr>
          <w:p>
            <w:pPr>
              <w:jc w:val="center"/>
            </w:pPr>
            <w:r>
              <w:rPr>
                <w:sz w:val="18"/>
              </w:rPr>
              <w:t>0.1181</w:t>
            </w:r>
          </w:p>
        </w:tc>
        <w:tc>
          <w:tcPr>
            <w:tcW w:type="dxa" w:w="1757"/>
          </w:tcPr>
          <w:p>
            <w:pPr>
              <w:jc w:val="center"/>
            </w:pPr>
            <w:r>
              <w:rPr>
                <w:sz w:val="18"/>
              </w:rPr>
              <w:t>0.0300</w:t>
            </w:r>
          </w:p>
        </w:tc>
      </w:tr>
      <w:tr>
        <w:tc>
          <w:tcPr>
            <w:tcW w:type="dxa" w:w="1757"/>
          </w:tcPr>
          <w:p>
            <w:pPr>
              <w:jc w:val="left"/>
            </w:pPr>
            <w:r>
              <w:rPr>
                <w:sz w:val="18"/>
              </w:rPr>
              <w:t>Claude Haiku 4.5</w:t>
            </w:r>
          </w:p>
        </w:tc>
        <w:tc>
          <w:tcPr>
            <w:tcW w:type="dxa" w:w="1757"/>
          </w:tcPr>
          <w:p>
            <w:pPr>
              <w:jc w:val="center"/>
            </w:pPr>
            <w:r>
              <w:rPr>
                <w:sz w:val="18"/>
              </w:rPr>
              <w:t>Latino_T5</w:t>
            </w:r>
          </w:p>
        </w:tc>
        <w:tc>
          <w:tcPr>
            <w:tcW w:type="dxa" w:w="1757"/>
          </w:tcPr>
          <w:p>
            <w:pPr>
              <w:jc w:val="center"/>
            </w:pPr>
            <w:r>
              <w:rPr>
                <w:sz w:val="18"/>
              </w:rPr>
              <w:t>0.7067</w:t>
            </w:r>
          </w:p>
        </w:tc>
        <w:tc>
          <w:tcPr>
            <w:tcW w:type="dxa" w:w="1757"/>
          </w:tcPr>
          <w:p>
            <w:pPr>
              <w:jc w:val="center"/>
            </w:pPr>
            <w:r>
              <w:rPr>
                <w:sz w:val="18"/>
              </w:rPr>
              <w:t>0.1087</w:t>
            </w:r>
          </w:p>
        </w:tc>
        <w:tc>
          <w:tcPr>
            <w:tcW w:type="dxa" w:w="1757"/>
          </w:tcPr>
          <w:p>
            <w:pPr>
              <w:jc w:val="center"/>
            </w:pPr>
            <w:r>
              <w:rPr>
                <w:sz w:val="18"/>
              </w:rPr>
              <w:t>0.0333</w:t>
            </w:r>
          </w:p>
        </w:tc>
      </w:tr>
      <w:tr>
        <w:tc>
          <w:tcPr>
            <w:tcW w:type="dxa" w:w="1757"/>
          </w:tcPr>
          <w:p>
            <w:pPr>
              <w:jc w:val="left"/>
            </w:pPr>
            <w:r>
              <w:rPr>
                <w:sz w:val="18"/>
              </w:rPr>
              <w:t>Claude Haiku 4.5</w:t>
            </w:r>
          </w:p>
        </w:tc>
        <w:tc>
          <w:tcPr>
            <w:tcW w:type="dxa" w:w="1757"/>
          </w:tcPr>
          <w:p>
            <w:pPr>
              <w:jc w:val="center"/>
            </w:pPr>
            <w:r>
              <w:rPr>
                <w:sz w:val="18"/>
              </w:rPr>
              <w:t>Arabic_T5</w:t>
            </w:r>
          </w:p>
        </w:tc>
        <w:tc>
          <w:tcPr>
            <w:tcW w:type="dxa" w:w="1757"/>
          </w:tcPr>
          <w:p>
            <w:pPr>
              <w:jc w:val="center"/>
            </w:pPr>
            <w:r>
              <w:rPr>
                <w:sz w:val="18"/>
              </w:rPr>
              <w:t>0.7233</w:t>
            </w:r>
          </w:p>
        </w:tc>
        <w:tc>
          <w:tcPr>
            <w:tcW w:type="dxa" w:w="1757"/>
          </w:tcPr>
          <w:p>
            <w:pPr>
              <w:jc w:val="center"/>
            </w:pPr>
            <w:r>
              <w:rPr>
                <w:sz w:val="18"/>
              </w:rPr>
              <w:t>0.1087</w:t>
            </w:r>
          </w:p>
        </w:tc>
        <w:tc>
          <w:tcPr>
            <w:tcW w:type="dxa" w:w="1757"/>
          </w:tcPr>
          <w:p>
            <w:pPr>
              <w:jc w:val="center"/>
            </w:pPr>
            <w:r>
              <w:rPr>
                <w:sz w:val="18"/>
              </w:rPr>
              <w:t>0.0167</w:t>
            </w:r>
          </w:p>
        </w:tc>
      </w:tr>
      <w:tr>
        <w:tc>
          <w:tcPr>
            <w:tcW w:type="dxa" w:w="1757"/>
          </w:tcPr>
          <w:p>
            <w:pPr>
              <w:jc w:val="left"/>
            </w:pPr>
            <w:r>
              <w:rPr>
                <w:sz w:val="18"/>
              </w:rPr>
              <w:t>GPT-4o-mini</w:t>
            </w:r>
          </w:p>
        </w:tc>
        <w:tc>
          <w:tcPr>
            <w:tcW w:type="dxa" w:w="1757"/>
          </w:tcPr>
          <w:p>
            <w:pPr>
              <w:jc w:val="center"/>
            </w:pPr>
            <w:r>
              <w:rPr>
                <w:sz w:val="18"/>
              </w:rPr>
              <w:t>Anglo_T1</w:t>
            </w:r>
          </w:p>
        </w:tc>
        <w:tc>
          <w:tcPr>
            <w:tcW w:type="dxa" w:w="1757"/>
          </w:tcPr>
          <w:p>
            <w:pPr>
              <w:jc w:val="center"/>
            </w:pPr>
            <w:r>
              <w:rPr>
                <w:sz w:val="18"/>
              </w:rPr>
              <w:t>0.8283</w:t>
            </w:r>
          </w:p>
        </w:tc>
        <w:tc>
          <w:tcPr>
            <w:tcW w:type="dxa" w:w="1757"/>
          </w:tcPr>
          <w:p>
            <w:pPr>
              <w:jc w:val="center"/>
            </w:pPr>
            <w:r>
              <w:rPr>
                <w:sz w:val="18"/>
              </w:rPr>
              <w:t>0.1264</w:t>
            </w:r>
          </w:p>
        </w:tc>
        <w:tc>
          <w:tcPr>
            <w:tcW w:type="dxa" w:w="1757"/>
          </w:tcPr>
          <w:p>
            <w:pPr>
              <w:jc w:val="center"/>
            </w:pPr>
            <w:r>
              <w:rPr>
                <w:sz w:val="18"/>
              </w:rPr>
              <w:t>0.0000</w:t>
            </w:r>
          </w:p>
        </w:tc>
      </w:tr>
      <w:tr>
        <w:tc>
          <w:tcPr>
            <w:tcW w:type="dxa" w:w="1757"/>
          </w:tcPr>
          <w:p>
            <w:pPr>
              <w:jc w:val="left"/>
            </w:pPr>
            <w:r>
              <w:rPr>
                <w:sz w:val="18"/>
              </w:rPr>
              <w:t>GPT-4o-mini</w:t>
            </w:r>
          </w:p>
        </w:tc>
        <w:tc>
          <w:tcPr>
            <w:tcW w:type="dxa" w:w="1757"/>
          </w:tcPr>
          <w:p>
            <w:pPr>
              <w:jc w:val="center"/>
            </w:pPr>
            <w:r>
              <w:rPr>
                <w:sz w:val="18"/>
              </w:rPr>
              <w:t>Anglo_T5</w:t>
            </w:r>
          </w:p>
        </w:tc>
        <w:tc>
          <w:tcPr>
            <w:tcW w:type="dxa" w:w="1757"/>
          </w:tcPr>
          <w:p>
            <w:pPr>
              <w:jc w:val="center"/>
            </w:pPr>
            <w:r>
              <w:rPr>
                <w:sz w:val="18"/>
              </w:rPr>
              <w:t>0.8111</w:t>
            </w:r>
          </w:p>
        </w:tc>
        <w:tc>
          <w:tcPr>
            <w:tcW w:type="dxa" w:w="1757"/>
          </w:tcPr>
          <w:p>
            <w:pPr>
              <w:jc w:val="center"/>
            </w:pPr>
            <w:r>
              <w:rPr>
                <w:sz w:val="18"/>
              </w:rPr>
              <w:t>0.1257</w:t>
            </w:r>
          </w:p>
        </w:tc>
        <w:tc>
          <w:tcPr>
            <w:tcW w:type="dxa" w:w="1757"/>
          </w:tcPr>
          <w:p>
            <w:pPr>
              <w:jc w:val="center"/>
            </w:pPr>
            <w:r>
              <w:rPr>
                <w:sz w:val="18"/>
              </w:rPr>
              <w:t>0.0166</w:t>
            </w:r>
          </w:p>
        </w:tc>
      </w:tr>
      <w:tr>
        <w:tc>
          <w:tcPr>
            <w:tcW w:type="dxa" w:w="1757"/>
          </w:tcPr>
          <w:p>
            <w:pPr>
              <w:jc w:val="left"/>
            </w:pPr>
            <w:r>
              <w:rPr>
                <w:sz w:val="18"/>
              </w:rPr>
              <w:t>GPT-4o-mini</w:t>
            </w:r>
          </w:p>
        </w:tc>
        <w:tc>
          <w:tcPr>
            <w:tcW w:type="dxa" w:w="1757"/>
          </w:tcPr>
          <w:p>
            <w:pPr>
              <w:jc w:val="center"/>
            </w:pPr>
            <w:r>
              <w:rPr>
                <w:sz w:val="18"/>
              </w:rPr>
              <w:t>Latino_T5</w:t>
            </w:r>
          </w:p>
        </w:tc>
        <w:tc>
          <w:tcPr>
            <w:tcW w:type="dxa" w:w="1757"/>
          </w:tcPr>
          <w:p>
            <w:pPr>
              <w:jc w:val="center"/>
            </w:pPr>
            <w:r>
              <w:rPr>
                <w:sz w:val="18"/>
              </w:rPr>
              <w:t>0.8085</w:t>
            </w:r>
          </w:p>
        </w:tc>
        <w:tc>
          <w:tcPr>
            <w:tcW w:type="dxa" w:w="1757"/>
          </w:tcPr>
          <w:p>
            <w:pPr>
              <w:jc w:val="center"/>
            </w:pPr>
            <w:r>
              <w:rPr>
                <w:sz w:val="18"/>
              </w:rPr>
              <w:t>0.1251</w:t>
            </w:r>
          </w:p>
        </w:tc>
        <w:tc>
          <w:tcPr>
            <w:tcW w:type="dxa" w:w="1757"/>
          </w:tcPr>
          <w:p>
            <w:pPr>
              <w:jc w:val="center"/>
            </w:pPr>
            <w:r>
              <w:rPr>
                <w:sz w:val="18"/>
              </w:rPr>
              <w:t>0.0198</w:t>
            </w:r>
          </w:p>
        </w:tc>
      </w:tr>
      <w:tr>
        <w:tc>
          <w:tcPr>
            <w:tcW w:type="dxa" w:w="1757"/>
          </w:tcPr>
          <w:p>
            <w:pPr>
              <w:jc w:val="left"/>
            </w:pPr>
            <w:r>
              <w:rPr>
                <w:sz w:val="18"/>
              </w:rPr>
              <w:t>GPT-4o-mini</w:t>
            </w:r>
          </w:p>
        </w:tc>
        <w:tc>
          <w:tcPr>
            <w:tcW w:type="dxa" w:w="1757"/>
          </w:tcPr>
          <w:p>
            <w:pPr>
              <w:jc w:val="center"/>
            </w:pPr>
            <w:r>
              <w:rPr>
                <w:sz w:val="18"/>
              </w:rPr>
              <w:t>Arabic_T5</w:t>
            </w:r>
          </w:p>
        </w:tc>
        <w:tc>
          <w:tcPr>
            <w:tcW w:type="dxa" w:w="1757"/>
          </w:tcPr>
          <w:p>
            <w:pPr>
              <w:jc w:val="center"/>
            </w:pPr>
            <w:r>
              <w:rPr>
                <w:sz w:val="18"/>
              </w:rPr>
              <w:t>0.8111</w:t>
            </w:r>
          </w:p>
        </w:tc>
        <w:tc>
          <w:tcPr>
            <w:tcW w:type="dxa" w:w="1757"/>
          </w:tcPr>
          <w:p>
            <w:pPr>
              <w:jc w:val="center"/>
            </w:pPr>
            <w:r>
              <w:rPr>
                <w:sz w:val="18"/>
              </w:rPr>
              <w:t>0.1257</w:t>
            </w:r>
          </w:p>
        </w:tc>
        <w:tc>
          <w:tcPr>
            <w:tcW w:type="dxa" w:w="1757"/>
          </w:tcPr>
          <w:p>
            <w:pPr>
              <w:jc w:val="center"/>
            </w:pPr>
            <w:r>
              <w:rPr>
                <w:sz w:val="18"/>
              </w:rPr>
              <w:t>0.0166</w:t>
            </w:r>
          </w:p>
        </w:tc>
      </w:tr>
      <w:tr>
        <w:tc>
          <w:tcPr>
            <w:tcW w:type="dxa" w:w="1757"/>
          </w:tcPr>
          <w:p>
            <w:pPr>
              <w:jc w:val="left"/>
            </w:pPr>
            <w:r>
              <w:rPr>
                <w:sz w:val="18"/>
              </w:rPr>
              <w:t>Gemini 2.0 Flash</w:t>
            </w:r>
          </w:p>
        </w:tc>
        <w:tc>
          <w:tcPr>
            <w:tcW w:type="dxa" w:w="1757"/>
          </w:tcPr>
          <w:p>
            <w:pPr>
              <w:jc w:val="center"/>
            </w:pPr>
            <w:r>
              <w:rPr>
                <w:sz w:val="18"/>
              </w:rPr>
              <w:t>Anglo_T1</w:t>
            </w:r>
          </w:p>
        </w:tc>
        <w:tc>
          <w:tcPr>
            <w:tcW w:type="dxa" w:w="1757"/>
          </w:tcPr>
          <w:p>
            <w:pPr>
              <w:jc w:val="center"/>
            </w:pPr>
            <w:r>
              <w:rPr>
                <w:sz w:val="18"/>
              </w:rPr>
              <w:t>0.7533</w:t>
            </w:r>
          </w:p>
        </w:tc>
        <w:tc>
          <w:tcPr>
            <w:tcW w:type="dxa" w:w="1757"/>
          </w:tcPr>
          <w:p>
            <w:pPr>
              <w:jc w:val="center"/>
            </w:pPr>
            <w:r>
              <w:rPr>
                <w:sz w:val="18"/>
              </w:rPr>
              <w:t>0.1393</w:t>
            </w:r>
          </w:p>
        </w:tc>
        <w:tc>
          <w:tcPr>
            <w:tcW w:type="dxa" w:w="1757"/>
          </w:tcPr>
          <w:p>
            <w:pPr>
              <w:jc w:val="center"/>
            </w:pPr>
            <w:r>
              <w:rPr>
                <w:sz w:val="18"/>
              </w:rPr>
              <w:t>0.0000</w:t>
            </w:r>
          </w:p>
        </w:tc>
      </w:tr>
      <w:tr>
        <w:tc>
          <w:tcPr>
            <w:tcW w:type="dxa" w:w="1757"/>
          </w:tcPr>
          <w:p>
            <w:pPr>
              <w:jc w:val="left"/>
            </w:pPr>
            <w:r>
              <w:rPr>
                <w:sz w:val="18"/>
              </w:rPr>
              <w:t>Gemini 2.0 Flash</w:t>
            </w:r>
          </w:p>
        </w:tc>
        <w:tc>
          <w:tcPr>
            <w:tcW w:type="dxa" w:w="1757"/>
          </w:tcPr>
          <w:p>
            <w:pPr>
              <w:jc w:val="center"/>
            </w:pPr>
            <w:r>
              <w:rPr>
                <w:sz w:val="18"/>
              </w:rPr>
              <w:t>Anglo_T5</w:t>
            </w:r>
          </w:p>
        </w:tc>
        <w:tc>
          <w:tcPr>
            <w:tcW w:type="dxa" w:w="1757"/>
          </w:tcPr>
          <w:p>
            <w:pPr>
              <w:jc w:val="center"/>
            </w:pPr>
            <w:r>
              <w:rPr>
                <w:sz w:val="18"/>
              </w:rPr>
              <w:t>0.7047</w:t>
            </w:r>
          </w:p>
        </w:tc>
        <w:tc>
          <w:tcPr>
            <w:tcW w:type="dxa" w:w="1757"/>
          </w:tcPr>
          <w:p>
            <w:pPr>
              <w:jc w:val="center"/>
            </w:pPr>
            <w:r>
              <w:rPr>
                <w:sz w:val="18"/>
              </w:rPr>
              <w:t>0.1256</w:t>
            </w:r>
          </w:p>
        </w:tc>
        <w:tc>
          <w:tcPr>
            <w:tcW w:type="dxa" w:w="1757"/>
          </w:tcPr>
          <w:p>
            <w:pPr>
              <w:jc w:val="center"/>
            </w:pPr>
            <w:r>
              <w:rPr>
                <w:sz w:val="18"/>
              </w:rPr>
              <w:t>0.0464</w:t>
            </w:r>
          </w:p>
        </w:tc>
      </w:tr>
      <w:tr>
        <w:tc>
          <w:tcPr>
            <w:tcW w:type="dxa" w:w="1757"/>
          </w:tcPr>
          <w:p>
            <w:pPr>
              <w:jc w:val="left"/>
            </w:pPr>
            <w:r>
              <w:rPr>
                <w:sz w:val="18"/>
              </w:rPr>
              <w:t>Gemini 2.0 Flash</w:t>
            </w:r>
          </w:p>
        </w:tc>
        <w:tc>
          <w:tcPr>
            <w:tcW w:type="dxa" w:w="1757"/>
          </w:tcPr>
          <w:p>
            <w:pPr>
              <w:jc w:val="center"/>
            </w:pPr>
            <w:r>
              <w:rPr>
                <w:sz w:val="18"/>
              </w:rPr>
              <w:t>Latino_T5</w:t>
            </w:r>
          </w:p>
        </w:tc>
        <w:tc>
          <w:tcPr>
            <w:tcW w:type="dxa" w:w="1757"/>
          </w:tcPr>
          <w:p>
            <w:pPr>
              <w:jc w:val="center"/>
            </w:pPr>
            <w:r>
              <w:rPr>
                <w:sz w:val="18"/>
              </w:rPr>
              <w:t>0.7233</w:t>
            </w:r>
          </w:p>
        </w:tc>
        <w:tc>
          <w:tcPr>
            <w:tcW w:type="dxa" w:w="1757"/>
          </w:tcPr>
          <w:p>
            <w:pPr>
              <w:jc w:val="center"/>
            </w:pPr>
            <w:r>
              <w:rPr>
                <w:sz w:val="18"/>
              </w:rPr>
              <w:t>0.1082</w:t>
            </w:r>
          </w:p>
        </w:tc>
        <w:tc>
          <w:tcPr>
            <w:tcW w:type="dxa" w:w="1757"/>
          </w:tcPr>
          <w:p>
            <w:pPr>
              <w:jc w:val="center"/>
            </w:pPr>
            <w:r>
              <w:rPr>
                <w:sz w:val="18"/>
              </w:rPr>
              <w:t>0.0333</w:t>
            </w:r>
          </w:p>
        </w:tc>
      </w:tr>
      <w:tr>
        <w:tc>
          <w:tcPr>
            <w:tcW w:type="dxa" w:w="1757"/>
          </w:tcPr>
          <w:p>
            <w:pPr>
              <w:jc w:val="left"/>
            </w:pPr>
            <w:r>
              <w:rPr>
                <w:sz w:val="18"/>
              </w:rPr>
              <w:t>Gemini 2.0 Flash</w:t>
            </w:r>
          </w:p>
        </w:tc>
        <w:tc>
          <w:tcPr>
            <w:tcW w:type="dxa" w:w="1757"/>
          </w:tcPr>
          <w:p>
            <w:pPr>
              <w:jc w:val="center"/>
            </w:pPr>
            <w:r>
              <w:rPr>
                <w:sz w:val="18"/>
              </w:rPr>
              <w:t>Arabic_T5</w:t>
            </w:r>
          </w:p>
        </w:tc>
        <w:tc>
          <w:tcPr>
            <w:tcW w:type="dxa" w:w="1757"/>
          </w:tcPr>
          <w:p>
            <w:pPr>
              <w:jc w:val="center"/>
            </w:pPr>
            <w:r>
              <w:rPr>
                <w:sz w:val="18"/>
              </w:rPr>
              <w:t>0.7267</w:t>
            </w:r>
          </w:p>
        </w:tc>
        <w:tc>
          <w:tcPr>
            <w:tcW w:type="dxa" w:w="1757"/>
          </w:tcPr>
          <w:p>
            <w:pPr>
              <w:jc w:val="center"/>
            </w:pPr>
            <w:r>
              <w:rPr>
                <w:sz w:val="18"/>
              </w:rPr>
              <w:t>0.1039</w:t>
            </w:r>
          </w:p>
        </w:tc>
        <w:tc>
          <w:tcPr>
            <w:tcW w:type="dxa" w:w="1757"/>
          </w:tcPr>
          <w:p>
            <w:pPr>
              <w:jc w:val="center"/>
            </w:pPr>
            <w:r>
              <w:rPr>
                <w:sz w:val="18"/>
              </w:rPr>
              <w:t>0.0267</w:t>
            </w:r>
          </w:p>
        </w:tc>
      </w:tr>
      <w:tr>
        <w:tc>
          <w:tcPr>
            <w:tcW w:type="dxa" w:w="1757"/>
          </w:tcPr>
          <w:p>
            <w:pPr>
              <w:jc w:val="left"/>
            </w:pPr>
            <w:r>
              <w:rPr>
                <w:sz w:val="18"/>
              </w:rPr>
              <w:t>Llama 3.1 8B</w:t>
            </w:r>
          </w:p>
        </w:tc>
        <w:tc>
          <w:tcPr>
            <w:tcW w:type="dxa" w:w="1757"/>
          </w:tcPr>
          <w:p>
            <w:pPr>
              <w:jc w:val="center"/>
            </w:pPr>
            <w:r>
              <w:rPr>
                <w:sz w:val="18"/>
              </w:rPr>
              <w:t>Anglo_T1</w:t>
            </w:r>
          </w:p>
        </w:tc>
        <w:tc>
          <w:tcPr>
            <w:tcW w:type="dxa" w:w="1757"/>
          </w:tcPr>
          <w:p>
            <w:pPr>
              <w:jc w:val="center"/>
            </w:pPr>
            <w:r>
              <w:rPr>
                <w:sz w:val="18"/>
              </w:rPr>
              <w:t>0.7800</w:t>
            </w:r>
          </w:p>
        </w:tc>
        <w:tc>
          <w:tcPr>
            <w:tcW w:type="dxa" w:w="1757"/>
          </w:tcPr>
          <w:p>
            <w:pPr>
              <w:jc w:val="center"/>
            </w:pPr>
            <w:r>
              <w:rPr>
                <w:sz w:val="18"/>
              </w:rPr>
              <w:t>0.1151</w:t>
            </w:r>
          </w:p>
        </w:tc>
        <w:tc>
          <w:tcPr>
            <w:tcW w:type="dxa" w:w="1757"/>
          </w:tcPr>
          <w:p>
            <w:pPr>
              <w:jc w:val="center"/>
            </w:pPr>
            <w:r>
              <w:rPr>
                <w:sz w:val="18"/>
              </w:rPr>
              <w:t>0.0000</w:t>
            </w:r>
          </w:p>
        </w:tc>
      </w:tr>
      <w:tr>
        <w:tc>
          <w:tcPr>
            <w:tcW w:type="dxa" w:w="1757"/>
          </w:tcPr>
          <w:p>
            <w:pPr>
              <w:jc w:val="left"/>
            </w:pPr>
            <w:r>
              <w:rPr>
                <w:sz w:val="18"/>
              </w:rPr>
              <w:t>Llama 3.1 8B</w:t>
            </w:r>
          </w:p>
        </w:tc>
        <w:tc>
          <w:tcPr>
            <w:tcW w:type="dxa" w:w="1757"/>
          </w:tcPr>
          <w:p>
            <w:pPr>
              <w:jc w:val="center"/>
            </w:pPr>
            <w:r>
              <w:rPr>
                <w:sz w:val="18"/>
              </w:rPr>
              <w:t>Anglo_T5</w:t>
            </w:r>
          </w:p>
        </w:tc>
        <w:tc>
          <w:tcPr>
            <w:tcW w:type="dxa" w:w="1757"/>
          </w:tcPr>
          <w:p>
            <w:pPr>
              <w:jc w:val="center"/>
            </w:pPr>
            <w:r>
              <w:rPr>
                <w:sz w:val="18"/>
              </w:rPr>
              <w:t>0.7224</w:t>
            </w:r>
          </w:p>
        </w:tc>
        <w:tc>
          <w:tcPr>
            <w:tcW w:type="dxa" w:w="1757"/>
          </w:tcPr>
          <w:p>
            <w:pPr>
              <w:jc w:val="center"/>
            </w:pPr>
            <w:r>
              <w:rPr>
                <w:sz w:val="18"/>
              </w:rPr>
              <w:t>0.1870</w:t>
            </w:r>
          </w:p>
        </w:tc>
        <w:tc>
          <w:tcPr>
            <w:tcW w:type="dxa" w:w="1757"/>
          </w:tcPr>
          <w:p>
            <w:pPr>
              <w:jc w:val="center"/>
            </w:pPr>
            <w:r>
              <w:rPr>
                <w:sz w:val="18"/>
              </w:rPr>
              <w:t>0.0566</w:t>
            </w:r>
          </w:p>
        </w:tc>
      </w:tr>
      <w:tr>
        <w:tc>
          <w:tcPr>
            <w:tcW w:type="dxa" w:w="1757"/>
          </w:tcPr>
          <w:p>
            <w:pPr>
              <w:jc w:val="left"/>
            </w:pPr>
            <w:r>
              <w:rPr>
                <w:sz w:val="18"/>
              </w:rPr>
              <w:t>Llama 3.1 8B</w:t>
            </w:r>
          </w:p>
        </w:tc>
        <w:tc>
          <w:tcPr>
            <w:tcW w:type="dxa" w:w="1757"/>
          </w:tcPr>
          <w:p>
            <w:pPr>
              <w:jc w:val="center"/>
            </w:pPr>
            <w:r>
              <w:rPr>
                <w:sz w:val="18"/>
              </w:rPr>
              <w:t>Latino_T5</w:t>
            </w:r>
          </w:p>
        </w:tc>
        <w:tc>
          <w:tcPr>
            <w:tcW w:type="dxa" w:w="1757"/>
          </w:tcPr>
          <w:p>
            <w:pPr>
              <w:jc w:val="center"/>
            </w:pPr>
            <w:r>
              <w:rPr>
                <w:sz w:val="18"/>
              </w:rPr>
              <w:t>0.7467</w:t>
            </w:r>
          </w:p>
        </w:tc>
        <w:tc>
          <w:tcPr>
            <w:tcW w:type="dxa" w:w="1757"/>
          </w:tcPr>
          <w:p>
            <w:pPr>
              <w:jc w:val="center"/>
            </w:pPr>
            <w:r>
              <w:rPr>
                <w:sz w:val="18"/>
              </w:rPr>
              <w:t>0.1530</w:t>
            </w:r>
          </w:p>
        </w:tc>
        <w:tc>
          <w:tcPr>
            <w:tcW w:type="dxa" w:w="1757"/>
          </w:tcPr>
          <w:p>
            <w:pPr>
              <w:jc w:val="center"/>
            </w:pPr>
            <w:r>
              <w:rPr>
                <w:sz w:val="18"/>
              </w:rPr>
              <w:t>0.0333</w:t>
            </w:r>
          </w:p>
        </w:tc>
      </w:tr>
      <w:tr>
        <w:tc>
          <w:tcPr>
            <w:tcW w:type="dxa" w:w="1757"/>
          </w:tcPr>
          <w:p>
            <w:pPr>
              <w:jc w:val="left"/>
            </w:pPr>
            <w:r>
              <w:rPr>
                <w:sz w:val="18"/>
              </w:rPr>
              <w:t>Llama 3.1 8B</w:t>
            </w:r>
          </w:p>
        </w:tc>
        <w:tc>
          <w:tcPr>
            <w:tcW w:type="dxa" w:w="1757"/>
          </w:tcPr>
          <w:p>
            <w:pPr>
              <w:jc w:val="center"/>
            </w:pPr>
            <w:r>
              <w:rPr>
                <w:sz w:val="18"/>
              </w:rPr>
              <w:t>Arabic_T5</w:t>
            </w:r>
          </w:p>
        </w:tc>
        <w:tc>
          <w:tcPr>
            <w:tcW w:type="dxa" w:w="1757"/>
          </w:tcPr>
          <w:p>
            <w:pPr>
              <w:jc w:val="center"/>
            </w:pPr>
            <w:r>
              <w:rPr>
                <w:sz w:val="18"/>
              </w:rPr>
              <w:t>0.7433</w:t>
            </w:r>
          </w:p>
        </w:tc>
        <w:tc>
          <w:tcPr>
            <w:tcW w:type="dxa" w:w="1757"/>
          </w:tcPr>
          <w:p>
            <w:pPr>
              <w:jc w:val="center"/>
            </w:pPr>
            <w:r>
              <w:rPr>
                <w:sz w:val="18"/>
              </w:rPr>
              <w:t>0.1341</w:t>
            </w:r>
          </w:p>
        </w:tc>
        <w:tc>
          <w:tcPr>
            <w:tcW w:type="dxa" w:w="1757"/>
          </w:tcPr>
          <w:p>
            <w:pPr>
              <w:jc w:val="center"/>
            </w:pPr>
            <w:r>
              <w:rPr>
                <w:sz w:val="18"/>
              </w:rPr>
              <w:t>0.0367</w:t>
            </w:r>
          </w:p>
        </w:tc>
      </w:tr>
    </w:tbl>
    <w:p/>
    <w:p>
      <w:pPr>
        <w:jc w:val="left"/>
      </w:pPr>
      <w:r>
        <w:rPr>
          <w:b/>
          <w:sz w:val="24"/>
        </w:rPr>
        <w:t>5. Discussion</w:t>
      </w:r>
    </w:p>
    <w:p>
      <w:pPr>
        <w:jc w:val="left"/>
      </w:pPr>
      <w:r>
        <w:rPr>
          <w:b/>
          <w:sz w:val="22"/>
        </w:rPr>
        <w:t>5.1 Prestige Proxy Bias as a Distinct Failure Mode</w:t>
      </w:r>
    </w:p>
    <w:p>
      <w:pPr>
        <w:spacing w:after="80"/>
        <w:ind w:firstLine="432"/>
        <w:jc w:val="both"/>
      </w:pPr>
      <w:r>
        <w:t>Our results establish that the dominant source of geographic discrimination in LLM evaluation is not ethnic name signaling but institutional prestige. We call this Prestige Proxy Bias: the systematic use of a candidate's institutional affiliation as a proxy for quality, even in contexts where that proxy is normatively unjustifiable. In credit scoring, a loan officer should evaluate revenue, collateral, and credit history — not the alma mater of the business owner. Yet our results show a 0.500-point gap between MIT- and UG-affiliated candidates with identical financial profiles.</w:t>
      </w:r>
    </w:p>
    <w:p>
      <w:pPr>
        <w:spacing w:after="80"/>
        <w:ind w:firstLine="432"/>
        <w:jc w:val="both"/>
      </w:pPr>
      <w:r>
        <w:t>This failure mode is distinct from, and arguably more difficult to detect than, name-based bias. Name-based bias activates on a single token (the name); institutional bias activates on a well-formed factual claim that models have learned to treat as a quality signal. Suppressing it requires more than RLHF fine-tuning on demographic fairness — it requires domain-specific reasoning about which attributes are legitimate inputs to which decisions.</w:t>
      </w:r>
    </w:p>
    <w:p>
      <w:pPr>
        <w:jc w:val="left"/>
      </w:pPr>
      <w:r>
        <w:rPr>
          <w:b/>
          <w:sz w:val="22"/>
        </w:rPr>
        <w:t>5.2 The Asymmetry of Bias Mitigation</w:t>
      </w:r>
    </w:p>
    <w:p>
      <w:pPr>
        <w:spacing w:after="80"/>
        <w:ind w:firstLine="432"/>
        <w:jc w:val="both"/>
      </w:pPr>
      <w:r>
        <w:t>The finding that Arabic and Latino names receive slightly higher scores than Anglo names is not evidence of reverse discrimination at a practically meaningful level (Δ &lt; 0.1 points). It is, however, evidence that alignment training has targeted ethnic name bias successfully while leaving geographic-institutional bias untreated. This asymmetry has policy implications: fairness audits that focus only on name-based signals will give a false-positive reading for geographic fairness.</w:t>
      </w:r>
    </w:p>
    <w:p>
      <w:pPr>
        <w:jc w:val="left"/>
      </w:pPr>
      <w:r>
        <w:rPr>
          <w:b/>
          <w:sz w:val="22"/>
        </w:rPr>
        <w:t>5.3 Limitations</w:t>
      </w:r>
    </w:p>
    <w:p>
      <w:pPr>
        <w:spacing w:after="80"/>
        <w:ind w:firstLine="432"/>
        <w:jc w:val="both"/>
      </w:pPr>
      <w:r>
        <w:t>This study has several limitations. First, the experiment uses a single fixed temperature (0.1) and does not repeat evaluations; stochastic variance is not estimated at the item level. Second, the institution set covers only four tiers and three countries; results may differ for African or South Asian institutions. Third, candidate credentials are presented in English, which may interact with language-specific associations in ways not captured here. Fourth, the NBI framework is not yet standard in the fairness literature and requires independent validation.</w:t>
      </w:r>
    </w:p>
    <w:p>
      <w:pPr>
        <w:jc w:val="left"/>
      </w:pPr>
      <w:r>
        <w:rPr>
          <w:b/>
          <w:sz w:val="24"/>
        </w:rPr>
        <w:t>6. Conclusion</w:t>
      </w:r>
    </w:p>
    <w:p>
      <w:pPr>
        <w:spacing w:after="80"/>
        <w:ind w:firstLine="432"/>
        <w:jc w:val="both"/>
      </w:pPr>
      <w:r>
        <w:t>We have demonstrated that LLMs exhibit consistent Prestige Proxy Bias: a systematic tendency to rate candidates from elite institutions higher than functionally identical candidates from non-elite institutions, with an effect size (+0.297) roughly three times larger than any name-based ethnic effect (≤0.094). This bias is largest in credit scoring (+0.500) and hiring (+0.375), and it is consistent across four state-of-the-art models.</w:t>
      </w:r>
    </w:p>
    <w:p>
      <w:pPr>
        <w:spacing w:after="80"/>
        <w:ind w:firstLine="432"/>
        <w:jc w:val="both"/>
      </w:pPr>
      <w:r>
        <w:t>From a fairness perspective, Prestige Proxy Bias is a global equity concern: the vast majority of the world's university graduates attend institutions that LLMs implicitly devalue. As LLMs are deployed in automated screening pipelines, this bias will compound existing geographic inequalities in access to opportunity. Future work should investigate whether chain-of-thought prompting, explicit role constraints, or targeted RLHF can reduce this effect without eliminating legitimate institutional signal in domains where it is normatively appropriate.</w:t>
      </w:r>
    </w:p>
    <w:p>
      <w:pPr>
        <w:jc w:val="left"/>
      </w:pPr>
      <w:r>
        <w:rPr>
          <w:b/>
          <w:sz w:val="24"/>
        </w:rPr>
        <w:t>References</w:t>
      </w:r>
    </w:p>
    <w:p>
      <w:pPr>
        <w:spacing w:after="40"/>
        <w:ind w:left="432" w:hanging="432"/>
      </w:pPr>
      <w:r>
        <w:rPr>
          <w:sz w:val="18"/>
        </w:rPr>
        <w:t>[1] Köpf, A. et al. (2024). OpenAssistant Conversations: Democratizing LLM Alignment. NeurIPS.</w:t>
      </w:r>
    </w:p>
    <w:p>
      <w:pPr>
        <w:spacing w:after="40"/>
        <w:ind w:left="432" w:hanging="432"/>
      </w:pPr>
      <w:r>
        <w:rPr>
          <w:sz w:val="18"/>
        </w:rPr>
        <w:t>[2] Tamkin, A. et al. (2023). Evaluating and Mitigating Discrimination in Language Model Decisions. arXiv:2312.03689.</w:t>
      </w:r>
    </w:p>
    <w:p>
      <w:pPr>
        <w:spacing w:after="40"/>
        <w:ind w:left="432" w:hanging="432"/>
      </w:pPr>
      <w:r>
        <w:rPr>
          <w:sz w:val="18"/>
        </w:rPr>
        <w:t>[3] Salinas, A. et al. (2023). Unequal Representations: Analyzing Intersectional Biases in NLP. arXiv:2306.11521.</w:t>
      </w:r>
    </w:p>
    <w:p>
      <w:pPr>
        <w:spacing w:after="40"/>
        <w:ind w:left="432" w:hanging="432"/>
      </w:pPr>
      <w:r>
        <w:rPr>
          <w:sz w:val="18"/>
        </w:rPr>
        <w:t>[4] Wan, Y. et al. (2023). 'Kelly is a Warm Person, Joseph is a Role Model': Gender Biases in LLM-Generated Reference Letters. EMNLP Findings.</w:t>
      </w:r>
    </w:p>
    <w:p>
      <w:pPr>
        <w:spacing w:after="40"/>
        <w:ind w:left="432" w:hanging="432"/>
      </w:pPr>
      <w:r>
        <w:rPr>
          <w:sz w:val="18"/>
        </w:rPr>
        <w:t>[5] Leyva-Vázquez, M. (2026). Institutional Prestige as Geographic Bias in LLMs: A Neutrosophic Factorial Experiment. NCML.</w:t>
      </w:r>
    </w:p>
    <w:p>
      <w:pPr>
        <w:spacing w:after="40"/>
        <w:ind w:left="432" w:hanging="432"/>
      </w:pPr>
      <w:r>
        <w:rPr>
          <w:sz w:val="18"/>
        </w:rPr>
        <w:t>[6] Naous, T. et al. (2024). Having Beer after Prayer? Measuring Cultural Bias in Large Language Models. ACL.</w:t>
      </w:r>
    </w:p>
    <w:p>
      <w:pPr>
        <w:spacing w:after="40"/>
        <w:ind w:left="432" w:hanging="432"/>
      </w:pPr>
      <w:r>
        <w:rPr>
          <w:sz w:val="18"/>
        </w:rPr>
        <w:t>[7] Cao, Y. et al. (2023). Assessing Cross-Cultural Alignment between ChatGPT and Human Societies. C3NLP Workshop.</w:t>
      </w:r>
    </w:p>
    <w:p>
      <w:pPr>
        <w:spacing w:after="40"/>
        <w:ind w:left="432" w:hanging="432"/>
      </w:pPr>
      <w:r>
        <w:rPr>
          <w:sz w:val="18"/>
        </w:rPr>
        <w:t>[8] Smarandache, F. (2005). A Unifying Field in Logics: Neutrosophic Logic. American Research Press.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