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(sin categorías de escape), no reproduce ni el colapso ni la separación perfecta: aparece un sesgo direccional no anticipado, posiblemente ligado a pistas léxicas del texto de entrada. El hallazgo central no es que Jev colapse per se, sino que el mismo modelo preserva, destruye, o distorsiona de forma no anticipada la distinción según el tipo de pregunta y el esquema declarado — un riesgo de diseño de interfaz más complejo de lo que un solo experimento de seguimiento podía anticipar.</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flexibilidad del esquema de entrada y costo computacional.</w:t>
      </w:r>
    </w:p>
    <w:p>
      <w:pPr>
        <w:pStyle w:val="Papertext"/>
      </w:pPr>
      <w:r>
        <w:rPr>
          <w:b w:val="0"/>
          <w:i w:val="0"/>
        </w:rPr>
        <w:t>1. Modelos de chat generativos — texto libre, sin garantía de formato ni de tipo.</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35529"/>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35529"/>
                    </a:xfrm>
                    <a:prstGeom prst="rect"/>
                  </pic:spPr>
                </pic:pic>
              </a:graphicData>
            </a:graphic>
          </wp:inline>
        </w:drawing>
      </w:r>
    </w:p>
    <w:p>
      <w:pPr>
        <w:pStyle w:val="13FigureCaption"/>
        <w:jc w:val="center"/>
      </w:pPr>
      <w:r>
        <w:rPr>
          <w:b w:val="0"/>
          <w:i w:val="0"/>
        </w:rPr>
        <w:t>Figura 1: Posicionamiento de las cinco categorías de interacción con modelos de IA. Jev se ubica en la convergencia entre el juez basado en LLM (categoría 3) y el clasificador discriminativo clásico (categoría 4).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Ninguno de los tres experimentos promedia repeticiones (una sola llamada por caso; limitación en §8). Las llamadas se hicieron el 19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sin datos (rate-limit, §8)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El único control completado con evidencia inequívoca (AGREE-SUPPORT) produce 0,83, alejado de 0,5.</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sin datos (rate-limit, §8)</w:t>
            </w:r>
          </w:p>
        </w:tc>
        <w:tc>
          <w:tcPr>
            <w:tcW w:type="dxa" w:w="2268"/>
          </w:tcPr>
          <w:p>
            <w:pPr>
              <w:jc w:val="center"/>
            </w:pPr>
            <w:r/>
            <w:r>
              <w:rPr>
                <w:sz w:val="18"/>
              </w:rPr>
              <w:t>—</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el control de apoyo.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sin datos (rate-limit, §8)</w:t>
            </w:r>
          </w:p>
        </w:tc>
        <w:tc>
          <w:tcPr>
            <w:tcW w:type="dxa" w:w="2268"/>
          </w:tcPr>
          <w:p>
            <w:pPr>
              <w:jc w:val="center"/>
            </w:pPr>
            <w:r/>
            <w:r>
              <w:rPr>
                <w:sz w:val="18"/>
              </w:rPr>
              <w:t>—</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los seis casos, más marcado en TORN (0,84–0,85) que en SILENT (0,67–0,77) — una tendencia ordinal débil (n=2 por categoría) que no permite una conclusión firme. Es un tercer patrón, no anticipado por ninguna de las dos hipótesis simples (colapso simétrico o separación limpia).</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Sectiontitle"/>
      </w:pPr>
      <w:r>
        <w:rPr>
          <w:b w:val="0"/>
          <w:i w:val="0"/>
        </w:rPr>
        <w:t>8 Limitaciones</w:t>
      </w:r>
    </w:p>
    <w:p>
      <w:pPr>
        <w:pStyle w:val="Papertext"/>
      </w:pPr>
      <w:r>
        <w:rPr>
          <w:b w:val="0"/>
          <w:i w:val="0"/>
        </w:rPr>
        <w:t>(a) n=5 casos completados de 6 en cada uno de los tres experimentos (el control AGREE-REFUTE falló por límite de tasa del nivel gratuito de Vercel AI Gateway en los tres, incluso con un método de pago ya registrado — el proveedor exige créditos de pago cargados, no solo una tarjeta en archivo, y ese paso no se completó; es el único caso que nunca se pudo observar, en ninguna condición);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El script y resultados del Experimento 1 (run_experiment.mjs, results.json), del Experimento 2 (run_experiment_choice.mjs, results_choice.json) y del Experimento 3 (run_experiment_choice_binary.mjs, results_choice_binary.json), y el script de la Figura 1 (make_fig1_taxonomy.py), están disponibles a solicitud del autor de correspondencia.</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Flexible and Efficient Grammar-Constrained Decoding. arXiv:2502.05111, 2026.</w:t>
      </w:r>
    </w:p>
    <w:p>
      <w:pPr>
        <w:pStyle w:val="18References"/>
      </w:pPr>
      <w:r>
        <w:rPr>
          <w:b w:val="0"/>
          <w:i w:val="0"/>
        </w:rPr>
        <w:t>[13]</w:t>
        <w:tab/>
        <w:t>An Empirical Study of LLM-as-a-Judge for LLM Evaluation: Fine-tuned Judge Model is not a General Substitute for GPT-4. arXiv:2403.02839.</w:t>
      </w:r>
    </w:p>
    <w:p>
      <w:pPr>
        <w:pStyle w:val="18References"/>
      </w:pPr>
      <w:r>
        <w:rPr>
          <w:b w:val="0"/>
          <w:i w:val="0"/>
        </w:rPr>
        <w:t>[14]</w:t>
        <w:tab/>
        <w:t>A survey on LLM-as-a-judge. ScienceDirect, 2026.</w:t>
      </w:r>
    </w:p>
    <w:p>
      <w:pPr>
        <w:pStyle w:val="Papertext"/>
      </w:pPr>
    </w:p>
    <w:p>
      <w:pPr>
        <w:pStyle w:val="Receivedandaccepted"/>
        <w:jc w:val="right"/>
      </w:pPr>
      <w:r>
        <w:rPr>
          <w:b w:val="0"/>
          <w:i w:val="0"/>
        </w:rPr>
        <w:t>Received: September 19, 2026.   Accepted: —</w:t>
      </w: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