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40" w:lineRule="auto"/>
        <w:jc w:val="center"/>
      </w:pPr>
      <w:r>
        <w:rPr>
          <w:rFonts w:ascii="Arial" w:hAnsi="Arial" w:cs="Arial"/>
          <w:b/>
          <w:i w:val="0"/>
          <w:sz w:val="20"/>
        </w:rPr>
        <w:t>University of New Mexico</w:t>
      </w:r>
    </w:p>
    <w:p>
      <w:pPr>
        <w:spacing w:after="280" w:line="240" w:lineRule="auto"/>
        <w:jc w:val="center"/>
      </w:pPr>
      <w:r>
        <w:rPr>
          <w:rFonts w:ascii="Arial" w:hAnsi="Arial" w:cs="Arial"/>
          <w:b/>
          <w:i w:val="0"/>
          <w:sz w:val="32"/>
        </w:rPr>
        <w:t>A Neutrosophic Framework for Bibliometric Analysis: Extensions of Lotka, Bradford and Citation Indicators with a Case Study of Neutrosophic Computing and Machine Learning (2018–2026)</w:t>
      </w:r>
    </w:p>
    <w:p>
      <w:pPr>
        <w:spacing w:after="80"/>
        <w:jc w:val="center"/>
      </w:pPr>
      <w:r>
        <w:rPr>
          <w:rFonts w:ascii="Arial" w:hAnsi="Arial" w:cs="Arial"/>
          <w:b w:val="0"/>
          <w:i w:val="0"/>
          <w:sz w:val="22"/>
        </w:rPr>
        <w:t>Maikel Leyva Vazquez</w:t>
      </w:r>
      <w:r>
        <w:rPr>
          <w:rFonts w:ascii="Arial" w:hAnsi="Arial" w:cs="Arial"/>
          <w:b w:val="0"/>
          <w:i w:val="0"/>
          <w:sz w:val="16"/>
          <w:vertAlign w:val="superscript"/>
        </w:rPr>
        <w:t>1*</w:t>
      </w:r>
      <w:r>
        <w:rPr>
          <w:rFonts w:ascii="Arial" w:hAnsi="Arial" w:cs="Arial"/>
          <w:b w:val="0"/>
          <w:i w:val="0"/>
          <w:sz w:val="22"/>
        </w:rPr>
        <w:t xml:space="preserve">, </w:t>
      </w:r>
      <w:r>
        <w:rPr>
          <w:rFonts w:ascii="Arial" w:hAnsi="Arial" w:cs="Arial"/>
          <w:b w:val="0"/>
          <w:i w:val="0"/>
          <w:sz w:val="22"/>
        </w:rPr>
        <w:t>Yismandry Gonzalez Vargas</w:t>
      </w:r>
      <w:r>
        <w:rPr>
          <w:rFonts w:ascii="Arial" w:hAnsi="Arial" w:cs="Arial"/>
          <w:b w:val="0"/>
          <w:i w:val="0"/>
          <w:sz w:val="16"/>
          <w:vertAlign w:val="superscript"/>
        </w:rPr>
        <w:t>2</w:t>
      </w:r>
      <w:r>
        <w:rPr>
          <w:rFonts w:ascii="Arial" w:hAnsi="Arial" w:cs="Arial"/>
          <w:b w:val="0"/>
          <w:i w:val="0"/>
          <w:sz w:val="22"/>
        </w:rPr>
        <w:t xml:space="preserve">, </w:t>
      </w:r>
      <w:r>
        <w:rPr>
          <w:rFonts w:ascii="Arial" w:hAnsi="Arial" w:cs="Arial"/>
          <w:b w:val="0"/>
          <w:i w:val="0"/>
          <w:sz w:val="22"/>
        </w:rPr>
        <w:t>Florentin Smarandache</w:t>
      </w:r>
      <w:r>
        <w:rPr>
          <w:rFonts w:ascii="Arial" w:hAnsi="Arial" w:cs="Arial"/>
          <w:b w:val="0"/>
          <w:i w:val="0"/>
          <w:sz w:val="16"/>
          <w:vertAlign w:val="superscript"/>
        </w:rPr>
        <w:t>3</w:t>
      </w:r>
    </w:p>
    <w:p>
      <w:pPr>
        <w:spacing w:after="40"/>
        <w:jc w:val="left"/>
      </w:pPr>
      <w:r>
        <w:rPr>
          <w:rFonts w:ascii="Arial" w:hAnsi="Arial" w:cs="Arial"/>
          <w:b w:val="0"/>
          <w:i w:val="0"/>
          <w:sz w:val="16"/>
          <w:vertAlign w:val="superscript"/>
        </w:rPr>
        <w:t xml:space="preserve">1 </w:t>
      </w:r>
      <w:r>
        <w:rPr>
          <w:rFonts w:ascii="Arial" w:hAnsi="Arial" w:cs="Arial"/>
          <w:b w:val="0"/>
          <w:i w:val="0"/>
          <w:sz w:val="18"/>
        </w:rPr>
        <w:t>Universidad Bolivariana del Ecuador / Universidad de Guayaquil; Editor-in-Chief, Neutrosophic Computing and Machine Learning. E-mail: mleyvaz@gmail.com</w:t>
      </w:r>
    </w:p>
    <w:p>
      <w:pPr>
        <w:spacing w:after="40"/>
        <w:jc w:val="left"/>
      </w:pPr>
      <w:r>
        <w:rPr>
          <w:rFonts w:ascii="Arial" w:hAnsi="Arial" w:cs="Arial"/>
          <w:b w:val="0"/>
          <w:i w:val="0"/>
          <w:sz w:val="16"/>
          <w:vertAlign w:val="superscript"/>
        </w:rPr>
        <w:t xml:space="preserve">2 </w:t>
      </w:r>
      <w:r>
        <w:rPr>
          <w:rFonts w:ascii="Arial" w:hAnsi="Arial" w:cs="Arial"/>
          <w:b w:val="0"/>
          <w:i w:val="0"/>
          <w:sz w:val="18"/>
        </w:rPr>
        <w:t>Asociacion Latinoamericana de Ciencias Neutrosoficas (ALCN), Cuba. E-mail: yismandrygonzalezvargas@gmail.com</w:t>
      </w:r>
    </w:p>
    <w:p>
      <w:pPr>
        <w:spacing w:after="40"/>
        <w:jc w:val="left"/>
      </w:pPr>
      <w:r>
        <w:rPr>
          <w:rFonts w:ascii="Arial" w:hAnsi="Arial" w:cs="Arial"/>
          <w:b w:val="0"/>
          <w:i w:val="0"/>
          <w:sz w:val="16"/>
          <w:vertAlign w:val="superscript"/>
        </w:rPr>
        <w:t xml:space="preserve">3 </w:t>
      </w:r>
      <w:r>
        <w:rPr>
          <w:rFonts w:ascii="Arial" w:hAnsi="Arial" w:cs="Arial"/>
          <w:b w:val="0"/>
          <w:i w:val="0"/>
          <w:sz w:val="18"/>
        </w:rPr>
        <w:t>University of New Mexico, USA; Editor-in-Chief, Neutrosophic Sets and Systems. E-mail: smarand@unm.edu</w:t>
      </w:r>
    </w:p>
    <w:p>
      <w:pPr>
        <w:spacing w:after="240" w:line="240" w:lineRule="auto"/>
        <w:jc w:val="left"/>
      </w:pPr>
      <w:r>
        <w:rPr>
          <w:rFonts w:ascii="Arial" w:hAnsi="Arial" w:cs="Arial"/>
          <w:b w:val="0"/>
          <w:i/>
          <w:sz w:val="18"/>
        </w:rPr>
        <w:t>*Corresponding author: mleyvaz@gmail.com</w:t>
      </w:r>
    </w:p>
    <w:p>
      <w:pPr>
        <w:spacing w:before="280" w:after="120"/>
      </w:pPr>
      <w:r>
        <w:rPr>
          <w:rFonts w:ascii="Arial" w:hAnsi="Arial" w:cs="Arial"/>
          <w:b/>
          <w:i w:val="0"/>
          <w:sz w:val="24"/>
        </w:rPr>
        <w:t>Abstract</w:t>
      </w:r>
    </w:p>
    <w:p>
      <w:pPr>
        <w:spacing w:after="80"/>
        <w:ind w:firstLine="340"/>
        <w:jc w:val="both"/>
      </w:pPr>
      <w:r>
        <w:rPr>
          <w:rFonts w:ascii="Times New Roman" w:hAnsi="Times New Roman" w:cs="Times New Roman"/>
          <w:b w:val="0"/>
          <w:i w:val="0"/>
          <w:sz w:val="20"/>
        </w:rPr>
        <w:t xml:space="preserve">Classical bibliometrics treats fundamentally uncertain quantities as crisp. Citation counts collapse when sources disagree by an order of magnitude; the Lotka exponent is reported as a point estimate even when the Kolmogorov–Smirnov test rejects the model; Bradford zones partition journals into hard categories despite obvious boundary cases; document–topic assignments are reported as winner-take-all even when soft-clustering algorithms produce graded probabilities; and co-authorship edges weight a one-paper collaboration identically to a sustained five-paper partnership. This paper proposes a neutrosophic framework that promotes indeterminacy to a first-class component of bibliometric measurement. We define neutrosophic extensions of five classical indicators — the </w:t>
      </w:r>
      <w:r>
        <w:rPr>
          <w:rFonts w:ascii="Times New Roman" w:hAnsi="Times New Roman" w:cs="Times New Roman"/>
          <w:b w:val="0"/>
          <w:i/>
          <w:sz w:val="20"/>
        </w:rPr>
        <w:t>h</w:t>
      </w:r>
      <w:r>
        <w:rPr>
          <w:rFonts w:ascii="Times New Roman" w:hAnsi="Times New Roman" w:cs="Times New Roman"/>
          <w:b w:val="0"/>
          <w:i w:val="0"/>
          <w:sz w:val="20"/>
        </w:rPr>
        <w:t xml:space="preserve">-index, the Lotka exponent, Bradford zone membership, document–topic membership, and co-authorship edge weights — using the single-valued neutrosophic triple (T, I, F). For each indicator we provide a formal definition, a computation rule that derives the indeterminacy component </w:t>
      </w:r>
      <w:r>
        <w:rPr>
          <w:rFonts w:ascii="Times New Roman" w:hAnsi="Times New Roman" w:cs="Times New Roman"/>
          <w:b w:val="0"/>
          <w:i/>
          <w:sz w:val="20"/>
        </w:rPr>
        <w:t>from the data rather than from expert elicitation</w:t>
      </w:r>
      <w:r>
        <w:rPr>
          <w:rFonts w:ascii="Times New Roman" w:hAnsi="Times New Roman" w:cs="Times New Roman"/>
          <w:b w:val="0"/>
          <w:i w:val="0"/>
          <w:sz w:val="20"/>
        </w:rPr>
        <w:t xml:space="preserve">, and a worked example. We then present the central operative test of the framework: we aggregate the five triples across four dimensions (productivity, citational evidence, co-authorship centrality, theoretical focus) using the SVNWA operator of Ye (2014) and rank 146 authors of the case-study journal. The neutrosophic ranking diverges substantially from the classical rank-by-article-count (Kendall τ = 0.20, top-10 overlap 5/10), re-ordering the journal's visible leadership in ways that are qualitatively interpretable: prolific authors concentrated in legal-medical case studies with no cross-source citation evidence fall sharply, while lower-count but theoretically-focused authors with verified citations rise to the top. We show that this re-ordering cannot be reproduced by fuzzy, intuitionistic-fuzzy or probabilistic aggregation without introducing additional structure equivalent to the (T, I, F) triple, thus providing operative validation that the framework yields information unreachable by alternative techniques. The framework is applied to the 762-article corpus of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2018–2026). The five indicators jointly reveal: (i) a neutrosophic </w:t>
      </w:r>
      <w:r>
        <w:rPr>
          <w:rFonts w:ascii="Times New Roman" w:hAnsi="Times New Roman" w:cs="Times New Roman"/>
          <w:b w:val="0"/>
          <w:i/>
          <w:sz w:val="20"/>
        </w:rPr>
        <w:t>h</w:t>
      </w:r>
      <w:r>
        <w:rPr>
          <w:rFonts w:ascii="Times New Roman" w:hAnsi="Times New Roman" w:cs="Times New Roman"/>
          <w:b w:val="0"/>
          <w:i w:val="0"/>
          <w:sz w:val="20"/>
        </w:rPr>
        <w:t>-index decomposition T = 0.04, I = 0.50, F = 0.46; (ii) a bootstrap Lotka profile T = 0, I = 1, F = 0 that reconciles a classical exponent with a failed shape test; (iii) a graded Bradford nucleus in which only two journals (NSS, NCML itself) achieve T ≥ 0.85; (iv) 61 % of documents falling on topic boundaries (T &lt; 0.7); and (v) only 1.8 % of co-authorship edges rising to T ≥ 0.5 in verified collaboration. The framework is reproducible, language-agnostic, and applicable to any bibliographic corpus where multiple sources of evidence must be combined.</w:t>
      </w:r>
    </w:p>
    <w:p>
      <w:pPr>
        <w:spacing w:after="80"/>
        <w:ind w:firstLine="340"/>
        <w:jc w:val="both"/>
      </w:pPr>
      <w:r>
        <w:rPr>
          <w:rFonts w:ascii="Times New Roman" w:hAnsi="Times New Roman" w:cs="Times New Roman"/>
          <w:b/>
          <w:i w:val="0"/>
          <w:sz w:val="20"/>
        </w:rPr>
        <w:t>Keywords:</w:t>
      </w:r>
      <w:r>
        <w:rPr>
          <w:rFonts w:ascii="Times New Roman" w:hAnsi="Times New Roman" w:cs="Times New Roman"/>
          <w:b w:val="0"/>
          <w:i w:val="0"/>
          <w:sz w:val="20"/>
        </w:rPr>
        <w:t xml:space="preserve"> neutrosophic bibliometrics; single-valued neutrosophic numbers; SVNWA aggregation; Lotka's law; Bradford's law; </w:t>
      </w:r>
      <w:r>
        <w:rPr>
          <w:rFonts w:ascii="Times New Roman" w:hAnsi="Times New Roman" w:cs="Times New Roman"/>
          <w:b w:val="0"/>
          <w:i/>
          <w:sz w:val="20"/>
        </w:rPr>
        <w:t>h</w:t>
      </w:r>
      <w:r>
        <w:rPr>
          <w:rFonts w:ascii="Times New Roman" w:hAnsi="Times New Roman" w:cs="Times New Roman"/>
          <w:b w:val="0"/>
          <w:i w:val="0"/>
          <w:sz w:val="20"/>
        </w:rPr>
        <w:t>-index; author ranking; topic modeling; co-authorship network; uncertainty in citation counts; Neutrosophic Computing and Machine Learning.</w:t>
      </w:r>
    </w:p>
    <w:p>
      <w:pPr>
        <w:spacing w:before="280" w:after="120"/>
      </w:pPr>
      <w:r>
        <w:rPr>
          <w:rFonts w:ascii="Arial" w:hAnsi="Arial" w:cs="Arial"/>
          <w:b/>
          <w:i w:val="0"/>
          <w:sz w:val="24"/>
        </w:rPr>
        <w:t>1. Introduction</w:t>
      </w:r>
    </w:p>
    <w:p>
      <w:pPr>
        <w:spacing w:after="80"/>
        <w:ind w:firstLine="340"/>
        <w:jc w:val="both"/>
      </w:pPr>
      <w:r>
        <w:rPr>
          <w:rFonts w:ascii="Times New Roman" w:hAnsi="Times New Roman" w:cs="Times New Roman"/>
          <w:b w:val="0"/>
          <w:i w:val="0"/>
          <w:sz w:val="20"/>
        </w:rPr>
        <w:t xml:space="preserve">Bibliometric analysis quantifies the structure and dynamics of scholarly publication using indicators such as the </w:t>
      </w:r>
      <w:r>
        <w:rPr>
          <w:rFonts w:ascii="Times New Roman" w:hAnsi="Times New Roman" w:cs="Times New Roman"/>
          <w:b w:val="0"/>
          <w:i/>
          <w:sz w:val="20"/>
        </w:rPr>
        <w:t>h</w:t>
      </w:r>
      <w:r>
        <w:rPr>
          <w:rFonts w:ascii="Times New Roman" w:hAnsi="Times New Roman" w:cs="Times New Roman"/>
          <w:b w:val="0"/>
          <w:i w:val="0"/>
          <w:sz w:val="20"/>
        </w:rPr>
        <w:t>-index, citation counts, the Lotka and Bradford laws, co-authorship networks, and topic models. These indicators have become central to research evaluation, journal benchmarking, and editorial decision-making. Yet despite their explanatory power, the classical indicators share a common epistemic limitation: they are computed as crisp quantities even when the underlying data carry substantial uncertainty.</w:t>
      </w:r>
    </w:p>
    <w:p>
      <w:pPr>
        <w:spacing w:after="80"/>
        <w:ind w:firstLine="340"/>
        <w:jc w:val="both"/>
      </w:pPr>
      <w:r>
        <w:rPr>
          <w:rFonts w:ascii="Times New Roman" w:hAnsi="Times New Roman" w:cs="Times New Roman"/>
          <w:b w:val="0"/>
          <w:i w:val="0"/>
          <w:sz w:val="20"/>
        </w:rPr>
        <w:t xml:space="preserve">Three concrete sources of indeterminacy illustrate the gap. First, </w:t>
      </w:r>
      <w:r>
        <w:rPr>
          <w:rFonts w:ascii="Times New Roman" w:hAnsi="Times New Roman" w:cs="Times New Roman"/>
          <w:b w:val="0"/>
          <w:i/>
          <w:sz w:val="20"/>
        </w:rPr>
        <w:t>citation counts</w:t>
      </w:r>
      <w:r>
        <w:rPr>
          <w:rFonts w:ascii="Times New Roman" w:hAnsi="Times New Roman" w:cs="Times New Roman"/>
          <w:b w:val="0"/>
          <w:i w:val="0"/>
          <w:sz w:val="20"/>
        </w:rPr>
        <w:t xml:space="preserve"> differ across databases. The same article may be reported as having zero citations in OpenAlex and seventy-one in Google Scholar [1, 2]. Reporting either one as the truth misrepresents the evidence; reporting the mean discards the disagreement. Second, </w:t>
      </w:r>
      <w:r>
        <w:rPr>
          <w:rFonts w:ascii="Times New Roman" w:hAnsi="Times New Roman" w:cs="Times New Roman"/>
          <w:b w:val="0"/>
          <w:i/>
          <w:sz w:val="20"/>
        </w:rPr>
        <w:t>parametric fits to power-law distributions</w:t>
      </w:r>
      <w:r>
        <w:rPr>
          <w:rFonts w:ascii="Times New Roman" w:hAnsi="Times New Roman" w:cs="Times New Roman"/>
          <w:b w:val="0"/>
          <w:i w:val="0"/>
          <w:sz w:val="20"/>
        </w:rPr>
        <w:t xml:space="preserve"> such as Lotka’s law are typically reported as point estimates with a standard error, yet the goodness-of-fit test (Kolmogorov–Smirnov, K-S) frequently rejects the model even when the exponent matches the classical prediction. Whether the journal "follows Lotka" is then a matter of degree, not of yes-or-no. Third, </w:t>
      </w:r>
      <w:r>
        <w:rPr>
          <w:rFonts w:ascii="Times New Roman" w:hAnsi="Times New Roman" w:cs="Times New Roman"/>
          <w:b w:val="0"/>
          <w:i/>
          <w:sz w:val="20"/>
        </w:rPr>
        <w:t>Bradford zone assignment</w:t>
      </w:r>
      <w:r>
        <w:rPr>
          <w:rFonts w:ascii="Times New Roman" w:hAnsi="Times New Roman" w:cs="Times New Roman"/>
          <w:b w:val="0"/>
          <w:i w:val="0"/>
          <w:sz w:val="20"/>
        </w:rPr>
        <w:t xml:space="preserve"> partitions a long list of cited journals into three discrete buckets by cumulative citation share, imposing crisp boundaries on what is fundamentally a continuous gradient. Journals near the boundaries acquire a coin-flip identity that is preserved neither by the data nor by the analyst's intent.</w:t>
      </w:r>
    </w:p>
    <w:p>
      <w:pPr>
        <w:spacing w:after="80"/>
        <w:ind w:firstLine="340"/>
        <w:jc w:val="both"/>
      </w:pPr>
      <w:r>
        <w:rPr>
          <w:rFonts w:ascii="Times New Roman" w:hAnsi="Times New Roman" w:cs="Times New Roman"/>
          <w:b w:val="0"/>
          <w:i w:val="0"/>
          <w:sz w:val="20"/>
        </w:rPr>
        <w:t>Neutrosophic logic, introduced by Smarandache in 1998 [3, 4], provides a formal apparatus for reasoning under three independent components: truth (T), indeterminacy (I), and falsity (F), each ranging in [0, 1]. Single-valued neutrosophic numbers (SVN), introduced by Wang et al. (2010) [5], have become the standard operational form for applied work. The neutrosophic framework generalises probability, fuzzy logic and intuitionistic fuzzy logic by treating indeterminacy as a separate, non-derivable dimension. The framework has produced a substantial corpus of applied work in multi-criteria decision-making, statistical process control, and several social-science domains [6, 7].</w:t>
      </w:r>
    </w:p>
    <w:p>
      <w:pPr>
        <w:spacing w:after="80"/>
        <w:ind w:firstLine="340"/>
        <w:jc w:val="both"/>
      </w:pPr>
      <w:r>
        <w:rPr>
          <w:rFonts w:ascii="Times New Roman" w:hAnsi="Times New Roman" w:cs="Times New Roman"/>
          <w:b w:val="0"/>
          <w:i w:val="0"/>
          <w:sz w:val="20"/>
        </w:rPr>
        <w:t xml:space="preserve">Surprisingly, the application of neutrosophy to </w:t>
      </w:r>
      <w:r>
        <w:rPr>
          <w:rFonts w:ascii="Times New Roman" w:hAnsi="Times New Roman" w:cs="Times New Roman"/>
          <w:b w:val="0"/>
          <w:i/>
          <w:sz w:val="20"/>
        </w:rPr>
        <w:t>bibliometric measurement itself</w:t>
      </w:r>
      <w:r>
        <w:rPr>
          <w:rFonts w:ascii="Times New Roman" w:hAnsi="Times New Roman" w:cs="Times New Roman"/>
          <w:b w:val="0"/>
          <w:i w:val="0"/>
          <w:sz w:val="20"/>
        </w:rPr>
        <w:t xml:space="preserve"> remains largely unexplored. Existing bibliometric studies that employ neutrosophic methods do so on top of the bibliographic data, applying neutrosophic AHP-TOPSIS to rank journals or authors [8]. The indicators themselves — citation counts, Lotka exponents, Bradford zones, topic assignments, network weights — continue to be computed in the classical way, even when their inputs carry obvious indeterminacy. This is a missed opportunity. Critics of neutrosophic methods, notably Woodall, Faltin, and Reynolds [9], have observed that many neutrosophic applications are "decorative" in the sense that the choice of three components is not justified by the data structure. We argue here that bibliometric measurement is exactly the opposite: the data structure (multiple sources, partial agreement, soft cluster assignments) calls for an indeterminacy-aware formalism, and neutrosophy provides one.</w:t>
      </w:r>
    </w:p>
    <w:p>
      <w:pPr>
        <w:spacing w:before="200" w:after="80"/>
      </w:pPr>
      <w:r>
        <w:rPr>
          <w:rFonts w:ascii="Arial" w:hAnsi="Arial" w:cs="Arial"/>
          <w:b/>
          <w:i w:val="0"/>
          <w:sz w:val="22"/>
        </w:rPr>
        <w:t>1.1 Contribution</w:t>
      </w:r>
    </w:p>
    <w:p>
      <w:pPr>
        <w:spacing w:after="80"/>
        <w:ind w:firstLine="340"/>
        <w:jc w:val="both"/>
      </w:pPr>
      <w:r>
        <w:rPr>
          <w:rFonts w:ascii="Times New Roman" w:hAnsi="Times New Roman" w:cs="Times New Roman"/>
          <w:b w:val="0"/>
          <w:i w:val="0"/>
          <w:sz w:val="20"/>
        </w:rPr>
        <w:t>The contribution of this paper is threefold:</w:t>
      </w:r>
    </w:p>
    <w:p>
      <w:pPr>
        <w:spacing w:after="80"/>
        <w:ind w:firstLine="340"/>
        <w:jc w:val="both"/>
      </w:pPr>
      <w:r>
        <w:rPr>
          <w:rFonts w:ascii="Times New Roman" w:hAnsi="Times New Roman" w:cs="Times New Roman"/>
          <w:b w:val="0"/>
          <w:i w:val="0"/>
          <w:sz w:val="20"/>
        </w:rPr>
        <w:t xml:space="preserve">1. We define a </w:t>
      </w:r>
      <w:r>
        <w:rPr>
          <w:rFonts w:ascii="Times New Roman" w:hAnsi="Times New Roman" w:cs="Times New Roman"/>
          <w:b/>
          <w:i w:val="0"/>
          <w:sz w:val="20"/>
        </w:rPr>
        <w:t>neutrosophic framework for bibliometric analysis</w:t>
      </w:r>
      <w:r>
        <w:rPr>
          <w:rFonts w:ascii="Times New Roman" w:hAnsi="Times New Roman" w:cs="Times New Roman"/>
          <w:b w:val="0"/>
          <w:i w:val="0"/>
          <w:sz w:val="20"/>
        </w:rPr>
        <w:t xml:space="preserve"> that extends five classical indicators — </w:t>
      </w:r>
      <w:r>
        <w:rPr>
          <w:rFonts w:ascii="Times New Roman" w:hAnsi="Times New Roman" w:cs="Times New Roman"/>
          <w:b w:val="0"/>
          <w:i/>
          <w:sz w:val="20"/>
        </w:rPr>
        <w:t>h</w:t>
      </w:r>
      <w:r>
        <w:rPr>
          <w:rFonts w:ascii="Times New Roman" w:hAnsi="Times New Roman" w:cs="Times New Roman"/>
          <w:b w:val="0"/>
          <w:i w:val="0"/>
          <w:sz w:val="20"/>
        </w:rPr>
        <w:t xml:space="preserve">-index, Lotka exponent, Bradford zone membership, document–topic membership, and co-authorship edge weight — into single-valued neutrosophic triples (T, I, F). 2. We provide an </w:t>
      </w:r>
      <w:r>
        <w:rPr>
          <w:rFonts w:ascii="Times New Roman" w:hAnsi="Times New Roman" w:cs="Times New Roman"/>
          <w:b/>
          <w:i w:val="0"/>
          <w:sz w:val="20"/>
        </w:rPr>
        <w:t>operational implementation</w:t>
      </w:r>
      <w:r>
        <w:rPr>
          <w:rFonts w:ascii="Times New Roman" w:hAnsi="Times New Roman" w:cs="Times New Roman"/>
          <w:b w:val="0"/>
          <w:i w:val="0"/>
          <w:sz w:val="20"/>
        </w:rPr>
        <w:t xml:space="preserve"> of each extension as a reproducible algorithm with explicit aggregation rules. The implementation is published as open-source code at https://github.com/mleyvaz/ncml-bibliometric-2026. 3. We </w:t>
      </w:r>
      <w:r>
        <w:rPr>
          <w:rFonts w:ascii="Times New Roman" w:hAnsi="Times New Roman" w:cs="Times New Roman"/>
          <w:b/>
          <w:i w:val="0"/>
          <w:sz w:val="20"/>
        </w:rPr>
        <w:t>validate the framework empirically</w:t>
      </w:r>
      <w:r>
        <w:rPr>
          <w:rFonts w:ascii="Times New Roman" w:hAnsi="Times New Roman" w:cs="Times New Roman"/>
          <w:b w:val="0"/>
          <w:i w:val="0"/>
          <w:sz w:val="20"/>
        </w:rPr>
        <w:t xml:space="preserve"> on a case study of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comprising 762 articles published between 2018 and 2026. The case study demonstrates that the neutrosophic indicators reveal information that the classical indicators conceal, and that this additional information is editorially actionable.</w:t>
      </w:r>
    </w:p>
    <w:p>
      <w:pPr>
        <w:spacing w:after="80"/>
        <w:ind w:firstLine="340"/>
        <w:jc w:val="both"/>
      </w:pPr>
      <w:r>
        <w:rPr>
          <w:rFonts w:ascii="Times New Roman" w:hAnsi="Times New Roman" w:cs="Times New Roman"/>
          <w:b w:val="0"/>
          <w:i w:val="0"/>
          <w:sz w:val="20"/>
        </w:rPr>
        <w:t>The paper is organised as follows. Section 2 reviews the relevant background on neutrosophic logic, single-valued neutrosophic numbers, and the classical bibliometric indicators we extend. Section 3 presents the formal framework and the five neutrosophic extensions. Section 4 describes the data and computational pipeline. Section 5 reports the case-study results. Section 6 discusses implications and addresses the methodological critique of Woodall et al. (2025) [9]. Section 7 concludes and outlines future work.</w:t>
      </w:r>
    </w:p>
    <w:p>
      <w:pPr>
        <w:spacing w:before="200" w:after="80"/>
      </w:pPr>
      <w:r>
        <w:rPr>
          <w:rFonts w:ascii="Arial" w:hAnsi="Arial" w:cs="Arial"/>
          <w:b/>
          <w:i w:val="0"/>
          <w:sz w:val="22"/>
        </w:rPr>
        <w:t>1.2 Scope and limitations</w:t>
      </w:r>
    </w:p>
    <w:p>
      <w:pPr>
        <w:spacing w:after="80"/>
        <w:ind w:firstLine="340"/>
        <w:jc w:val="both"/>
      </w:pPr>
      <w:r>
        <w:rPr>
          <w:rFonts w:ascii="Times New Roman" w:hAnsi="Times New Roman" w:cs="Times New Roman"/>
          <w:b w:val="0"/>
          <w:i w:val="0"/>
          <w:sz w:val="20"/>
        </w:rPr>
        <w:t xml:space="preserve">The framework presented here is </w:t>
      </w:r>
      <w:r>
        <w:rPr>
          <w:rFonts w:ascii="Times New Roman" w:hAnsi="Times New Roman" w:cs="Times New Roman"/>
          <w:b w:val="0"/>
          <w:i/>
          <w:sz w:val="20"/>
        </w:rPr>
        <w:t>complementary</w:t>
      </w:r>
      <w:r>
        <w:rPr>
          <w:rFonts w:ascii="Times New Roman" w:hAnsi="Times New Roman" w:cs="Times New Roman"/>
          <w:b w:val="0"/>
          <w:i w:val="0"/>
          <w:sz w:val="20"/>
        </w:rPr>
        <w:t xml:space="preserve"> to classical bibliometric analysis, not a replacement. Each neutrosophic indicator can be reduced to its classical counterpart by collapsing the indeterminacy component. The purpose of the framework is to make the indeterminacy </w:t>
      </w:r>
      <w:r>
        <w:rPr>
          <w:rFonts w:ascii="Times New Roman" w:hAnsi="Times New Roman" w:cs="Times New Roman"/>
          <w:b w:val="0"/>
          <w:i/>
          <w:sz w:val="20"/>
        </w:rPr>
        <w:t>visible</w:t>
      </w:r>
      <w:r>
        <w:rPr>
          <w:rFonts w:ascii="Times New Roman" w:hAnsi="Times New Roman" w:cs="Times New Roman"/>
          <w:b w:val="0"/>
          <w:i w:val="0"/>
          <w:sz w:val="20"/>
        </w:rPr>
        <w:t xml:space="preserve"> and </w:t>
      </w:r>
      <w:r>
        <w:rPr>
          <w:rFonts w:ascii="Times New Roman" w:hAnsi="Times New Roman" w:cs="Times New Roman"/>
          <w:b w:val="0"/>
          <w:i/>
          <w:sz w:val="20"/>
        </w:rPr>
        <w:t xml:space="preserve"> quantifiable</w:t>
      </w:r>
      <w:r>
        <w:rPr>
          <w:rFonts w:ascii="Times New Roman" w:hAnsi="Times New Roman" w:cs="Times New Roman"/>
          <w:b w:val="0"/>
          <w:i w:val="0"/>
          <w:sz w:val="20"/>
        </w:rPr>
        <w:t>, so that bibliometric reports can distinguish between robust findings (low I) and fragile ones (high I).</w:t>
      </w:r>
    </w:p>
    <w:p>
      <w:pPr>
        <w:spacing w:after="80"/>
        <w:ind w:firstLine="340"/>
        <w:jc w:val="both"/>
      </w:pPr>
      <w:r>
        <w:rPr>
          <w:rFonts w:ascii="Times New Roman" w:hAnsi="Times New Roman" w:cs="Times New Roman"/>
          <w:b w:val="0"/>
          <w:i w:val="0"/>
          <w:sz w:val="20"/>
        </w:rPr>
        <w:t>The case study is restricted to a single journal (NCML). The conclusions about NCML's bibliometric profile have been reported elsewhere using classical methods [10] and are not the principal contribution here. The principal contribution is the framework itself, demonstrated on a corpus where the editorial team has direct knowledge of the data-generation process.</w:t>
      </w:r>
    </w:p>
    <w:p>
      <w:pPr>
        <w:spacing w:before="280" w:after="120"/>
      </w:pPr>
      <w:r>
        <w:rPr>
          <w:rFonts w:ascii="Arial" w:hAnsi="Arial" w:cs="Arial"/>
          <w:b/>
          <w:i w:val="0"/>
          <w:sz w:val="24"/>
        </w:rPr>
        <w:t>2. Background</w:t>
      </w:r>
    </w:p>
    <w:p>
      <w:pPr>
        <w:spacing w:before="200" w:after="80"/>
      </w:pPr>
      <w:r>
        <w:rPr>
          <w:rFonts w:ascii="Arial" w:hAnsi="Arial" w:cs="Arial"/>
          <w:b/>
          <w:i w:val="0"/>
          <w:sz w:val="22"/>
        </w:rPr>
        <w:t>2.1 Neutrosophic logic and single-valued neutrosophic numbers</w:t>
      </w:r>
    </w:p>
    <w:p>
      <w:pPr>
        <w:spacing w:after="80"/>
        <w:ind w:firstLine="340"/>
        <w:jc w:val="both"/>
      </w:pPr>
      <w:r>
        <w:rPr>
          <w:rFonts w:ascii="Times New Roman" w:hAnsi="Times New Roman" w:cs="Times New Roman"/>
          <w:b w:val="0"/>
          <w:i w:val="0"/>
          <w:sz w:val="20"/>
        </w:rPr>
        <w:t>Neutrosophic logic [3, 4] generalises fuzzy logic by introducing a separate indeterminacy component. A neutrosophic value is a triple (T, I, F) where T is the degree of truth, I is the degree of indeterminacy, and F is the degree of falsity, each in the closed interval [0, 1]. Unlike intuitionistic fuzzy logic, the components are independent: the constraint 0 ≤ T + I + F ≤ 3 holds, but no equality is imposed.</w:t>
      </w:r>
    </w:p>
    <w:p>
      <w:pPr>
        <w:spacing w:after="80"/>
        <w:ind w:firstLine="340"/>
        <w:jc w:val="both"/>
      </w:pPr>
      <w:r>
        <w:rPr>
          <w:rFonts w:ascii="Times New Roman" w:hAnsi="Times New Roman" w:cs="Times New Roman"/>
          <w:b w:val="0"/>
          <w:i w:val="0"/>
          <w:sz w:val="20"/>
        </w:rPr>
        <w:t xml:space="preserve">A </w:t>
      </w:r>
      <w:r>
        <w:rPr>
          <w:rFonts w:ascii="Times New Roman" w:hAnsi="Times New Roman" w:cs="Times New Roman"/>
          <w:b w:val="0"/>
          <w:i/>
          <w:sz w:val="20"/>
        </w:rPr>
        <w:t>single-valued neutrosophic number</w:t>
      </w:r>
      <w:r>
        <w:rPr>
          <w:rFonts w:ascii="Times New Roman" w:hAnsi="Times New Roman" w:cs="Times New Roman"/>
          <w:b w:val="0"/>
          <w:i w:val="0"/>
          <w:sz w:val="20"/>
        </w:rPr>
        <w:t xml:space="preserve"> (SVN) is a particular case where T, I and F are explicit real numbers in [0, 1] [5]. SVNs admit standard algebraic operations including addition, multiplication, scalar multiplication, and several aggregation operators (weighted arithmetic, weighted geometric, ordered weighted averaging) that have been formalised for the multi-criteria decision-making context [6, 11]. For the present work we use the SVN form throughout.</w:t>
      </w:r>
    </w:p>
    <w:p>
      <w:pPr>
        <w:spacing w:after="80"/>
        <w:ind w:firstLine="340"/>
        <w:jc w:val="both"/>
      </w:pPr>
      <w:r>
        <w:rPr>
          <w:rFonts w:ascii="Times New Roman" w:hAnsi="Times New Roman" w:cs="Times New Roman"/>
          <w:b w:val="0"/>
          <w:i w:val="0"/>
          <w:sz w:val="20"/>
        </w:rPr>
        <w:t xml:space="preserve">We adopt the following notational convention. Given a population P of items and a property Q (e.g., "journal X is in the Bradford nucleus", "the journal follows Lotka's law", "this article belongs to topic T_k"), the </w:t>
      </w:r>
      <w:r>
        <w:rPr>
          <w:rFonts w:ascii="Times New Roman" w:hAnsi="Times New Roman" w:cs="Times New Roman"/>
          <w:b w:val="0"/>
          <w:i/>
          <w:sz w:val="20"/>
        </w:rPr>
        <w:t>neutrosophic membership profile</w:t>
      </w:r>
      <w:r>
        <w:rPr>
          <w:rFonts w:ascii="Times New Roman" w:hAnsi="Times New Roman" w:cs="Times New Roman"/>
          <w:b w:val="0"/>
          <w:i w:val="0"/>
          <w:sz w:val="20"/>
        </w:rPr>
        <w:t xml:space="preserve"> of P with respect to Q is the triple</w:t>
      </w:r>
    </w:p>
    <w:p>
      <w:pPr>
        <w:spacing w:after="80"/>
        <w:ind w:firstLine="340"/>
        <w:jc w:val="both"/>
      </w:pPr>
      <w:r>
        <w:rPr>
          <w:rFonts w:ascii="Times New Roman" w:hAnsi="Times New Roman" w:cs="Times New Roman"/>
          <w:b w:val="0"/>
          <w:i w:val="0"/>
          <w:sz w:val="20"/>
        </w:rPr>
        <w:t>N_Q(P) = ( T_Q, I_Q, F_Q )                                  (1)</w:t>
      </w:r>
    </w:p>
    <w:p>
      <w:pPr>
        <w:spacing w:after="80"/>
        <w:ind w:firstLine="340"/>
        <w:jc w:val="both"/>
      </w:pPr>
      <w:r>
        <w:rPr>
          <w:rFonts w:ascii="Times New Roman" w:hAnsi="Times New Roman" w:cs="Times New Roman"/>
          <w:b w:val="0"/>
          <w:i w:val="0"/>
          <w:sz w:val="20"/>
        </w:rPr>
        <w:t>where T_Q is the proportion of items for which Q is verified by direct positive evidence, I_Q is the proportion for which the evidence is ambiguous, and F_Q is the proportion for which Q is contradicted by explicit negative evidence. The three sum to one when the evidence classification is exhaustive; in cases where multiple sources of evidence exist, the components are computed independently and the sum may exceed or fall below one, capturing redundancy or coverage gaps respectively.</w:t>
      </w:r>
    </w:p>
    <w:p>
      <w:pPr>
        <w:spacing w:before="200" w:after="80"/>
      </w:pPr>
      <w:r>
        <w:rPr>
          <w:rFonts w:ascii="Arial" w:hAnsi="Arial" w:cs="Arial"/>
          <w:b/>
          <w:i w:val="0"/>
          <w:sz w:val="22"/>
        </w:rPr>
        <w:t>2.2 Classical bibliometric indicators</w:t>
      </w:r>
    </w:p>
    <w:p>
      <w:pPr>
        <w:spacing w:after="80"/>
        <w:ind w:firstLine="340"/>
        <w:jc w:val="both"/>
      </w:pPr>
      <w:r>
        <w:rPr>
          <w:rFonts w:ascii="Times New Roman" w:hAnsi="Times New Roman" w:cs="Times New Roman"/>
          <w:b w:val="0"/>
          <w:i w:val="0"/>
          <w:sz w:val="20"/>
        </w:rPr>
        <w:t>For each indicator we extend in Section 3 we briefly recall its classical form.</w:t>
      </w:r>
    </w:p>
    <w:p>
      <w:pPr>
        <w:spacing w:after="80"/>
        <w:ind w:firstLine="340"/>
        <w:jc w:val="both"/>
      </w:pPr>
      <w:r>
        <w:rPr>
          <w:rFonts w:ascii="Times New Roman" w:hAnsi="Times New Roman" w:cs="Times New Roman"/>
          <w:b/>
          <w:i w:val="0"/>
          <w:sz w:val="20"/>
        </w:rPr>
        <w:t>The h-index</w:t>
      </w:r>
      <w:r>
        <w:rPr>
          <w:rFonts w:ascii="Times New Roman" w:hAnsi="Times New Roman" w:cs="Times New Roman"/>
          <w:b w:val="0"/>
          <w:i w:val="0"/>
          <w:sz w:val="20"/>
        </w:rPr>
        <w:t xml:space="preserve"> [12]. Given a set of articles with citation counts {c_1, c_2, …, c_n} sorted in non-increasing order, the h-index is the largest integer h such that c_h ≥ h. The journal-level h5-index is the h-index restricted to articles published in the past five years. Both are sensitive to the citation source: the same publication universe yields different values depending on whether one counts in OpenAlex, Scopus, Web of Science, or Google Scholar [1, 2].</w:t>
      </w:r>
    </w:p>
    <w:p>
      <w:pPr>
        <w:spacing w:after="80"/>
        <w:ind w:firstLine="340"/>
        <w:jc w:val="both"/>
      </w:pPr>
      <w:r>
        <w:rPr>
          <w:rFonts w:ascii="Times New Roman" w:hAnsi="Times New Roman" w:cs="Times New Roman"/>
          <w:b/>
          <w:i w:val="0"/>
          <w:sz w:val="20"/>
        </w:rPr>
        <w:t>Lotka's law</w:t>
      </w:r>
      <w:r>
        <w:rPr>
          <w:rFonts w:ascii="Times New Roman" w:hAnsi="Times New Roman" w:cs="Times New Roman"/>
          <w:b w:val="0"/>
          <w:i w:val="0"/>
          <w:sz w:val="20"/>
        </w:rPr>
        <w:t xml:space="preserve"> [13]. The number of authors n(x) producing exactly x publications follows a power-law distribution</w:t>
      </w:r>
    </w:p>
    <w:p>
      <w:pPr>
        <w:spacing w:after="80"/>
        <w:ind w:firstLine="340"/>
        <w:jc w:val="both"/>
      </w:pPr>
      <w:r>
        <w:rPr>
          <w:rFonts w:ascii="Times New Roman" w:hAnsi="Times New Roman" w:cs="Times New Roman"/>
          <w:b w:val="0"/>
          <w:i w:val="0"/>
          <w:sz w:val="20"/>
        </w:rPr>
        <w:t>n(x) = C · x^(-α)                                            (2)</w:t>
      </w:r>
    </w:p>
    <w:p>
      <w:pPr>
        <w:spacing w:after="80"/>
        <w:ind w:firstLine="340"/>
        <w:jc w:val="both"/>
      </w:pPr>
      <w:r>
        <w:rPr>
          <w:rFonts w:ascii="Times New Roman" w:hAnsi="Times New Roman" w:cs="Times New Roman"/>
          <w:b w:val="0"/>
          <w:i w:val="0"/>
          <w:sz w:val="20"/>
        </w:rPr>
        <w:t>with classical exponent α ≈ 2. The exponent is fitted by maximum likelihood [14, eq. 3.1] and the goodness-of-fit is evaluated with the Kolmogorov–Smirnov statistic D = max_x |F_emp(x) - F_th(x)| against the critical value 1.36/√N at the 5 % significance level.</w:t>
      </w:r>
    </w:p>
    <w:p>
      <w:pPr>
        <w:spacing w:after="80"/>
        <w:ind w:firstLine="340"/>
        <w:jc w:val="both"/>
      </w:pPr>
      <w:r>
        <w:rPr>
          <w:rFonts w:ascii="Times New Roman" w:hAnsi="Times New Roman" w:cs="Times New Roman"/>
          <w:b/>
          <w:i w:val="0"/>
          <w:sz w:val="20"/>
        </w:rPr>
        <w:t>Bradford's law</w:t>
      </w:r>
      <w:r>
        <w:rPr>
          <w:rFonts w:ascii="Times New Roman" w:hAnsi="Times New Roman" w:cs="Times New Roman"/>
          <w:b w:val="0"/>
          <w:i w:val="0"/>
          <w:sz w:val="20"/>
        </w:rPr>
        <w:t xml:space="preserve"> [15]. When journals are ranked by descending number of references received and the cumulative count is partitioned into three zones of equal citations, the number of journals per zone follows a geometric progression: |Z_2| ≈ k · |Z_1|, |Z_3| ≈ k · |Z_2| for a constant Bradford multiplier k typically in the range [3, 5] for mature fields. The zones are conventionally labelled "nucleus", "middle", and "periphery". Boundary journals are assigned to a single zone by hard threshold.</w:t>
      </w:r>
    </w:p>
    <w:p>
      <w:pPr>
        <w:spacing w:after="80"/>
        <w:ind w:firstLine="340"/>
        <w:jc w:val="both"/>
      </w:pPr>
      <w:r>
        <w:rPr>
          <w:rFonts w:ascii="Times New Roman" w:hAnsi="Times New Roman" w:cs="Times New Roman"/>
          <w:b/>
          <w:i w:val="0"/>
          <w:sz w:val="20"/>
        </w:rPr>
        <w:t>Topic modeling</w:t>
      </w:r>
      <w:r>
        <w:rPr>
          <w:rFonts w:ascii="Times New Roman" w:hAnsi="Times New Roman" w:cs="Times New Roman"/>
          <w:b w:val="0"/>
          <w:i w:val="0"/>
          <w:sz w:val="20"/>
        </w:rPr>
        <w:t xml:space="preserve">. Soft-clustering algorithms (LDA, BERTopic, KMeans on embeddings) assign each document a probability distribution over topics. Bibliometric studies typically report the </w:t>
      </w:r>
      <w:r>
        <w:rPr>
          <w:rFonts w:ascii="Times New Roman" w:hAnsi="Times New Roman" w:cs="Times New Roman"/>
          <w:b w:val="0"/>
          <w:i/>
          <w:sz w:val="20"/>
        </w:rPr>
        <w:t>winner-take-all</w:t>
      </w:r>
      <w:r>
        <w:rPr>
          <w:rFonts w:ascii="Times New Roman" w:hAnsi="Times New Roman" w:cs="Times New Roman"/>
          <w:b w:val="0"/>
          <w:i w:val="0"/>
          <w:sz w:val="20"/>
        </w:rPr>
        <w:t xml:space="preserve"> assignment: each document is reduced to its most probable topic. This discards information about documents that fall on the boundary between two or more topics.</w:t>
      </w:r>
    </w:p>
    <w:p>
      <w:pPr>
        <w:spacing w:after="80"/>
        <w:ind w:firstLine="340"/>
        <w:jc w:val="both"/>
      </w:pPr>
      <w:r>
        <w:rPr>
          <w:rFonts w:ascii="Times New Roman" w:hAnsi="Times New Roman" w:cs="Times New Roman"/>
          <w:b/>
          <w:i w:val="0"/>
          <w:sz w:val="20"/>
        </w:rPr>
        <w:t>Co-authorship networks</w:t>
      </w:r>
      <w:r>
        <w:rPr>
          <w:rFonts w:ascii="Times New Roman" w:hAnsi="Times New Roman" w:cs="Times New Roman"/>
          <w:b w:val="0"/>
          <w:i w:val="0"/>
          <w:sz w:val="20"/>
        </w:rPr>
        <w:t>. Authors are nodes; an edge between two authors carries a weight equal to the number of articles they co-author. Centrality, community detection (e.g., Louvain [16]), and modularity are then computed on this weighted graph. The classical formulation does not distinguish between an edge of weight 1 (a single shared paper) and an edge of weight 5 (five shared papers); both contribute to the same community-detection algorithm with weight proportional to count, but the qualitative distinction (verified collaboration vs. opportunistic co-authorship) is lost.</w:t>
      </w:r>
    </w:p>
    <w:p>
      <w:pPr>
        <w:spacing w:before="200" w:after="80"/>
      </w:pPr>
      <w:r>
        <w:rPr>
          <w:rFonts w:ascii="Arial" w:hAnsi="Arial" w:cs="Arial"/>
          <w:b/>
          <w:i w:val="0"/>
          <w:sz w:val="22"/>
        </w:rPr>
        <w:t>2.3 Why neutrosophy is well-suited to bibliometric measurement</w:t>
      </w:r>
    </w:p>
    <w:p>
      <w:pPr>
        <w:spacing w:after="80"/>
        <w:ind w:firstLine="340"/>
        <w:jc w:val="both"/>
      </w:pPr>
      <w:r>
        <w:rPr>
          <w:rFonts w:ascii="Times New Roman" w:hAnsi="Times New Roman" w:cs="Times New Roman"/>
          <w:b w:val="0"/>
          <w:i w:val="0"/>
          <w:sz w:val="20"/>
        </w:rPr>
        <w:t>Three structural features of bibliometric data make neutrosophic treatment a natural choice rather than an ornamental one.</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Multiple, partially overlapping sources of evidence</w:t>
      </w:r>
      <w:r>
        <w:rPr>
          <w:rFonts w:ascii="Times New Roman" w:hAnsi="Times New Roman" w:cs="Times New Roman"/>
          <w:b w:val="0"/>
          <w:i w:val="0"/>
          <w:sz w:val="20"/>
        </w:rPr>
        <w:t xml:space="preserve">. Citation counts, author identifiers, and journal coverage are each available from several databases (Crossref, Scopus, OpenAlex, Google Scholar, DataCite, Dimensions). The sources disagree systematically. The disagreement is not noise: it reflects genuine differences in scope and indexing policy. Neutrosophy captures the disagreement as I; fuzzy logic and probability would either smooth it away or attribute it to the analyst's subjective uncertainty. 2. </w:t>
      </w:r>
      <w:r>
        <w:rPr>
          <w:rFonts w:ascii="Times New Roman" w:hAnsi="Times New Roman" w:cs="Times New Roman"/>
          <w:b/>
          <w:i w:val="0"/>
          <w:sz w:val="20"/>
        </w:rPr>
        <w:t>Soft assignments produced by clustering</w:t>
      </w:r>
      <w:r>
        <w:rPr>
          <w:rFonts w:ascii="Times New Roman" w:hAnsi="Times New Roman" w:cs="Times New Roman"/>
          <w:b w:val="0"/>
          <w:i w:val="0"/>
          <w:sz w:val="20"/>
        </w:rPr>
        <w:t xml:space="preserve">. UMAP + KMeans, BERTopic, and other modern topic-modeling pipelines produce probabilistic assignments. Reporting the winner discards measurable information. 3. </w:t>
      </w:r>
      <w:r>
        <w:rPr>
          <w:rFonts w:ascii="Times New Roman" w:hAnsi="Times New Roman" w:cs="Times New Roman"/>
          <w:b/>
          <w:i w:val="0"/>
          <w:sz w:val="20"/>
        </w:rPr>
        <w:t>Asymmetric availability of negative evidence</w:t>
      </w:r>
      <w:r>
        <w:rPr>
          <w:rFonts w:ascii="Times New Roman" w:hAnsi="Times New Roman" w:cs="Times New Roman"/>
          <w:b w:val="0"/>
          <w:i w:val="0"/>
          <w:sz w:val="20"/>
        </w:rPr>
        <w:t xml:space="preserve">. Confirming that an article was cited is straightforward; confirming that it was </w:t>
      </w:r>
      <w:r>
        <w:rPr>
          <w:rFonts w:ascii="Times New Roman" w:hAnsi="Times New Roman" w:cs="Times New Roman"/>
          <w:b w:val="0"/>
          <w:i/>
          <w:sz w:val="20"/>
        </w:rPr>
        <w:t>not</w:t>
      </w:r>
      <w:r>
        <w:rPr>
          <w:rFonts w:ascii="Times New Roman" w:hAnsi="Times New Roman" w:cs="Times New Roman"/>
          <w:b w:val="0"/>
          <w:i w:val="0"/>
          <w:sz w:val="20"/>
        </w:rPr>
        <w:t xml:space="preserve"> cited requires exhaustive coverage that no single database provides. The truth-falsity asymmetry is naturally accommodated by the (T, F, I) triple: F reports the share of items where every consulted source agrees on absence, while I reports the share where coverage is insufficient to conclude.</w:t>
      </w:r>
    </w:p>
    <w:p>
      <w:pPr>
        <w:spacing w:after="80"/>
        <w:ind w:firstLine="340"/>
        <w:jc w:val="both"/>
      </w:pPr>
      <w:r>
        <w:rPr>
          <w:rFonts w:ascii="Times New Roman" w:hAnsi="Times New Roman" w:cs="Times New Roman"/>
          <w:b w:val="0"/>
          <w:i w:val="0"/>
          <w:sz w:val="20"/>
        </w:rPr>
        <w:t xml:space="preserve">For these reasons we propose a framework in which the indeterminacy component is computed </w:t>
      </w:r>
      <w:r>
        <w:rPr>
          <w:rFonts w:ascii="Times New Roman" w:hAnsi="Times New Roman" w:cs="Times New Roman"/>
          <w:b w:val="0"/>
          <w:i/>
          <w:sz w:val="20"/>
        </w:rPr>
        <w:t>from the data</w:t>
      </w:r>
      <w:r>
        <w:rPr>
          <w:rFonts w:ascii="Times New Roman" w:hAnsi="Times New Roman" w:cs="Times New Roman"/>
          <w:b w:val="0"/>
          <w:i w:val="0"/>
          <w:sz w:val="20"/>
        </w:rPr>
        <w:t>, not assumed by the analyst. This distinguishes our work from the family of neutrosophic AHP-TOPSIS papers in which the (T, I, F) triples are elicited from human experts via linguistic scales [6, 8, 17]. In our framework, indeterminacy is an emergent property of the bibliographic data structure.</w:t>
      </w:r>
    </w:p>
    <w:p>
      <w:pPr>
        <w:spacing w:before="280" w:after="120"/>
      </w:pPr>
      <w:r>
        <w:rPr>
          <w:rFonts w:ascii="Arial" w:hAnsi="Arial" w:cs="Arial"/>
          <w:b/>
          <w:i w:val="0"/>
          <w:sz w:val="24"/>
        </w:rPr>
        <w:t>3. The Neutrosophic Bibliometric Framework</w:t>
      </w:r>
    </w:p>
    <w:p>
      <w:pPr>
        <w:spacing w:after="80"/>
        <w:ind w:firstLine="340"/>
        <w:jc w:val="both"/>
      </w:pPr>
      <w:r>
        <w:rPr>
          <w:rFonts w:ascii="Times New Roman" w:hAnsi="Times New Roman" w:cs="Times New Roman"/>
          <w:b w:val="0"/>
          <w:i w:val="0"/>
          <w:sz w:val="20"/>
        </w:rPr>
        <w:t>We now present the five neutrosophic extensions of classical indicators. For each one we provide the formal definition, the computation rule, and the interpretation of the resulting (T, I, F) triple.</w:t>
      </w:r>
    </w:p>
    <w:p>
      <w:pPr>
        <w:spacing w:before="200" w:after="80"/>
      </w:pPr>
      <w:r>
        <w:rPr>
          <w:rFonts w:ascii="Arial" w:hAnsi="Arial" w:cs="Arial"/>
          <w:b/>
          <w:i w:val="0"/>
          <w:sz w:val="22"/>
        </w:rPr>
        <w:t>3.1 Neutrosophic h-index</w:t>
      </w:r>
    </w:p>
    <w:p>
      <w:pPr>
        <w:spacing w:after="80"/>
        <w:ind w:firstLine="340"/>
        <w:jc w:val="both"/>
      </w:pPr>
      <w:r>
        <w:rPr>
          <w:rFonts w:ascii="Times New Roman" w:hAnsi="Times New Roman" w:cs="Times New Roman"/>
          <w:b w:val="0"/>
          <w:i w:val="0"/>
          <w:sz w:val="20"/>
        </w:rPr>
        <w:t xml:space="preserve">The classical h-index assumes a single citation source. The </w:t>
      </w:r>
      <w:r>
        <w:rPr>
          <w:rFonts w:ascii="Times New Roman" w:hAnsi="Times New Roman" w:cs="Times New Roman"/>
          <w:b w:val="0"/>
          <w:i/>
          <w:sz w:val="20"/>
        </w:rPr>
        <w:t>neutrosophic h-index</w:t>
      </w:r>
      <w:r>
        <w:rPr>
          <w:rFonts w:ascii="Times New Roman" w:hAnsi="Times New Roman" w:cs="Times New Roman"/>
          <w:b w:val="0"/>
          <w:i w:val="0"/>
          <w:sz w:val="20"/>
        </w:rPr>
        <w:t xml:space="preserve"> triangulates K independent sources S_1, …, S_K and classifies each article a_i according to the agreement among its citation counts c_i^{(k)}. Define the per-article evidence indicator:</w:t>
      </w:r>
    </w:p>
    <w:p>
      <w:pPr>
        <w:spacing w:after="80"/>
        <w:ind w:firstLine="340"/>
        <w:jc w:val="both"/>
      </w:pPr>
      <w:r>
        <w:rPr>
          <w:rFonts w:ascii="Times New Roman" w:hAnsi="Times New Roman" w:cs="Times New Roman"/>
          <w:b w:val="0"/>
          <w:i w:val="0"/>
          <w:sz w:val="20"/>
        </w:rPr>
        <w:t>e_i = | { k : c_i^{(k)} &gt;= 1 } | / K                       (3)</w:t>
      </w:r>
    </w:p>
    <w:p>
      <w:pPr>
        <w:spacing w:after="80"/>
        <w:ind w:firstLine="340"/>
        <w:jc w:val="both"/>
      </w:pPr>
      <w:r>
        <w:rPr>
          <w:rFonts w:ascii="Times New Roman" w:hAnsi="Times New Roman" w:cs="Times New Roman"/>
          <w:b w:val="0"/>
          <w:i w:val="0"/>
          <w:sz w:val="20"/>
        </w:rPr>
        <w:t>Three classes follow:</w:t>
      </w:r>
    </w:p>
    <w:p>
      <w:pPr>
        <w:pStyle w:val="ListBullet"/>
        <w:spacing w:after="40"/>
      </w:pPr>
      <w:r>
        <w:rPr>
          <w:rFonts w:ascii="Times New Roman" w:hAnsi="Times New Roman" w:cs="Times New Roman"/>
          <w:b w:val="0"/>
          <w:i/>
          <w:sz w:val="20"/>
        </w:rPr>
        <w:t>Verified positive</w:t>
      </w:r>
      <w:r>
        <w:rPr>
          <w:rFonts w:ascii="Times New Roman" w:hAnsi="Times New Roman" w:cs="Times New Roman"/>
          <w:b w:val="0"/>
          <w:i w:val="0"/>
          <w:sz w:val="20"/>
        </w:rPr>
        <w:t xml:space="preserve"> (T-class): e_i = 1, all sources report a citation.</w:t>
      </w:r>
    </w:p>
    <w:p>
      <w:pPr>
        <w:pStyle w:val="ListBullet"/>
        <w:spacing w:after="40"/>
      </w:pPr>
      <w:r>
        <w:rPr>
          <w:rFonts w:ascii="Times New Roman" w:hAnsi="Times New Roman" w:cs="Times New Roman"/>
          <w:b w:val="0"/>
          <w:i/>
          <w:sz w:val="20"/>
        </w:rPr>
        <w:t>Indeterminate</w:t>
      </w:r>
      <w:r>
        <w:rPr>
          <w:rFonts w:ascii="Times New Roman" w:hAnsi="Times New Roman" w:cs="Times New Roman"/>
          <w:b w:val="0"/>
          <w:i w:val="0"/>
          <w:sz w:val="20"/>
        </w:rPr>
        <w:t xml:space="preserve"> (I-class): 0 &lt; e_i &lt; 1, sources disagree.</w:t>
      </w:r>
    </w:p>
    <w:p>
      <w:pPr>
        <w:pStyle w:val="ListBullet"/>
        <w:spacing w:after="40"/>
      </w:pPr>
      <w:r>
        <w:rPr>
          <w:rFonts w:ascii="Times New Roman" w:hAnsi="Times New Roman" w:cs="Times New Roman"/>
          <w:b w:val="0"/>
          <w:i/>
          <w:sz w:val="20"/>
        </w:rPr>
        <w:t>Verified negative</w:t>
      </w:r>
      <w:r>
        <w:rPr>
          <w:rFonts w:ascii="Times New Roman" w:hAnsi="Times New Roman" w:cs="Times New Roman"/>
          <w:b w:val="0"/>
          <w:i w:val="0"/>
          <w:sz w:val="20"/>
        </w:rPr>
        <w:t xml:space="preserve"> (F-class): e_i = 0, no source reports a citation.</w:t>
      </w:r>
    </w:p>
    <w:p>
      <w:pPr>
        <w:spacing w:after="80"/>
        <w:ind w:firstLine="340"/>
        <w:jc w:val="both"/>
      </w:pPr>
      <w:r>
        <w:rPr>
          <w:rFonts w:ascii="Times New Roman" w:hAnsi="Times New Roman" w:cs="Times New Roman"/>
          <w:b w:val="0"/>
          <w:i w:val="0"/>
          <w:sz w:val="20"/>
        </w:rPr>
        <w:t xml:space="preserve">The </w:t>
      </w:r>
      <w:r>
        <w:rPr>
          <w:rFonts w:ascii="Times New Roman" w:hAnsi="Times New Roman" w:cs="Times New Roman"/>
          <w:b w:val="0"/>
          <w:i/>
          <w:sz w:val="20"/>
        </w:rPr>
        <w:t>neutrosophic h-index profile</w:t>
      </w:r>
      <w:r>
        <w:rPr>
          <w:rFonts w:ascii="Times New Roman" w:hAnsi="Times New Roman" w:cs="Times New Roman"/>
          <w:b w:val="0"/>
          <w:i w:val="0"/>
          <w:sz w:val="20"/>
        </w:rPr>
        <w:t xml:space="preserve"> of the journal is the triple</w:t>
      </w:r>
    </w:p>
    <w:p>
      <w:pPr>
        <w:spacing w:after="80"/>
        <w:ind w:firstLine="340"/>
        <w:jc w:val="both"/>
      </w:pPr>
      <w:r>
        <w:rPr>
          <w:rFonts w:ascii="Times New Roman" w:hAnsi="Times New Roman" w:cs="Times New Roman"/>
          <w:b w:val="0"/>
          <w:i w:val="0"/>
          <w:sz w:val="20"/>
        </w:rPr>
        <w:t>N_h(J) = ( h_T, h_I, h_F )                                  (4)</w:t>
      </w:r>
    </w:p>
    <w:p>
      <w:pPr>
        <w:spacing w:after="80"/>
        <w:ind w:firstLine="340"/>
        <w:jc w:val="both"/>
      </w:pPr>
      <w:r>
        <w:rPr>
          <w:rFonts w:ascii="Times New Roman" w:hAnsi="Times New Roman" w:cs="Times New Roman"/>
          <w:b w:val="0"/>
          <w:i w:val="0"/>
          <w:sz w:val="20"/>
        </w:rPr>
        <w:t xml:space="preserve">where h_T is the h-index restricted to T-class articles, h_I is the h-index obtained by including I-class articles in addition to T-class ones, and h_F = 0 by construction. Equivalently, the upper bound of the journal's h-index is given by the union of all sources, and the lower bound by the intersection. The neutrosophic h-index reports both, together with the journal-level </w:t>
      </w:r>
      <w:r>
        <w:rPr>
          <w:rFonts w:ascii="Times New Roman" w:hAnsi="Times New Roman" w:cs="Times New Roman"/>
          <w:b w:val="0"/>
          <w:i/>
          <w:sz w:val="20"/>
        </w:rPr>
        <w:t>evidence membership</w:t>
      </w:r>
      <w:r>
        <w:rPr>
          <w:rFonts w:ascii="Times New Roman" w:hAnsi="Times New Roman" w:cs="Times New Roman"/>
          <w:b w:val="0"/>
          <w:i w:val="0"/>
          <w:sz w:val="20"/>
        </w:rPr>
        <w:t xml:space="preserve"> (T, I, F) proportions.</w:t>
      </w:r>
    </w:p>
    <w:p>
      <w:pPr>
        <w:spacing w:after="80"/>
        <w:ind w:firstLine="340"/>
        <w:jc w:val="both"/>
      </w:pPr>
      <w:r>
        <w:rPr>
          <w:rFonts w:ascii="Times New Roman" w:hAnsi="Times New Roman" w:cs="Times New Roman"/>
          <w:b w:val="0"/>
          <w:i w:val="0"/>
          <w:sz w:val="20"/>
        </w:rPr>
        <w:t>Operationally, when only one comprehensive source is available (e.g., Google Scholar Metrics provides h5 directly), we anchor the upper-bound on that source and the lower-bound on the most conservative indexed source.</w:t>
      </w:r>
    </w:p>
    <w:p>
      <w:pPr>
        <w:spacing w:before="200" w:after="80"/>
      </w:pPr>
      <w:r>
        <w:rPr>
          <w:rFonts w:ascii="Arial" w:hAnsi="Arial" w:cs="Arial"/>
          <w:b/>
          <w:i w:val="0"/>
          <w:sz w:val="22"/>
        </w:rPr>
        <w:t>3.2 Neutrosophic Lotka exponent</w:t>
      </w:r>
    </w:p>
    <w:p>
      <w:pPr>
        <w:spacing w:after="80"/>
        <w:ind w:firstLine="340"/>
        <w:jc w:val="both"/>
      </w:pPr>
      <w:r>
        <w:rPr>
          <w:rFonts w:ascii="Times New Roman" w:hAnsi="Times New Roman" w:cs="Times New Roman"/>
          <w:b w:val="0"/>
          <w:i w:val="0"/>
          <w:sz w:val="20"/>
        </w:rPr>
        <w:t xml:space="preserve">The classical Lotka fit produces a point estimate α̂ and a K-S test of shape adequacy. We replace this binary outcome with a neutrosophic profile based on the </w:t>
      </w:r>
      <w:r>
        <w:rPr>
          <w:rFonts w:ascii="Times New Roman" w:hAnsi="Times New Roman" w:cs="Times New Roman"/>
          <w:b w:val="0"/>
          <w:i/>
          <w:sz w:val="20"/>
        </w:rPr>
        <w:t>bootstrap distribution</w:t>
      </w:r>
      <w:r>
        <w:rPr>
          <w:rFonts w:ascii="Times New Roman" w:hAnsi="Times New Roman" w:cs="Times New Roman"/>
          <w:b w:val="0"/>
          <w:i w:val="0"/>
          <w:sz w:val="20"/>
        </w:rPr>
        <w:t xml:space="preserve"> of the exponent.</w:t>
      </w:r>
    </w:p>
    <w:p>
      <w:pPr>
        <w:spacing w:after="80"/>
        <w:ind w:firstLine="340"/>
        <w:jc w:val="both"/>
      </w:pPr>
      <w:r>
        <w:rPr>
          <w:rFonts w:ascii="Times New Roman" w:hAnsi="Times New Roman" w:cs="Times New Roman"/>
          <w:b w:val="0"/>
          <w:i w:val="0"/>
          <w:sz w:val="20"/>
        </w:rPr>
        <w:t>Let {x_1, …, x_N} be the productivity counts (articles per author). For b = 1, …, B, draw a bootstrap sample of size N with replacement and compute the maximum-likelihood exponent α̂_b and the K-S statistic D_b. The neutrosophic profile of the journal with respect to "follows classical Lotka" is</w:t>
      </w:r>
    </w:p>
    <w:p>
      <w:pPr>
        <w:spacing w:after="80"/>
        <w:ind w:firstLine="340"/>
        <w:jc w:val="both"/>
      </w:pPr>
      <w:r>
        <w:rPr>
          <w:rFonts w:ascii="Times New Roman" w:hAnsi="Times New Roman" w:cs="Times New Roman"/>
          <w:b w:val="0"/>
          <w:i w:val="0"/>
          <w:sz w:val="20"/>
        </w:rPr>
        <w:t>N_Lotka(J) = ( T, I, F )                                    (5)</w:t>
      </w:r>
    </w:p>
    <w:p>
      <w:pPr>
        <w:spacing w:after="80"/>
        <w:ind w:firstLine="340"/>
        <w:jc w:val="both"/>
      </w:pPr>
      <w:r>
        <w:rPr>
          <w:rFonts w:ascii="Times New Roman" w:hAnsi="Times New Roman" w:cs="Times New Roman"/>
          <w:b w:val="0"/>
          <w:i w:val="0"/>
          <w:sz w:val="20"/>
        </w:rPr>
        <w:t>with:</w:t>
      </w:r>
    </w:p>
    <w:p>
      <w:pPr>
        <w:pStyle w:val="ListBullet"/>
        <w:spacing w:after="40"/>
      </w:pPr>
      <w:r>
        <w:rPr>
          <w:rFonts w:ascii="Times New Roman" w:hAnsi="Times New Roman" w:cs="Times New Roman"/>
          <w:b w:val="0"/>
          <w:i w:val="0"/>
          <w:sz w:val="20"/>
        </w:rPr>
        <w:t>T = (1/B) · Σ_b 𝟙{ α̂_b ∈ [1.9, 2.1] AND D_b ≤ D_crit }</w:t>
      </w:r>
    </w:p>
    <w:p>
      <w:pPr>
        <w:pStyle w:val="ListBullet"/>
        <w:spacing w:after="40"/>
      </w:pPr>
      <w:r>
        <w:rPr>
          <w:rFonts w:ascii="Times New Roman" w:hAnsi="Times New Roman" w:cs="Times New Roman"/>
          <w:b w:val="0"/>
          <w:i w:val="0"/>
          <w:sz w:val="20"/>
        </w:rPr>
        <w:t>I = (1/B) · Σ_b 𝟙{ α̂_b ∈ [1.9, 2.1] AND D_b &gt; D_crit }</w:t>
      </w:r>
    </w:p>
    <w:p>
      <w:pPr>
        <w:pStyle w:val="ListBullet"/>
        <w:spacing w:after="40"/>
      </w:pPr>
      <w:r>
        <w:rPr>
          <w:rFonts w:ascii="Times New Roman" w:hAnsi="Times New Roman" w:cs="Times New Roman"/>
          <w:b w:val="0"/>
          <w:i w:val="0"/>
          <w:sz w:val="20"/>
        </w:rPr>
        <w:t>F = (1/B) · Σ_b 𝟙{ α̂_b ∉ [1.9, 2.1] }</w:t>
      </w:r>
    </w:p>
    <w:p>
      <w:pPr>
        <w:spacing w:after="80"/>
        <w:ind w:firstLine="340"/>
        <w:jc w:val="both"/>
      </w:pPr>
      <w:r>
        <w:rPr>
          <w:rFonts w:ascii="Times New Roman" w:hAnsi="Times New Roman" w:cs="Times New Roman"/>
          <w:b w:val="0"/>
          <w:i w:val="0"/>
          <w:sz w:val="20"/>
        </w:rPr>
        <w:t>where D_crit = 1.36/√N is the K-S critical value at the 5 % level. T captures the proportion of bootstrap replicates that confirm Lotka's law in both exponent and shape; I captures replicates whose exponent matches classical Lotka but whose shape diverges (typically because of an excess of one-shot authors); F captures replicates that fall outside the classical exponent range.</w:t>
      </w:r>
    </w:p>
    <w:p>
      <w:pPr>
        <w:spacing w:after="80"/>
        <w:ind w:firstLine="340"/>
        <w:jc w:val="both"/>
      </w:pPr>
      <w:r>
        <w:rPr>
          <w:rFonts w:ascii="Times New Roman" w:hAnsi="Times New Roman" w:cs="Times New Roman"/>
          <w:b w:val="0"/>
          <w:i w:val="0"/>
          <w:sz w:val="20"/>
        </w:rPr>
        <w:t>The number of replicates B = 1000 is sufficient for stable membership estimates. Larger B reduces sampling variance in T, I, F to negligible levels but does not change qualitative conclusions.</w:t>
      </w:r>
    </w:p>
    <w:p>
      <w:pPr>
        <w:spacing w:before="200" w:after="80"/>
      </w:pPr>
      <w:r>
        <w:rPr>
          <w:rFonts w:ascii="Arial" w:hAnsi="Arial" w:cs="Arial"/>
          <w:b/>
          <w:i w:val="0"/>
          <w:sz w:val="22"/>
        </w:rPr>
        <w:t>3.3 Neutrosophic Bradford zone membership</w:t>
      </w:r>
    </w:p>
    <w:p>
      <w:pPr>
        <w:spacing w:after="80"/>
        <w:ind w:firstLine="340"/>
        <w:jc w:val="both"/>
      </w:pPr>
      <w:r>
        <w:rPr>
          <w:rFonts w:ascii="Times New Roman" w:hAnsi="Times New Roman" w:cs="Times New Roman"/>
          <w:b w:val="0"/>
          <w:i w:val="0"/>
          <w:sz w:val="20"/>
        </w:rPr>
        <w:t xml:space="preserve">Classical Bradford partitions journals into three crisp zones by cumulative citation share. For boundary journals this is artificial. We define the </w:t>
      </w:r>
      <w:r>
        <w:rPr>
          <w:rFonts w:ascii="Times New Roman" w:hAnsi="Times New Roman" w:cs="Times New Roman"/>
          <w:b w:val="0"/>
          <w:i/>
          <w:sz w:val="20"/>
        </w:rPr>
        <w:t>neutrosophic nucleus membership</w:t>
      </w:r>
      <w:r>
        <w:rPr>
          <w:rFonts w:ascii="Times New Roman" w:hAnsi="Times New Roman" w:cs="Times New Roman"/>
          <w:b w:val="0"/>
          <w:i w:val="0"/>
          <w:sz w:val="20"/>
        </w:rPr>
        <w:t xml:space="preserve"> of a journal j with citation share s_j ∈ [0, 1] as</w:t>
      </w:r>
    </w:p>
    <w:p>
      <w:pPr>
        <w:spacing w:after="80"/>
        <w:ind w:firstLine="340"/>
        <w:jc w:val="both"/>
      </w:pPr>
      <w:r>
        <w:rPr>
          <w:rFonts w:ascii="Times New Roman" w:hAnsi="Times New Roman" w:cs="Times New Roman"/>
          <w:b w:val="0"/>
          <w:i w:val="0"/>
          <w:sz w:val="20"/>
        </w:rPr>
        <w:t>T_nuc(j) = σ( (s_j - s</w:t>
      </w:r>
      <w:r>
        <w:rPr>
          <w:rFonts w:ascii="Times New Roman" w:hAnsi="Times New Roman" w:cs="Times New Roman"/>
          <w:b w:val="0"/>
          <w:i/>
          <w:sz w:val="20"/>
        </w:rPr>
        <w:t>) / κ )                              (6) I_nuc(j) = 0.4 · exp( -(s_j - s</w:t>
      </w:r>
      <w:r>
        <w:rPr>
          <w:rFonts w:ascii="Times New Roman" w:hAnsi="Times New Roman" w:cs="Times New Roman"/>
          <w:b w:val="0"/>
          <w:i w:val="0"/>
          <w:sz w:val="20"/>
        </w:rPr>
        <w:t>)² / (2 · (1.5 κ)²) )       (7) F_nuc(j) = max( 0, 1 - T_nuc(j) - I_nuc(j) )                (8)</w:t>
      </w:r>
    </w:p>
    <w:p>
      <w:pPr>
        <w:spacing w:after="80"/>
        <w:ind w:firstLine="340"/>
        <w:jc w:val="both"/>
      </w:pPr>
      <w:r>
        <w:rPr>
          <w:rFonts w:ascii="Times New Roman" w:hAnsi="Times New Roman" w:cs="Times New Roman"/>
          <w:b w:val="0"/>
          <w:i w:val="0"/>
          <w:sz w:val="20"/>
        </w:rPr>
        <w:t>where σ is the logistic function, s</w:t>
      </w:r>
      <w:r>
        <w:rPr>
          <w:rFonts w:ascii="Times New Roman" w:hAnsi="Times New Roman" w:cs="Times New Roman"/>
          <w:b w:val="0"/>
          <w:i/>
          <w:sz w:val="20"/>
        </w:rPr>
        <w:t xml:space="preserve"> is the citation share at which the cumulative reaches one third of the total (the classical nucleus boundary), and κ is a smoothing constant set to 0.4 · s</w:t>
      </w:r>
      <w:r>
        <w:rPr>
          <w:rFonts w:ascii="Times New Roman" w:hAnsi="Times New Roman" w:cs="Times New Roman"/>
          <w:b w:val="0"/>
          <w:i w:val="0"/>
          <w:sz w:val="20"/>
        </w:rPr>
        <w:t>. Equation (6) yields high T for journals well above the boundary and low T for journals well below. Equation (7) introduces an indeterminacy peak centred on the boundary, modelling the fuzziness of zone assignment for journals near the threshold. Equation (8) ensures that F is non-negative and that the triple is internally consistent.</w:t>
      </w:r>
    </w:p>
    <w:p>
      <w:pPr>
        <w:spacing w:after="80"/>
        <w:ind w:firstLine="340"/>
        <w:jc w:val="both"/>
      </w:pPr>
      <w:r>
        <w:rPr>
          <w:rFonts w:ascii="Times New Roman" w:hAnsi="Times New Roman" w:cs="Times New Roman"/>
          <w:b w:val="0"/>
          <w:i w:val="0"/>
          <w:sz w:val="20"/>
        </w:rPr>
        <w:t>The same approach applies to membership in zone 2 (middle) and zone 3 (periphery) by repeating the procedure with the corresponding boundary. Reporting only the nucleus membership is sufficient for most editorial purposes, since zone-1 journals are the ones whose dependence is strategically relevant.</w:t>
      </w:r>
    </w:p>
    <w:p>
      <w:pPr>
        <w:spacing w:before="200" w:after="80"/>
      </w:pPr>
      <w:r>
        <w:rPr>
          <w:rFonts w:ascii="Arial" w:hAnsi="Arial" w:cs="Arial"/>
          <w:b/>
          <w:i w:val="0"/>
          <w:sz w:val="22"/>
        </w:rPr>
        <w:t>3.4 Neutrosophic topic membership</w:t>
      </w:r>
    </w:p>
    <w:p>
      <w:pPr>
        <w:spacing w:after="80"/>
        <w:ind w:firstLine="340"/>
        <w:jc w:val="both"/>
      </w:pPr>
      <w:r>
        <w:rPr>
          <w:rFonts w:ascii="Times New Roman" w:hAnsi="Times New Roman" w:cs="Times New Roman"/>
          <w:b w:val="0"/>
          <w:i w:val="0"/>
          <w:sz w:val="20"/>
        </w:rPr>
        <w:t>Modern topic-modeling pipelines produce probabilistic document–topic assignments. We map the soft assignment to a neutrosophic profile. Let d_i be the Euclidean distance from document i to the centroid of its assigned cluster, and d_i' the distance to the nearest other cluster. Let σ̂ be the median of {d_i} over the corpus. The membership of document i in its assigned topic is</w:t>
      </w:r>
    </w:p>
    <w:p>
      <w:pPr>
        <w:spacing w:after="80"/>
        <w:ind w:firstLine="340"/>
        <w:jc w:val="both"/>
      </w:pPr>
      <w:r>
        <w:rPr>
          <w:rFonts w:ascii="Times New Roman" w:hAnsi="Times New Roman" w:cs="Times New Roman"/>
          <w:b w:val="0"/>
          <w:i w:val="0"/>
          <w:sz w:val="20"/>
        </w:rPr>
        <w:t>T_topic(i) = exp( -d_i² / (2 σ̂²) )                          (9) I_topic(i) = 0.5 · exp( -(d_i' - d_i)² / (2 (0.5 σ̂)²) )    (10) F_topic(i) = max( 0, 1 - T_topic(i) - I_topic(i) )          (11)</w:t>
      </w:r>
    </w:p>
    <w:p>
      <w:pPr>
        <w:spacing w:after="80"/>
        <w:ind w:firstLine="340"/>
        <w:jc w:val="both"/>
      </w:pPr>
      <w:r>
        <w:rPr>
          <w:rFonts w:ascii="Times New Roman" w:hAnsi="Times New Roman" w:cs="Times New Roman"/>
          <w:b w:val="0"/>
          <w:i w:val="0"/>
          <w:sz w:val="20"/>
        </w:rPr>
        <w:t>T captures the closeness of the document to its assigned centroid (high T = clearly inside the cluster). I captures the proximity of the second nearest cluster (high I = boundary between two topics). F is the residual.</w:t>
      </w:r>
    </w:p>
    <w:p>
      <w:pPr>
        <w:spacing w:after="80"/>
        <w:ind w:firstLine="340"/>
        <w:jc w:val="both"/>
      </w:pPr>
      <w:r>
        <w:rPr>
          <w:rFonts w:ascii="Times New Roman" w:hAnsi="Times New Roman" w:cs="Times New Roman"/>
          <w:b w:val="0"/>
          <w:i w:val="0"/>
          <w:sz w:val="20"/>
        </w:rPr>
        <w:t>The same scheme applies to LDA, BERTopic, or any other clustering pipeline once a per-document distance to assigned and second-nearest centroids is available. For BERTopic specifically, the topic-probability distribution returned by the model can be used directly: T = max probability, I = second-highest probability, F = 1 − T − I.</w:t>
      </w:r>
    </w:p>
    <w:p>
      <w:pPr>
        <w:spacing w:before="200" w:after="80"/>
      </w:pPr>
      <w:r>
        <w:rPr>
          <w:rFonts w:ascii="Arial" w:hAnsi="Arial" w:cs="Arial"/>
          <w:b/>
          <w:i w:val="0"/>
          <w:sz w:val="22"/>
        </w:rPr>
        <w:t>3.5 Neutrosophic co-authorship edge weights</w:t>
      </w:r>
    </w:p>
    <w:p>
      <w:pPr>
        <w:spacing w:after="80"/>
        <w:ind w:firstLine="340"/>
        <w:jc w:val="both"/>
      </w:pPr>
      <w:r>
        <w:rPr>
          <w:rFonts w:ascii="Times New Roman" w:hAnsi="Times New Roman" w:cs="Times New Roman"/>
          <w:b w:val="0"/>
          <w:i w:val="0"/>
          <w:sz w:val="20"/>
        </w:rPr>
        <w:t>Classical co-authorship networks weight each edge by the count of shared articles. We propose</w:t>
      </w:r>
    </w:p>
    <w:p>
      <w:pPr>
        <w:spacing w:after="80"/>
        <w:ind w:firstLine="340"/>
        <w:jc w:val="both"/>
      </w:pPr>
      <w:r>
        <w:rPr>
          <w:rFonts w:ascii="Times New Roman" w:hAnsi="Times New Roman" w:cs="Times New Roman"/>
          <w:b w:val="0"/>
          <w:i w:val="0"/>
          <w:sz w:val="20"/>
        </w:rPr>
        <w:t>T_collab(u, v) = 1 - exp( -(w_{u,v} - 1) / 2 )             (12) I_collab(u, v) = 𝟙{w_{u,v}=1} · 0.5  + 𝟙{w_{u,v}&gt;1} · 0.5 · exp( -(w_{u,v}-1)/1.5 )   (13) F_collab(u, v) = max( 0, 1 - T_collab(u, v) - I_collab(u, v) )   (14)</w:t>
      </w:r>
    </w:p>
    <w:p>
      <w:pPr>
        <w:spacing w:after="80"/>
        <w:ind w:firstLine="340"/>
        <w:jc w:val="both"/>
      </w:pPr>
      <w:r>
        <w:rPr>
          <w:rFonts w:ascii="Times New Roman" w:hAnsi="Times New Roman" w:cs="Times New Roman"/>
          <w:b w:val="0"/>
          <w:i w:val="0"/>
          <w:sz w:val="20"/>
        </w:rPr>
        <w:t>where w_{u,v} is the number of articles co-authored by u and v. T saturates as w grows (verified collaboration), I peaks at w = 1 (single-article collaboration, which may be opportunistic) and decays afterwards. F is the residual.</w:t>
      </w:r>
    </w:p>
    <w:p>
      <w:pPr>
        <w:spacing w:after="80"/>
        <w:ind w:firstLine="340"/>
        <w:jc w:val="both"/>
      </w:pPr>
      <w:r>
        <w:rPr>
          <w:rFonts w:ascii="Times New Roman" w:hAnsi="Times New Roman" w:cs="Times New Roman"/>
          <w:b w:val="0"/>
          <w:i w:val="0"/>
          <w:sz w:val="20"/>
        </w:rPr>
        <w:t xml:space="preserve">Network-level metrics (modularity, clustering coefficient, degree centrality) can then be computed using T_collab as the edge weight, with the I_collab and F_collab triples available for sensitivity analysis. A collaboration network that survives strong T-thresholding (e.g., T &gt; 0.5) reveals the </w:t>
      </w:r>
      <w:r>
        <w:rPr>
          <w:rFonts w:ascii="Times New Roman" w:hAnsi="Times New Roman" w:cs="Times New Roman"/>
          <w:b w:val="0"/>
          <w:i/>
          <w:sz w:val="20"/>
        </w:rPr>
        <w:t>intellectual core</w:t>
      </w:r>
      <w:r>
        <w:rPr>
          <w:rFonts w:ascii="Times New Roman" w:hAnsi="Times New Roman" w:cs="Times New Roman"/>
          <w:b w:val="0"/>
          <w:i w:val="0"/>
          <w:sz w:val="20"/>
        </w:rPr>
        <w:t xml:space="preserve"> of the journal as opposed to the </w:t>
      </w:r>
      <w:r>
        <w:rPr>
          <w:rFonts w:ascii="Times New Roman" w:hAnsi="Times New Roman" w:cs="Times New Roman"/>
          <w:b w:val="0"/>
          <w:i/>
          <w:sz w:val="20"/>
        </w:rPr>
        <w:t>publication marketplace</w:t>
      </w:r>
      <w:r>
        <w:rPr>
          <w:rFonts w:ascii="Times New Roman" w:hAnsi="Times New Roman" w:cs="Times New Roman"/>
          <w:b w:val="0"/>
          <w:i w:val="0"/>
          <w:sz w:val="20"/>
        </w:rPr>
        <w:t xml:space="preserve"> shown by the classical raw-count graph.</w:t>
      </w:r>
    </w:p>
    <w:p>
      <w:pPr>
        <w:spacing w:before="200" w:after="80"/>
      </w:pPr>
      <w:r>
        <w:rPr>
          <w:rFonts w:ascii="Arial" w:hAnsi="Arial" w:cs="Arial"/>
          <w:b/>
          <w:i w:val="0"/>
          <w:sz w:val="22"/>
        </w:rPr>
        <w:t>3.6 Aggregation</w:t>
      </w:r>
    </w:p>
    <w:p>
      <w:pPr>
        <w:spacing w:after="80"/>
        <w:ind w:firstLine="340"/>
        <w:jc w:val="both"/>
      </w:pPr>
      <w:r>
        <w:rPr>
          <w:rFonts w:ascii="Times New Roman" w:hAnsi="Times New Roman" w:cs="Times New Roman"/>
          <w:b w:val="0"/>
          <w:i w:val="0"/>
          <w:sz w:val="20"/>
        </w:rPr>
        <w:t xml:space="preserve">The five indicators are independent. They can be reported jointly as a </w:t>
      </w:r>
      <w:r>
        <w:rPr>
          <w:rFonts w:ascii="Times New Roman" w:hAnsi="Times New Roman" w:cs="Times New Roman"/>
          <w:b w:val="0"/>
          <w:i/>
          <w:sz w:val="20"/>
        </w:rPr>
        <w:t>neutrosophic bibliometric vector</w:t>
      </w:r>
    </w:p>
    <w:p>
      <w:pPr>
        <w:spacing w:after="80"/>
        <w:ind w:firstLine="340"/>
        <w:jc w:val="both"/>
      </w:pPr>
      <w:r>
        <w:rPr>
          <w:rFonts w:ascii="Times New Roman" w:hAnsi="Times New Roman" w:cs="Times New Roman"/>
          <w:b w:val="0"/>
          <w:i w:val="0"/>
          <w:sz w:val="20"/>
        </w:rPr>
        <w:t>N(J) = ( N_h, N_Lotka, N_Bradford-Z1, N_topics, N_coauth )  (15)</w:t>
      </w:r>
    </w:p>
    <w:p>
      <w:pPr>
        <w:spacing w:after="80"/>
        <w:ind w:firstLine="340"/>
        <w:jc w:val="both"/>
      </w:pPr>
      <w:r>
        <w:rPr>
          <w:rFonts w:ascii="Times New Roman" w:hAnsi="Times New Roman" w:cs="Times New Roman"/>
          <w:b w:val="0"/>
          <w:i w:val="0"/>
          <w:sz w:val="20"/>
        </w:rPr>
        <w:t>with each component a (T, I, F) triple. For an editorial audience we recommend reporting all five with their indeterminacy components rather than a single scalar score. Aggregating into a single number requires a weighting scheme (e.g., neutrosophic AHP) and is left for case-specific applications.</w:t>
      </w:r>
    </w:p>
    <w:p>
      <w:pPr>
        <w:spacing w:before="280" w:after="120"/>
      </w:pPr>
      <w:r>
        <w:rPr>
          <w:rFonts w:ascii="Arial" w:hAnsi="Arial" w:cs="Arial"/>
          <w:b/>
          <w:i w:val="0"/>
          <w:sz w:val="24"/>
        </w:rPr>
        <w:t>4. Methods and Data</w:t>
      </w:r>
    </w:p>
    <w:p>
      <w:pPr>
        <w:spacing w:before="200" w:after="80"/>
      </w:pPr>
      <w:r>
        <w:rPr>
          <w:rFonts w:ascii="Arial" w:hAnsi="Arial" w:cs="Arial"/>
          <w:b/>
          <w:i w:val="0"/>
          <w:sz w:val="22"/>
        </w:rPr>
        <w:t>4.1 Corpus</w:t>
      </w:r>
    </w:p>
    <w:p>
      <w:pPr>
        <w:spacing w:after="80"/>
        <w:ind w:firstLine="340"/>
        <w:jc w:val="both"/>
      </w:pPr>
      <w:r>
        <w:rPr>
          <w:rFonts w:ascii="Times New Roman" w:hAnsi="Times New Roman" w:cs="Times New Roman"/>
          <w:b w:val="0"/>
          <w:i w:val="0"/>
          <w:sz w:val="20"/>
        </w:rPr>
        <w:t xml:space="preserve">The empirical case study uses the corpus of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compiled in our companion paper [10]. The corpus comprises 762 articles published in volumes 1 through 42 (2018 to April 2026), of which 728 PDFs were successfully retrieved (95.5 % coverage). Article-level metadata (title, authors, volume, year, pages, DOI) were scraped from the official journal index and enriched through the OpenAlex (671 articles, 93.3 %) and DataCite (704 articles, 97.9 %) APIs.</w:t>
      </w:r>
    </w:p>
    <w:p>
      <w:pPr>
        <w:spacing w:before="200" w:after="80"/>
      </w:pPr>
      <w:r>
        <w:rPr>
          <w:rFonts w:ascii="Arial" w:hAnsi="Arial" w:cs="Arial"/>
          <w:b/>
          <w:i w:val="0"/>
          <w:sz w:val="22"/>
        </w:rPr>
        <w:t>4.2 Author disambiguation</w:t>
      </w:r>
    </w:p>
    <w:p>
      <w:pPr>
        <w:spacing w:after="80"/>
        <w:ind w:firstLine="340"/>
        <w:jc w:val="both"/>
      </w:pPr>
      <w:r>
        <w:rPr>
          <w:rFonts w:ascii="Times New Roman" w:hAnsi="Times New Roman" w:cs="Times New Roman"/>
          <w:b w:val="0"/>
          <w:i w:val="0"/>
          <w:sz w:val="20"/>
        </w:rPr>
        <w:t>The 2 225 author–article pairs were resolved into 1 363 unique authors using a union-find algorithm with four hierarchical equivalence rules: (i) shared ORCID; (ii) shared OpenAlex author identifier; (iii) shared canonical name (NFKD-normalised, lowercased, stop-token removed, alphabetised); (iv) initial-plus-surname key when no ORCID conflict exists. The disambiguation reduced 1 539 raw signatures by 9.9 %. The top 100 clusters were inspected manually; no false merges were detected.</w:t>
      </w:r>
    </w:p>
    <w:p>
      <w:pPr>
        <w:spacing w:before="200" w:after="80"/>
      </w:pPr>
      <w:r>
        <w:rPr>
          <w:rFonts w:ascii="Arial" w:hAnsi="Arial" w:cs="Arial"/>
          <w:b/>
          <w:i w:val="0"/>
          <w:sz w:val="22"/>
        </w:rPr>
        <w:t>4.3 Citation triangulation</w:t>
      </w:r>
    </w:p>
    <w:p>
      <w:pPr>
        <w:spacing w:after="80"/>
        <w:ind w:firstLine="340"/>
        <w:jc w:val="both"/>
      </w:pPr>
      <w:r>
        <w:rPr>
          <w:rFonts w:ascii="Times New Roman" w:hAnsi="Times New Roman" w:cs="Times New Roman"/>
          <w:b w:val="0"/>
          <w:i w:val="0"/>
          <w:sz w:val="20"/>
        </w:rPr>
        <w:t>For each article, citation counts were obtained from up to three sources: OpenAlex (full corpus), Google Scholar (a stratified sample of n = 26, with 3 articles per year between 2018 and 2024 plus the most cited OpenAlex article and 5 articles from 2025), and DataCite (full corpus, where DataCite tracks citations among DataCite-registered DOIs only). Source-disagreement is computed at the article level using the classification rule of Section 3.1.</w:t>
      </w:r>
    </w:p>
    <w:p>
      <w:pPr>
        <w:spacing w:before="200" w:after="80"/>
      </w:pPr>
      <w:r>
        <w:rPr>
          <w:rFonts w:ascii="Arial" w:hAnsi="Arial" w:cs="Arial"/>
          <w:b/>
          <w:i w:val="0"/>
          <w:sz w:val="22"/>
        </w:rPr>
        <w:t>4.4 Topic modeling</w:t>
      </w:r>
    </w:p>
    <w:p>
      <w:pPr>
        <w:spacing w:after="80"/>
        <w:ind w:firstLine="340"/>
        <w:jc w:val="both"/>
      </w:pPr>
      <w:r>
        <w:rPr>
          <w:rFonts w:ascii="Times New Roman" w:hAnsi="Times New Roman" w:cs="Times New Roman"/>
          <w:b w:val="0"/>
          <w:i w:val="0"/>
          <w:sz w:val="20"/>
        </w:rPr>
        <w:t xml:space="preserve">The 725 articles with usable abstracts (≥ 100 characters in either the Spanish resumen or the English abstract) were embedded with the multilingual </w:t>
      </w:r>
      <w:r>
        <w:rPr>
          <w:rFonts w:ascii="Times New Roman" w:hAnsi="Times New Roman" w:cs="Times New Roman"/>
          <w:b w:val="0"/>
          <w:i/>
          <w:sz w:val="20"/>
        </w:rPr>
        <w:t>paraphrase-multilingual-MiniLM-L12-v2</w:t>
      </w:r>
      <w:r>
        <w:rPr>
          <w:rFonts w:ascii="Times New Roman" w:hAnsi="Times New Roman" w:cs="Times New Roman"/>
          <w:b w:val="0"/>
          <w:i w:val="0"/>
          <w:sz w:val="20"/>
        </w:rPr>
        <w:t xml:space="preserve"> sentence transformer (384 dimensions) [18]. The embeddings were reduced to five dimensions with UMAP [19] (n_neighbors = 15, min_dist = 0.0, cosine metric, fixed random state) and clustered with KMeans. The number of clusters K was selected by silhouette score over K ∈ [10, 25]; the optimal value was K = 24 with silhouette = 0.43. Topic terms were obtained by class-based TF-IDF (c-TF-IDF) [20].</w:t>
      </w:r>
    </w:p>
    <w:p>
      <w:pPr>
        <w:spacing w:after="80"/>
        <w:ind w:firstLine="340"/>
        <w:jc w:val="both"/>
      </w:pPr>
      <w:r>
        <w:rPr>
          <w:rFonts w:ascii="Times New Roman" w:hAnsi="Times New Roman" w:cs="Times New Roman"/>
          <w:b w:val="0"/>
          <w:i w:val="0"/>
          <w:sz w:val="20"/>
        </w:rPr>
        <w:t>For the present paper, the document-to-topic distances required by equations (9) and (10) were computed from the two-dimensional UMAP coordinates exported by the original pipeline. This is a conservative proxy: distances in the lower-dimensional space are slightly compressed relative to the five-dimensional clustering space. Future work will use the full 5D distances for sharper separation.</w:t>
      </w:r>
    </w:p>
    <w:p>
      <w:pPr>
        <w:spacing w:before="200" w:after="80"/>
      </w:pPr>
      <w:r>
        <w:rPr>
          <w:rFonts w:ascii="Arial" w:hAnsi="Arial" w:cs="Arial"/>
          <w:b/>
          <w:i w:val="0"/>
          <w:sz w:val="22"/>
        </w:rPr>
        <w:t>4.5 Co-authorship network</w:t>
      </w:r>
    </w:p>
    <w:p>
      <w:pPr>
        <w:spacing w:after="80"/>
        <w:ind w:firstLine="340"/>
        <w:jc w:val="both"/>
      </w:pPr>
      <w:r>
        <w:rPr>
          <w:rFonts w:ascii="Times New Roman" w:hAnsi="Times New Roman" w:cs="Times New Roman"/>
          <w:b w:val="0"/>
          <w:i w:val="0"/>
          <w:sz w:val="20"/>
        </w:rPr>
        <w:t>The disambiguated authors and their article-level co-occurrences generated a graph of 1 363 nodes and 2 174 edges (density 0.0023, mean degree 3.19). Communities were detected with the Louvain algorithm [16] weighted by raw co-authorship counts.</w:t>
      </w:r>
    </w:p>
    <w:p>
      <w:pPr>
        <w:spacing w:before="200" w:after="80"/>
      </w:pPr>
      <w:r>
        <w:rPr>
          <w:rFonts w:ascii="Arial" w:hAnsi="Arial" w:cs="Arial"/>
          <w:b/>
          <w:i w:val="0"/>
          <w:sz w:val="22"/>
        </w:rPr>
        <w:t>4.6 Computational environment</w:t>
      </w:r>
    </w:p>
    <w:p>
      <w:pPr>
        <w:spacing w:after="80"/>
        <w:ind w:firstLine="340"/>
        <w:jc w:val="both"/>
      </w:pPr>
      <w:r>
        <w:rPr>
          <w:rFonts w:ascii="Times New Roman" w:hAnsi="Times New Roman" w:cs="Times New Roman"/>
          <w:b w:val="0"/>
          <w:i w:val="0"/>
          <w:sz w:val="20"/>
        </w:rPr>
        <w:t>All computations were implemented in Python 3.14 on a single laptop with 16 GB of RAM. The pipeline uses pandas, numpy, scipy, scikit-learn, sentence-transformers, umap-learn, networkx, python-louvain, and matplotlib for visualisation. The full source code (22 numbered scripts) is available at https://github.com/mleyvaz/ncml-bibliometric-2026 under MIT licence; the dataset is published under CC-BY 4.0. Bootstrap resampling for the neutrosophic Lotka uses B = 1 000 replicates with fixed random state 42 for reproducibility.</w:t>
      </w:r>
    </w:p>
    <w:p>
      <w:pPr>
        <w:spacing w:before="200" w:after="80"/>
      </w:pPr>
      <w:r>
        <w:rPr>
          <w:rFonts w:ascii="Arial" w:hAnsi="Arial" w:cs="Arial"/>
          <w:b/>
          <w:i w:val="0"/>
          <w:sz w:val="22"/>
        </w:rPr>
        <w:t>4.7 Implementation of the neutrosophic indicators</w:t>
      </w:r>
    </w:p>
    <w:p>
      <w:pPr>
        <w:spacing w:after="80"/>
        <w:ind w:firstLine="340"/>
        <w:jc w:val="both"/>
      </w:pPr>
      <w:r>
        <w:rPr>
          <w:rFonts w:ascii="Times New Roman" w:hAnsi="Times New Roman" w:cs="Times New Roman"/>
          <w:b w:val="0"/>
          <w:i w:val="0"/>
          <w:sz w:val="20"/>
        </w:rPr>
        <w:t xml:space="preserve">The five neutrosophic indicators of Section 3 are implemented in </w:t>
      </w:r>
      <w:r>
        <w:rPr>
          <w:rFonts w:ascii="Consolas" w:hAnsi="Consolas" w:cs="Consolas"/>
          <w:b w:val="0"/>
          <w:i w:val="0"/>
          <w:sz w:val="18"/>
        </w:rPr>
        <w:t>scripts/27_neutrosophic_indicators.py</w:t>
      </w:r>
      <w:r>
        <w:rPr>
          <w:rFonts w:ascii="Times New Roman" w:hAnsi="Times New Roman" w:cs="Times New Roman"/>
          <w:b w:val="0"/>
          <w:i w:val="0"/>
          <w:sz w:val="20"/>
        </w:rPr>
        <w:t>. The script reads the cleaned data tables produced by the classical pipeline (works.csv, author_clusters.csv, scholar_sample_clean.csv, bradford_sources.csv, topics_docs.csv, network_edges.csv) and produces:</w:t>
      </w:r>
    </w:p>
    <w:p>
      <w:pPr>
        <w:pStyle w:val="ListBullet"/>
        <w:spacing w:after="40"/>
      </w:pPr>
      <w:r>
        <w:rPr>
          <w:rFonts w:ascii="Consolas" w:hAnsi="Consolas" w:cs="Consolas"/>
          <w:b w:val="0"/>
          <w:i w:val="0"/>
          <w:sz w:val="18"/>
        </w:rPr>
        <w:t>data/neutrosophic_h_index.json</w:t>
      </w:r>
      <w:r>
        <w:rPr>
          <w:rFonts w:ascii="Times New Roman" w:hAnsi="Times New Roman" w:cs="Times New Roman"/>
          <w:b w:val="0"/>
          <w:i w:val="0"/>
          <w:sz w:val="20"/>
        </w:rPr>
        <w:t xml:space="preserve"> — N-h-index profile (T, I, F).</w:t>
      </w:r>
    </w:p>
    <w:p>
      <w:pPr>
        <w:pStyle w:val="ListBullet"/>
        <w:spacing w:after="40"/>
      </w:pPr>
      <w:r>
        <w:rPr>
          <w:rFonts w:ascii="Consolas" w:hAnsi="Consolas" w:cs="Consolas"/>
          <w:b w:val="0"/>
          <w:i w:val="0"/>
          <w:sz w:val="18"/>
        </w:rPr>
        <w:t>data/neutrosophic_lotka.json</w:t>
      </w:r>
      <w:r>
        <w:rPr>
          <w:rFonts w:ascii="Times New Roman" w:hAnsi="Times New Roman" w:cs="Times New Roman"/>
          <w:b w:val="0"/>
          <w:i w:val="0"/>
          <w:sz w:val="20"/>
        </w:rPr>
        <w:t xml:space="preserve"> — bootstrap distribution of α and the</w:t>
      </w:r>
    </w:p>
    <w:p>
      <w:pPr>
        <w:spacing w:after="80"/>
        <w:ind w:firstLine="340"/>
        <w:jc w:val="both"/>
      </w:pPr>
      <w:r>
        <w:rPr>
          <w:rFonts w:ascii="Times New Roman" w:hAnsi="Times New Roman" w:cs="Times New Roman"/>
          <w:b w:val="0"/>
          <w:i w:val="0"/>
          <w:sz w:val="20"/>
        </w:rPr>
        <w:t>neutrosophic Lotka profile.</w:t>
      </w:r>
    </w:p>
    <w:p>
      <w:pPr>
        <w:pStyle w:val="ListBullet"/>
        <w:spacing w:after="40"/>
      </w:pPr>
      <w:r>
        <w:rPr>
          <w:rFonts w:ascii="Consolas" w:hAnsi="Consolas" w:cs="Consolas"/>
          <w:b w:val="0"/>
          <w:i w:val="0"/>
          <w:sz w:val="18"/>
        </w:rPr>
        <w:t>data/neutrosophic_bradford_top30.csv</w:t>
      </w:r>
      <w:r>
        <w:rPr>
          <w:rFonts w:ascii="Times New Roman" w:hAnsi="Times New Roman" w:cs="Times New Roman"/>
          <w:b w:val="0"/>
          <w:i w:val="0"/>
          <w:sz w:val="20"/>
        </w:rPr>
        <w:t xml:space="preserve"> — per-journal nucleus</w:t>
      </w:r>
    </w:p>
    <w:p>
      <w:pPr>
        <w:spacing w:after="80"/>
        <w:ind w:firstLine="340"/>
        <w:jc w:val="both"/>
      </w:pPr>
      <w:r>
        <w:rPr>
          <w:rFonts w:ascii="Times New Roman" w:hAnsi="Times New Roman" w:cs="Times New Roman"/>
          <w:b w:val="0"/>
          <w:i w:val="0"/>
          <w:sz w:val="20"/>
        </w:rPr>
        <w:t>membership for the top 30 cited journals.</w:t>
      </w:r>
    </w:p>
    <w:p>
      <w:pPr>
        <w:pStyle w:val="ListBullet"/>
        <w:spacing w:after="40"/>
      </w:pPr>
      <w:r>
        <w:rPr>
          <w:rFonts w:ascii="Consolas" w:hAnsi="Consolas" w:cs="Consolas"/>
          <w:b w:val="0"/>
          <w:i w:val="0"/>
          <w:sz w:val="18"/>
        </w:rPr>
        <w:t>data/neutrosophic_topics_docs.csv</w:t>
      </w:r>
      <w:r>
        <w:rPr>
          <w:rFonts w:ascii="Times New Roman" w:hAnsi="Times New Roman" w:cs="Times New Roman"/>
          <w:b w:val="0"/>
          <w:i w:val="0"/>
          <w:sz w:val="20"/>
        </w:rPr>
        <w:t xml:space="preserve"> — per-document topic membership</w:t>
      </w:r>
    </w:p>
    <w:p>
      <w:pPr>
        <w:spacing w:after="80"/>
        <w:ind w:firstLine="340"/>
        <w:jc w:val="both"/>
      </w:pPr>
      <w:r>
        <w:rPr>
          <w:rFonts w:ascii="Times New Roman" w:hAnsi="Times New Roman" w:cs="Times New Roman"/>
          <w:b w:val="0"/>
          <w:i w:val="0"/>
          <w:sz w:val="20"/>
        </w:rPr>
        <w:t>triple.</w:t>
      </w:r>
    </w:p>
    <w:p>
      <w:pPr>
        <w:pStyle w:val="ListBullet"/>
        <w:spacing w:after="40"/>
      </w:pPr>
      <w:r>
        <w:rPr>
          <w:rFonts w:ascii="Consolas" w:hAnsi="Consolas" w:cs="Consolas"/>
          <w:b w:val="0"/>
          <w:i w:val="0"/>
          <w:sz w:val="18"/>
        </w:rPr>
        <w:t>data/neutrosophic_coauth_edges.csv</w:t>
      </w:r>
      <w:r>
        <w:rPr>
          <w:rFonts w:ascii="Times New Roman" w:hAnsi="Times New Roman" w:cs="Times New Roman"/>
          <w:b w:val="0"/>
          <w:i w:val="0"/>
          <w:sz w:val="20"/>
        </w:rPr>
        <w:t xml:space="preserve"> — per-edge collaboration</w:t>
      </w:r>
    </w:p>
    <w:p>
      <w:pPr>
        <w:spacing w:after="80"/>
        <w:ind w:firstLine="340"/>
        <w:jc w:val="both"/>
      </w:pPr>
      <w:r>
        <w:rPr>
          <w:rFonts w:ascii="Times New Roman" w:hAnsi="Times New Roman" w:cs="Times New Roman"/>
          <w:b w:val="0"/>
          <w:i w:val="0"/>
          <w:sz w:val="20"/>
        </w:rPr>
        <w:t>membership triple.</w:t>
      </w:r>
    </w:p>
    <w:p>
      <w:pPr>
        <w:pStyle w:val="ListBullet"/>
        <w:spacing w:after="40"/>
      </w:pPr>
      <w:r>
        <w:rPr>
          <w:rFonts w:ascii="Consolas" w:hAnsi="Consolas" w:cs="Consolas"/>
          <w:b w:val="0"/>
          <w:i w:val="0"/>
          <w:sz w:val="18"/>
        </w:rPr>
        <w:t>figures/neutrosophic_indicators.png</w:t>
      </w:r>
      <w:r>
        <w:rPr>
          <w:rFonts w:ascii="Times New Roman" w:hAnsi="Times New Roman" w:cs="Times New Roman"/>
          <w:b w:val="0"/>
          <w:i w:val="0"/>
          <w:sz w:val="20"/>
        </w:rPr>
        <w:t xml:space="preserve"> — composite figure with the four</w:t>
      </w:r>
    </w:p>
    <w:p>
      <w:pPr>
        <w:spacing w:after="80"/>
        <w:ind w:firstLine="340"/>
        <w:jc w:val="both"/>
      </w:pPr>
      <w:r>
        <w:rPr>
          <w:rFonts w:ascii="Times New Roman" w:hAnsi="Times New Roman" w:cs="Times New Roman"/>
          <w:b w:val="0"/>
          <w:i w:val="0"/>
          <w:sz w:val="20"/>
        </w:rPr>
        <w:t>panels reported in Section 5.</w:t>
      </w:r>
    </w:p>
    <w:p>
      <w:pPr>
        <w:spacing w:after="80"/>
        <w:ind w:firstLine="340"/>
        <w:jc w:val="both"/>
      </w:pPr>
      <w:r>
        <w:rPr>
          <w:rFonts w:ascii="Times New Roman" w:hAnsi="Times New Roman" w:cs="Times New Roman"/>
          <w:b w:val="0"/>
          <w:i w:val="0"/>
          <w:sz w:val="20"/>
        </w:rPr>
        <w:t>The script terminates in approximately ten seconds on a modern laptop and is fully deterministic.</w:t>
      </w:r>
    </w:p>
    <w:p>
      <w:pPr>
        <w:spacing w:before="280" w:after="120"/>
      </w:pPr>
      <w:r>
        <w:rPr>
          <w:rFonts w:ascii="Arial" w:hAnsi="Arial" w:cs="Arial"/>
          <w:b/>
          <w:i w:val="0"/>
          <w:sz w:val="24"/>
        </w:rPr>
        <w:t>5. Case-Study Results</w:t>
      </w:r>
    </w:p>
    <w:p>
      <w:pPr>
        <w:spacing w:after="80"/>
        <w:ind w:firstLine="340"/>
        <w:jc w:val="both"/>
      </w:pPr>
      <w:r>
        <w:rPr>
          <w:rFonts w:ascii="Times New Roman" w:hAnsi="Times New Roman" w:cs="Times New Roman"/>
          <w:b w:val="0"/>
          <w:i w:val="0"/>
          <w:sz w:val="20"/>
        </w:rPr>
        <w:t>This section reports the empirical application of the five neutrosophic extensions to the NCML 2018–2026 corpus. Each subsection presents the classical baseline followed by the neutrosophic profile and a short interpretation. A composite figure with all four numeric panels is provided in Figure 1.</w:t>
      </w:r>
    </w:p>
    <w:p>
      <w:pPr>
        <w:spacing w:before="200" w:after="80"/>
      </w:pPr>
      <w:r>
        <w:rPr>
          <w:rFonts w:ascii="Arial" w:hAnsi="Arial" w:cs="Arial"/>
          <w:b/>
          <w:i w:val="0"/>
          <w:sz w:val="22"/>
        </w:rPr>
        <w:t>5.1 Neutrosophic h-index</w:t>
      </w:r>
    </w:p>
    <w:p>
      <w:pPr>
        <w:spacing w:after="80"/>
        <w:ind w:firstLine="340"/>
        <w:jc w:val="both"/>
      </w:pPr>
      <w:r>
        <w:rPr>
          <w:rFonts w:ascii="Times New Roman" w:hAnsi="Times New Roman" w:cs="Times New Roman"/>
          <w:b w:val="0"/>
          <w:i w:val="0"/>
          <w:sz w:val="20"/>
        </w:rPr>
        <w:t xml:space="preserve">The classical </w:t>
      </w:r>
      <w:r>
        <w:rPr>
          <w:rFonts w:ascii="Times New Roman" w:hAnsi="Times New Roman" w:cs="Times New Roman"/>
          <w:b w:val="0"/>
          <w:i/>
          <w:sz w:val="20"/>
        </w:rPr>
        <w:t>h</w:t>
      </w:r>
      <w:r>
        <w:rPr>
          <w:rFonts w:ascii="Times New Roman" w:hAnsi="Times New Roman" w:cs="Times New Roman"/>
          <w:b w:val="0"/>
          <w:i w:val="0"/>
          <w:sz w:val="20"/>
        </w:rPr>
        <w:t xml:space="preserve">-index of NCML obtained from OpenAlex is </w:t>
      </w:r>
      <w:r>
        <w:rPr>
          <w:rFonts w:ascii="Times New Roman" w:hAnsi="Times New Roman" w:cs="Times New Roman"/>
          <w:b/>
          <w:i w:val="0"/>
          <w:sz w:val="20"/>
        </w:rPr>
        <w:t>h = 1</w:t>
      </w:r>
      <w:r>
        <w:rPr>
          <w:rFonts w:ascii="Times New Roman" w:hAnsi="Times New Roman" w:cs="Times New Roman"/>
          <w:b w:val="0"/>
          <w:i w:val="0"/>
          <w:sz w:val="20"/>
        </w:rPr>
        <w:t xml:space="preserve"> with 27 total citations across 762 articles. The same journal reports an </w:t>
      </w:r>
      <w:r>
        <w:rPr>
          <w:rFonts w:ascii="Times New Roman" w:hAnsi="Times New Roman" w:cs="Times New Roman"/>
          <w:b w:val="0"/>
          <w:i/>
          <w:sz w:val="20"/>
        </w:rPr>
        <w:t>h5-index</w:t>
      </w:r>
      <w:r>
        <w:rPr>
          <w:rFonts w:ascii="Times New Roman" w:hAnsi="Times New Roman" w:cs="Times New Roman"/>
          <w:b w:val="0"/>
          <w:i w:val="0"/>
          <w:sz w:val="20"/>
        </w:rPr>
        <w:t xml:space="preserve"> = 10 with </w:t>
      </w:r>
      <w:r>
        <w:rPr>
          <w:rFonts w:ascii="Times New Roman" w:hAnsi="Times New Roman" w:cs="Times New Roman"/>
          <w:b w:val="0"/>
          <w:i/>
          <w:sz w:val="20"/>
        </w:rPr>
        <w:t>h5-median</w:t>
      </w:r>
      <w:r>
        <w:rPr>
          <w:rFonts w:ascii="Times New Roman" w:hAnsi="Times New Roman" w:cs="Times New Roman"/>
          <w:b w:val="0"/>
          <w:i w:val="0"/>
          <w:sz w:val="20"/>
        </w:rPr>
        <w:t xml:space="preserve"> = 25 in Google Scholar Metrics for the period 2020–2024 [10]. The two values disagree by an order of magnitude.</w:t>
      </w:r>
    </w:p>
    <w:p>
      <w:pPr>
        <w:spacing w:after="80"/>
        <w:ind w:firstLine="340"/>
        <w:jc w:val="both"/>
      </w:pPr>
      <w:r>
        <w:rPr>
          <w:rFonts w:ascii="Times New Roman" w:hAnsi="Times New Roman" w:cs="Times New Roman"/>
          <w:b w:val="0"/>
          <w:i w:val="0"/>
          <w:sz w:val="20"/>
        </w:rPr>
        <w:t xml:space="preserve">The neutrosophic </w:t>
      </w:r>
      <w:r>
        <w:rPr>
          <w:rFonts w:ascii="Times New Roman" w:hAnsi="Times New Roman" w:cs="Times New Roman"/>
          <w:b w:val="0"/>
          <w:i/>
          <w:sz w:val="20"/>
        </w:rPr>
        <w:t>h</w:t>
      </w:r>
      <w:r>
        <w:rPr>
          <w:rFonts w:ascii="Times New Roman" w:hAnsi="Times New Roman" w:cs="Times New Roman"/>
          <w:b w:val="0"/>
          <w:i w:val="0"/>
          <w:sz w:val="20"/>
        </w:rPr>
        <w:t>-index decomposes the disagreement explicitly. On the stratified sample of n = 26 articles for which both OpenAlex and Google Scholar counts are available:</w:t>
      </w:r>
    </w:p>
    <w:p>
      <w:pPr>
        <w:pStyle w:val="ListBullet"/>
        <w:spacing w:after="40"/>
      </w:pPr>
      <w:r>
        <w:rPr>
          <w:rFonts w:ascii="Times New Roman" w:hAnsi="Times New Roman" w:cs="Times New Roman"/>
          <w:b w:val="0"/>
          <w:i w:val="0"/>
          <w:sz w:val="20"/>
        </w:rPr>
        <w:t>T-class (cited in both sources): 1 article (3.8 %).</w:t>
      </w:r>
    </w:p>
    <w:p>
      <w:pPr>
        <w:pStyle w:val="ListBullet"/>
        <w:spacing w:after="40"/>
      </w:pPr>
      <w:r>
        <w:rPr>
          <w:rFonts w:ascii="Times New Roman" w:hAnsi="Times New Roman" w:cs="Times New Roman"/>
          <w:b w:val="0"/>
          <w:i w:val="0"/>
          <w:sz w:val="20"/>
        </w:rPr>
        <w:t>I-class (cited in only one source): 13 articles (50.0 %).</w:t>
      </w:r>
    </w:p>
    <w:p>
      <w:pPr>
        <w:pStyle w:val="ListBullet"/>
        <w:spacing w:after="40"/>
      </w:pPr>
      <w:r>
        <w:rPr>
          <w:rFonts w:ascii="Times New Roman" w:hAnsi="Times New Roman" w:cs="Times New Roman"/>
          <w:b w:val="0"/>
          <w:i w:val="0"/>
          <w:sz w:val="20"/>
        </w:rPr>
        <w:t>F-class (no citation in any source): 12 articles (46.2 %).</w:t>
      </w:r>
    </w:p>
    <w:p>
      <w:pPr>
        <w:spacing w:after="80"/>
        <w:ind w:firstLine="340"/>
        <w:jc w:val="both"/>
      </w:pPr>
      <w:r>
        <w:rPr>
          <w:rFonts w:ascii="Times New Roman" w:hAnsi="Times New Roman" w:cs="Times New Roman"/>
          <w:b w:val="0"/>
          <w:i w:val="0"/>
          <w:sz w:val="20"/>
        </w:rPr>
        <w:t xml:space="preserve">The journal-level neutrosophic </w:t>
      </w:r>
      <w:r>
        <w:rPr>
          <w:rFonts w:ascii="Times New Roman" w:hAnsi="Times New Roman" w:cs="Times New Roman"/>
          <w:b w:val="0"/>
          <w:i/>
          <w:sz w:val="20"/>
        </w:rPr>
        <w:t>h</w:t>
      </w:r>
      <w:r>
        <w:rPr>
          <w:rFonts w:ascii="Times New Roman" w:hAnsi="Times New Roman" w:cs="Times New Roman"/>
          <w:b w:val="0"/>
          <w:i w:val="0"/>
          <w:sz w:val="20"/>
        </w:rPr>
        <w:t>-index profile is therefore</w:t>
      </w:r>
    </w:p>
    <w:p>
      <w:pPr>
        <w:spacing w:after="80"/>
        <w:ind w:firstLine="340"/>
        <w:jc w:val="both"/>
      </w:pPr>
      <w:r>
        <w:rPr>
          <w:rFonts w:ascii="Times New Roman" w:hAnsi="Times New Roman" w:cs="Times New Roman"/>
          <w:b w:val="0"/>
          <w:i w:val="0"/>
          <w:sz w:val="20"/>
        </w:rPr>
        <w:t>N_h(NCML) = ( T = 0.04, I = 0.50, F = 0.46 )</w:t>
      </w:r>
    </w:p>
    <w:p>
      <w:pPr>
        <w:spacing w:after="80"/>
        <w:ind w:firstLine="340"/>
        <w:jc w:val="both"/>
      </w:pPr>
      <w:r>
        <w:rPr>
          <w:rFonts w:ascii="Times New Roman" w:hAnsi="Times New Roman" w:cs="Times New Roman"/>
          <w:b w:val="0"/>
          <w:i w:val="0"/>
          <w:sz w:val="20"/>
        </w:rPr>
        <w:t>with bounds h_T = 1 (lower bound, OpenAlex-only) and h_TI ≤ h5 = 10 (upper bound, Google Scholar Metrics). The midpoint of the interval is h ≈ 5.5, which is the value an editorial board should use for benchmarking under explicit acknowledgement of source uncertainty.</w:t>
      </w:r>
    </w:p>
    <w:p>
      <w:pPr>
        <w:spacing w:after="80"/>
        <w:ind w:firstLine="340"/>
        <w:jc w:val="both"/>
      </w:pPr>
      <w:r>
        <w:rPr>
          <w:rFonts w:ascii="Times New Roman" w:hAnsi="Times New Roman" w:cs="Times New Roman"/>
          <w:b w:val="0"/>
          <w:i w:val="0"/>
          <w:sz w:val="20"/>
        </w:rPr>
        <w:t xml:space="preserve">The classical headline number "h = 1" is technically correct but informationally misleading. The neutrosophic profile reveals that </w:t>
      </w:r>
      <w:r>
        <w:rPr>
          <w:rFonts w:ascii="Times New Roman" w:hAnsi="Times New Roman" w:cs="Times New Roman"/>
          <w:b/>
          <w:i w:val="0"/>
          <w:sz w:val="20"/>
        </w:rPr>
        <w:t>half of the articles in the sample are in an evidential limbo</w:t>
      </w:r>
      <w:r>
        <w:rPr>
          <w:rFonts w:ascii="Times New Roman" w:hAnsi="Times New Roman" w:cs="Times New Roman"/>
          <w:b w:val="0"/>
          <w:i w:val="0"/>
          <w:sz w:val="20"/>
        </w:rPr>
        <w:t>: cited in some place, not cited in another, and the analyst must choose whether to count them or not. In the corresponding journal-aggregate evidence, this is the dominant condition rather than the exception.</w:t>
      </w:r>
    </w:p>
    <w:p>
      <w:pPr>
        <w:spacing w:before="200" w:after="80"/>
      </w:pPr>
      <w:r>
        <w:rPr>
          <w:rFonts w:ascii="Arial" w:hAnsi="Arial" w:cs="Arial"/>
          <w:b/>
          <w:i w:val="0"/>
          <w:sz w:val="22"/>
        </w:rPr>
        <w:t>5.2 Neutrosophic Lotka exponent</w:t>
      </w:r>
    </w:p>
    <w:p>
      <w:pPr>
        <w:spacing w:after="80"/>
        <w:ind w:firstLine="340"/>
        <w:jc w:val="both"/>
      </w:pPr>
      <w:r>
        <w:rPr>
          <w:rFonts w:ascii="Times New Roman" w:hAnsi="Times New Roman" w:cs="Times New Roman"/>
          <w:b w:val="0"/>
          <w:i w:val="0"/>
          <w:sz w:val="20"/>
        </w:rPr>
        <w:t xml:space="preserve">The maximum-likelihood fit of Lotka's law on the 1 363 disambiguated authors yields </w:t>
      </w:r>
      <w:r>
        <w:rPr>
          <w:rFonts w:ascii="Times New Roman" w:hAnsi="Times New Roman" w:cs="Times New Roman"/>
          <w:b/>
          <w:i w:val="0"/>
          <w:sz w:val="20"/>
        </w:rPr>
        <w:t>α̂ = 2.027</w:t>
      </w:r>
      <w:r>
        <w:rPr>
          <w:rFonts w:ascii="Times New Roman" w:hAnsi="Times New Roman" w:cs="Times New Roman"/>
          <w:b w:val="0"/>
          <w:i w:val="0"/>
          <w:sz w:val="20"/>
        </w:rPr>
        <w:t xml:space="preserve"> with standard error SE = 0.028 — a value indistinguishable from the classical Lotka exponent of 2. The K-S goodness-of-fit test, however, produces D = 0.120 against the critical value 1.36/√1363 = 0.038, decisively rejecting the null hypothesis of shape adequacy at the 5 % level.</w:t>
      </w:r>
    </w:p>
    <w:p>
      <w:pPr>
        <w:spacing w:after="80"/>
        <w:ind w:firstLine="340"/>
        <w:jc w:val="both"/>
      </w:pPr>
      <w:r>
        <w:rPr>
          <w:rFonts w:ascii="Times New Roman" w:hAnsi="Times New Roman" w:cs="Times New Roman"/>
          <w:b w:val="0"/>
          <w:i w:val="0"/>
          <w:sz w:val="20"/>
        </w:rPr>
        <w:t>The bootstrap distribution of α̂ over B = 1 000 replicates has mean 2.03 and 95 % percentile interval [2.00, 2.06]. The K-S statistic is above critical in all 1 000 replicates. The neutrosophic Lotka profile is</w:t>
      </w:r>
    </w:p>
    <w:p>
      <w:pPr>
        <w:spacing w:after="80"/>
        <w:ind w:firstLine="340"/>
        <w:jc w:val="both"/>
      </w:pPr>
      <w:r>
        <w:rPr>
          <w:rFonts w:ascii="Times New Roman" w:hAnsi="Times New Roman" w:cs="Times New Roman"/>
          <w:b w:val="0"/>
          <w:i w:val="0"/>
          <w:sz w:val="20"/>
        </w:rPr>
        <w:t>N_Lotka(NCML) = ( T = 0.00, I = 1.00, F = 0.00 )</w:t>
      </w:r>
    </w:p>
    <w:p>
      <w:pPr>
        <w:spacing w:after="80"/>
        <w:ind w:firstLine="340"/>
        <w:jc w:val="both"/>
      </w:pPr>
      <w:r>
        <w:rPr>
          <w:rFonts w:ascii="Times New Roman" w:hAnsi="Times New Roman" w:cs="Times New Roman"/>
          <w:b w:val="0"/>
          <w:i w:val="0"/>
          <w:sz w:val="20"/>
        </w:rPr>
        <w:t xml:space="preserve">The interpretation is that NCML's productivity distribution </w:t>
      </w:r>
      <w:r>
        <w:rPr>
          <w:rFonts w:ascii="Times New Roman" w:hAnsi="Times New Roman" w:cs="Times New Roman"/>
          <w:b/>
          <w:i w:val="0"/>
          <w:sz w:val="20"/>
        </w:rPr>
        <w:t>matches the classical Lotka exponent perfectly but its shape diverges in every bootstrap replicate</w:t>
      </w:r>
      <w:r>
        <w:rPr>
          <w:rFonts w:ascii="Times New Roman" w:hAnsi="Times New Roman" w:cs="Times New Roman"/>
          <w:b w:val="0"/>
          <w:i w:val="0"/>
          <w:sz w:val="20"/>
        </w:rPr>
        <w:t>. The classical headline "follows Lotka with α = 2.03" is true in the parametric sense and false in the shape sense; the neutrosophic profile resolves the apparent contradiction by reporting both. The cause of the shape divergence is identifiable from the companion paper [10]: an excess of one-shot authors (71.9 % of the population vs. 61.7 % predicted by the classical model). This is characteristic of journals that function as a training venue for graduate students.</w:t>
      </w:r>
    </w:p>
    <w:p>
      <w:pPr>
        <w:spacing w:before="200" w:after="80"/>
      </w:pPr>
      <w:r>
        <w:rPr>
          <w:rFonts w:ascii="Arial" w:hAnsi="Arial" w:cs="Arial"/>
          <w:b/>
          <w:i w:val="0"/>
          <w:sz w:val="22"/>
        </w:rPr>
        <w:t>5.3 Neutrosophic Bradford zone membership</w:t>
      </w:r>
    </w:p>
    <w:p>
      <w:pPr>
        <w:spacing w:after="80"/>
        <w:ind w:firstLine="340"/>
        <w:jc w:val="both"/>
      </w:pPr>
      <w:r>
        <w:rPr>
          <w:rFonts w:ascii="Times New Roman" w:hAnsi="Times New Roman" w:cs="Times New Roman"/>
          <w:b w:val="0"/>
          <w:i w:val="0"/>
          <w:sz w:val="20"/>
        </w:rPr>
        <w:t xml:space="preserve">The classical Bradford partition assigns 5 journals to the nucleus, 74 to the middle zone, and 2 260 to the periphery, with multipliers k = 14.8 between zones 1 and 2 and k = 30.5 between zones 2 and 3. The multipliers far exceed the classical range [3, 5], indicating extreme concentration. The five nucleus journals are </w:t>
      </w:r>
      <w:r>
        <w:rPr>
          <w:rFonts w:ascii="Times New Roman" w:hAnsi="Times New Roman" w:cs="Times New Roman"/>
          <w:b w:val="0"/>
          <w:i/>
          <w:sz w:val="20"/>
        </w:rPr>
        <w:t>Neutrosophic Sets and Systems</w:t>
      </w:r>
      <w:r>
        <w:rPr>
          <w:rFonts w:ascii="Times New Roman" w:hAnsi="Times New Roman" w:cs="Times New Roman"/>
          <w:b w:val="0"/>
          <w:i w:val="0"/>
          <w:sz w:val="20"/>
        </w:rPr>
        <w:t xml:space="preserve"> (1 047 citations), NCML itself (1 000), </w:t>
      </w:r>
      <w:r>
        <w:rPr>
          <w:rFonts w:ascii="Times New Roman" w:hAnsi="Times New Roman" w:cs="Times New Roman"/>
          <w:b w:val="0"/>
          <w:i/>
          <w:sz w:val="20"/>
        </w:rPr>
        <w:t>Universidad y Sociedad</w:t>
      </w:r>
      <w:r>
        <w:rPr>
          <w:rFonts w:ascii="Times New Roman" w:hAnsi="Times New Roman" w:cs="Times New Roman"/>
          <w:b w:val="0"/>
          <w:i w:val="0"/>
          <w:sz w:val="20"/>
        </w:rPr>
        <w:t xml:space="preserve"> (722), </w:t>
      </w:r>
      <w:r>
        <w:rPr>
          <w:rFonts w:ascii="Times New Roman" w:hAnsi="Times New Roman" w:cs="Times New Roman"/>
          <w:b w:val="0"/>
          <w:i/>
          <w:sz w:val="20"/>
        </w:rPr>
        <w:t>Serie Cientifica de la Universidad de las Ciencias Informaticas</w:t>
      </w:r>
      <w:r>
        <w:rPr>
          <w:rFonts w:ascii="Times New Roman" w:hAnsi="Times New Roman" w:cs="Times New Roman"/>
          <w:b w:val="0"/>
          <w:i w:val="0"/>
          <w:sz w:val="20"/>
        </w:rPr>
        <w:t xml:space="preserve"> (608), and </w:t>
      </w:r>
      <w:r>
        <w:rPr>
          <w:rFonts w:ascii="Times New Roman" w:hAnsi="Times New Roman" w:cs="Times New Roman"/>
          <w:b w:val="0"/>
          <w:i/>
          <w:sz w:val="20"/>
        </w:rPr>
        <w:t>Revista Conrado</w:t>
      </w:r>
      <w:r>
        <w:rPr>
          <w:rFonts w:ascii="Times New Roman" w:hAnsi="Times New Roman" w:cs="Times New Roman"/>
          <w:b w:val="0"/>
          <w:i w:val="0"/>
          <w:sz w:val="20"/>
        </w:rPr>
        <w:t xml:space="preserve"> (586).</w:t>
      </w:r>
    </w:p>
    <w:p>
      <w:pPr>
        <w:spacing w:after="80"/>
        <w:ind w:firstLine="340"/>
        <w:jc w:val="both"/>
      </w:pPr>
      <w:r>
        <w:rPr>
          <w:rFonts w:ascii="Times New Roman" w:hAnsi="Times New Roman" w:cs="Times New Roman"/>
          <w:b w:val="0"/>
          <w:i w:val="0"/>
          <w:sz w:val="20"/>
        </w:rPr>
        <w:t>The neutrosophic nucleus membership of the top ten cited journals (Table 1) shows that this crisp partition obscures meaningful gradation:</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Rank</w:t>
            </w:r>
          </w:p>
        </w:tc>
        <w:tc>
          <w:tcPr>
            <w:tcW w:type="dxa" w:w="1881"/>
          </w:tcPr>
          <w:p>
            <w:r/>
            <w:r>
              <w:rPr>
                <w:rFonts w:ascii="Arial" w:hAnsi="Arial" w:cs="Arial"/>
                <w:b/>
                <w:i w:val="0"/>
                <w:sz w:val="18"/>
              </w:rPr>
              <w:t>Journal</w:t>
            </w:r>
          </w:p>
        </w:tc>
        <w:tc>
          <w:tcPr>
            <w:tcW w:type="dxa" w:w="1881"/>
          </w:tcPr>
          <w:p>
            <w:r/>
            <w:r>
              <w:rPr>
                <w:rFonts w:ascii="Arial" w:hAnsi="Arial" w:cs="Arial"/>
                <w:b/>
                <w:i w:val="0"/>
                <w:sz w:val="18"/>
              </w:rPr>
              <w:t>T_nuc</w:t>
            </w:r>
          </w:p>
        </w:tc>
        <w:tc>
          <w:tcPr>
            <w:tcW w:type="dxa" w:w="1881"/>
          </w:tcPr>
          <w:p>
            <w:r/>
            <w:r>
              <w:rPr>
                <w:rFonts w:ascii="Arial" w:hAnsi="Arial" w:cs="Arial"/>
                <w:b/>
                <w:i w:val="0"/>
                <w:sz w:val="18"/>
              </w:rPr>
              <w:t>I_nuc</w:t>
            </w:r>
          </w:p>
        </w:tc>
        <w:tc>
          <w:tcPr>
            <w:tcW w:type="dxa" w:w="1881"/>
          </w:tcPr>
          <w:p>
            <w:r/>
            <w:r>
              <w:rPr>
                <w:rFonts w:ascii="Arial" w:hAnsi="Arial" w:cs="Arial"/>
                <w:b/>
                <w:i w:val="0"/>
                <w:sz w:val="18"/>
              </w:rPr>
              <w:t>F_nuc</w:t>
            </w:r>
          </w:p>
        </w:tc>
      </w:tr>
      <w:tr>
        <w:tc>
          <w:tcPr>
            <w:tcW w:type="dxa" w:w="1881"/>
          </w:tcPr>
          <w:p>
            <w:r/>
            <w:r>
              <w:rPr>
                <w:rFonts w:ascii="Times New Roman" w:hAnsi="Times New Roman" w:cs="Times New Roman"/>
                <w:b w:val="0"/>
                <w:i w:val="0"/>
                <w:sz w:val="18"/>
              </w:rPr>
              <w:t>1</w:t>
            </w:r>
          </w:p>
        </w:tc>
        <w:tc>
          <w:tcPr>
            <w:tcW w:type="dxa" w:w="1881"/>
          </w:tcPr>
          <w:p>
            <w:r/>
            <w:r>
              <w:rPr>
                <w:rFonts w:ascii="Times New Roman" w:hAnsi="Times New Roman" w:cs="Times New Roman"/>
                <w:b w:val="0"/>
                <w:i w:val="0"/>
                <w:sz w:val="18"/>
              </w:rPr>
              <w:t>Neutrosophic Sets and Systems</w:t>
            </w:r>
          </w:p>
        </w:tc>
        <w:tc>
          <w:tcPr>
            <w:tcW w:type="dxa" w:w="1881"/>
          </w:tcPr>
          <w:p>
            <w:r/>
            <w:r>
              <w:rPr>
                <w:rFonts w:ascii="Times New Roman" w:hAnsi="Times New Roman" w:cs="Times New Roman"/>
                <w:b w:val="0"/>
                <w:i w:val="0"/>
                <w:sz w:val="18"/>
              </w:rPr>
              <w:t>0.88</w:t>
            </w:r>
          </w:p>
        </w:tc>
        <w:tc>
          <w:tcPr>
            <w:tcW w:type="dxa" w:w="1881"/>
          </w:tcPr>
          <w:p>
            <w:r/>
            <w:r>
              <w:rPr>
                <w:rFonts w:ascii="Times New Roman" w:hAnsi="Times New Roman" w:cs="Times New Roman"/>
                <w:b w:val="0"/>
                <w:i w:val="0"/>
                <w:sz w:val="18"/>
              </w:rPr>
              <w:t>0.17</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2</w:t>
            </w:r>
          </w:p>
        </w:tc>
        <w:tc>
          <w:tcPr>
            <w:tcW w:type="dxa" w:w="1881"/>
          </w:tcPr>
          <w:p>
            <w:r/>
            <w:r>
              <w:rPr>
                <w:rFonts w:ascii="Times New Roman" w:hAnsi="Times New Roman" w:cs="Times New Roman"/>
                <w:b w:val="0"/>
                <w:i w:val="0"/>
                <w:sz w:val="18"/>
              </w:rPr>
              <w:t>Neutrosophic Computing and Machine Learning</w:t>
            </w:r>
          </w:p>
        </w:tc>
        <w:tc>
          <w:tcPr>
            <w:tcW w:type="dxa" w:w="1881"/>
          </w:tcPr>
          <w:p>
            <w:r/>
            <w:r>
              <w:rPr>
                <w:rFonts w:ascii="Times New Roman" w:hAnsi="Times New Roman" w:cs="Times New Roman"/>
                <w:b w:val="0"/>
                <w:i w:val="0"/>
                <w:sz w:val="18"/>
              </w:rPr>
              <w:t>0.85</w:t>
            </w:r>
          </w:p>
        </w:tc>
        <w:tc>
          <w:tcPr>
            <w:tcW w:type="dxa" w:w="1881"/>
          </w:tcPr>
          <w:p>
            <w:r/>
            <w:r>
              <w:rPr>
                <w:rFonts w:ascii="Times New Roman" w:hAnsi="Times New Roman" w:cs="Times New Roman"/>
                <w:b w:val="0"/>
                <w:i w:val="0"/>
                <w:sz w:val="18"/>
              </w:rPr>
              <w:t>0.20</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Universidad y Sociedad</w:t>
            </w:r>
          </w:p>
        </w:tc>
        <w:tc>
          <w:tcPr>
            <w:tcW w:type="dxa" w:w="1881"/>
          </w:tcPr>
          <w:p>
            <w:r/>
            <w:r>
              <w:rPr>
                <w:rFonts w:ascii="Times New Roman" w:hAnsi="Times New Roman" w:cs="Times New Roman"/>
                <w:b w:val="0"/>
                <w:i w:val="0"/>
                <w:sz w:val="18"/>
              </w:rPr>
              <w:t>0.64</w:t>
            </w:r>
          </w:p>
        </w:tc>
        <w:tc>
          <w:tcPr>
            <w:tcW w:type="dxa" w:w="1881"/>
          </w:tcPr>
          <w:p>
            <w:r/>
            <w:r>
              <w:rPr>
                <w:rFonts w:ascii="Times New Roman" w:hAnsi="Times New Roman" w:cs="Times New Roman"/>
                <w:b w:val="0"/>
                <w:i w:val="0"/>
                <w:sz w:val="18"/>
              </w:rPr>
              <w:t>0.37</w:t>
            </w:r>
          </w:p>
        </w:tc>
        <w:tc>
          <w:tcPr>
            <w:tcW w:type="dxa" w:w="1881"/>
          </w:tcPr>
          <w:p>
            <w:r/>
            <w:r>
              <w:rPr>
                <w:rFonts w:ascii="Times New Roman" w:hAnsi="Times New Roman" w:cs="Times New Roman"/>
                <w:b w:val="0"/>
                <w:i w:val="0"/>
                <w:sz w:val="18"/>
              </w:rPr>
              <w:t>0.00</w:t>
            </w:r>
          </w:p>
        </w:tc>
      </w:tr>
      <w:tr>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Serie Cientifica de la U. de las Ciencias Informaticas</w:t>
            </w:r>
          </w:p>
        </w:tc>
        <w:tc>
          <w:tcPr>
            <w:tcW w:type="dxa" w:w="1881"/>
          </w:tcPr>
          <w:p>
            <w:r/>
            <w:r>
              <w:rPr>
                <w:rFonts w:ascii="Times New Roman" w:hAnsi="Times New Roman" w:cs="Times New Roman"/>
                <w:b w:val="0"/>
                <w:i w:val="0"/>
                <w:sz w:val="18"/>
              </w:rPr>
              <w:t>0.52</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0.08</w:t>
            </w:r>
          </w:p>
        </w:tc>
      </w:tr>
      <w:tr>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Revista Conrado</w:t>
            </w:r>
          </w:p>
        </w:tc>
        <w:tc>
          <w:tcPr>
            <w:tcW w:type="dxa" w:w="1881"/>
          </w:tcPr>
          <w:p>
            <w:r/>
            <w:r>
              <w:rPr>
                <w:rFonts w:ascii="Times New Roman" w:hAnsi="Times New Roman" w:cs="Times New Roman"/>
                <w:b w:val="0"/>
                <w:i w:val="0"/>
                <w:sz w:val="18"/>
              </w:rPr>
              <w:t>0.50</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0.10</w:t>
            </w:r>
          </w:p>
        </w:tc>
      </w:tr>
      <w:tr>
        <w:tc>
          <w:tcPr>
            <w:tcW w:type="dxa" w:w="1881"/>
          </w:tcPr>
          <w:p>
            <w:r/>
            <w:r>
              <w:rPr>
                <w:rFonts w:ascii="Times New Roman" w:hAnsi="Times New Roman" w:cs="Times New Roman"/>
                <w:b w:val="0"/>
                <w:i w:val="0"/>
                <w:sz w:val="18"/>
              </w:rPr>
              <w:t>6</w:t>
            </w:r>
          </w:p>
        </w:tc>
        <w:tc>
          <w:tcPr>
            <w:tcW w:type="dxa" w:w="1881"/>
          </w:tcPr>
          <w:p>
            <w:r/>
            <w:r>
              <w:rPr>
                <w:rFonts w:ascii="Times New Roman" w:hAnsi="Times New Roman" w:cs="Times New Roman"/>
                <w:b w:val="0"/>
                <w:i w:val="0"/>
                <w:sz w:val="18"/>
              </w:rPr>
              <w:t>Conrado (variant)</w:t>
            </w:r>
          </w:p>
        </w:tc>
        <w:tc>
          <w:tcPr>
            <w:tcW w:type="dxa" w:w="1881"/>
          </w:tcPr>
          <w:p>
            <w:r/>
            <w:r>
              <w:rPr>
                <w:rFonts w:ascii="Times New Roman" w:hAnsi="Times New Roman" w:cs="Times New Roman"/>
                <w:b w:val="0"/>
                <w:i w:val="0"/>
                <w:sz w:val="18"/>
              </w:rPr>
              <w:t>0.35</w:t>
            </w:r>
          </w:p>
        </w:tc>
        <w:tc>
          <w:tcPr>
            <w:tcW w:type="dxa" w:w="1881"/>
          </w:tcPr>
          <w:p>
            <w:r/>
            <w:r>
              <w:rPr>
                <w:rFonts w:ascii="Times New Roman" w:hAnsi="Times New Roman" w:cs="Times New Roman"/>
                <w:b w:val="0"/>
                <w:i w:val="0"/>
                <w:sz w:val="18"/>
              </w:rPr>
              <w:t>0.42</w:t>
            </w:r>
          </w:p>
        </w:tc>
        <w:tc>
          <w:tcPr>
            <w:tcW w:type="dxa" w:w="1881"/>
          </w:tcPr>
          <w:p>
            <w:r/>
            <w:r>
              <w:rPr>
                <w:rFonts w:ascii="Times New Roman" w:hAnsi="Times New Roman" w:cs="Times New Roman"/>
                <w:b w:val="0"/>
                <w:i w:val="0"/>
                <w:sz w:val="18"/>
              </w:rPr>
              <w:t>0.23</w:t>
            </w:r>
          </w:p>
        </w:tc>
      </w:tr>
      <w:tr>
        <w:tc>
          <w:tcPr>
            <w:tcW w:type="dxa" w:w="1881"/>
          </w:tcPr>
          <w:p>
            <w:r/>
            <w:r>
              <w:rPr>
                <w:rFonts w:ascii="Times New Roman" w:hAnsi="Times New Roman" w:cs="Times New Roman"/>
                <w:b w:val="0"/>
                <w:i w:val="0"/>
                <w:sz w:val="18"/>
              </w:rPr>
              <w:t>7</w:t>
            </w:r>
          </w:p>
        </w:tc>
        <w:tc>
          <w:tcPr>
            <w:tcW w:type="dxa" w:w="1881"/>
          </w:tcPr>
          <w:p>
            <w:r/>
            <w:r>
              <w:rPr>
                <w:rFonts w:ascii="Times New Roman" w:hAnsi="Times New Roman" w:cs="Times New Roman"/>
                <w:b w:val="0"/>
                <w:i w:val="0"/>
                <w:sz w:val="18"/>
              </w:rPr>
              <w:t>International Journal of Neutrosophic Science</w:t>
            </w:r>
          </w:p>
        </w:tc>
        <w:tc>
          <w:tcPr>
            <w:tcW w:type="dxa" w:w="1881"/>
          </w:tcPr>
          <w:p>
            <w:r/>
            <w:r>
              <w:rPr>
                <w:rFonts w:ascii="Times New Roman" w:hAnsi="Times New Roman" w:cs="Times New Roman"/>
                <w:b w:val="0"/>
                <w:i w:val="0"/>
                <w:sz w:val="18"/>
              </w:rPr>
              <w:t>0.28</w:t>
            </w:r>
          </w:p>
        </w:tc>
        <w:tc>
          <w:tcPr>
            <w:tcW w:type="dxa" w:w="1881"/>
          </w:tcPr>
          <w:p>
            <w:r/>
            <w:r>
              <w:rPr>
                <w:rFonts w:ascii="Times New Roman" w:hAnsi="Times New Roman" w:cs="Times New Roman"/>
                <w:b w:val="0"/>
                <w:i w:val="0"/>
                <w:sz w:val="18"/>
              </w:rPr>
              <w:t>0.41</w:t>
            </w:r>
          </w:p>
        </w:tc>
        <w:tc>
          <w:tcPr>
            <w:tcW w:type="dxa" w:w="1881"/>
          </w:tcPr>
          <w:p>
            <w:r/>
            <w:r>
              <w:rPr>
                <w:rFonts w:ascii="Times New Roman" w:hAnsi="Times New Roman" w:cs="Times New Roman"/>
                <w:b w:val="0"/>
                <w:i w:val="0"/>
                <w:sz w:val="18"/>
              </w:rPr>
              <w:t>0.31</w:t>
            </w:r>
          </w:p>
        </w:tc>
      </w:tr>
      <w:tr>
        <w:tc>
          <w:tcPr>
            <w:tcW w:type="dxa" w:w="1881"/>
          </w:tcPr>
          <w:p>
            <w:r/>
            <w:r>
              <w:rPr>
                <w:rFonts w:ascii="Times New Roman" w:hAnsi="Times New Roman" w:cs="Times New Roman"/>
                <w:b w:val="0"/>
                <w:i w:val="0"/>
                <w:sz w:val="18"/>
              </w:rPr>
              <w:t>8</w:t>
            </w:r>
          </w:p>
        </w:tc>
        <w:tc>
          <w:tcPr>
            <w:tcW w:type="dxa" w:w="1881"/>
          </w:tcPr>
          <w:p>
            <w:r/>
            <w:r>
              <w:rPr>
                <w:rFonts w:ascii="Times New Roman" w:hAnsi="Times New Roman" w:cs="Times New Roman"/>
                <w:b w:val="0"/>
                <w:i w:val="0"/>
                <w:sz w:val="18"/>
              </w:rPr>
              <w:t>Revista de Ciencias Medicas de Pinar del Rio</w:t>
            </w:r>
          </w:p>
        </w:tc>
        <w:tc>
          <w:tcPr>
            <w:tcW w:type="dxa" w:w="1881"/>
          </w:tcPr>
          <w:p>
            <w:r/>
            <w:r>
              <w:rPr>
                <w:rFonts w:ascii="Times New Roman" w:hAnsi="Times New Roman" w:cs="Times New Roman"/>
                <w:b w:val="0"/>
                <w:i w:val="0"/>
                <w:sz w:val="18"/>
              </w:rPr>
              <w:t>0.25</w:t>
            </w:r>
          </w:p>
        </w:tc>
        <w:tc>
          <w:tcPr>
            <w:tcW w:type="dxa" w:w="1881"/>
          </w:tcPr>
          <w:p>
            <w:r/>
            <w:r>
              <w:rPr>
                <w:rFonts w:ascii="Times New Roman" w:hAnsi="Times New Roman" w:cs="Times New Roman"/>
                <w:b w:val="0"/>
                <w:i w:val="0"/>
                <w:sz w:val="18"/>
              </w:rPr>
              <w:t>0.40</w:t>
            </w:r>
          </w:p>
        </w:tc>
        <w:tc>
          <w:tcPr>
            <w:tcW w:type="dxa" w:w="1881"/>
          </w:tcPr>
          <w:p>
            <w:r/>
            <w:r>
              <w:rPr>
                <w:rFonts w:ascii="Times New Roman" w:hAnsi="Times New Roman" w:cs="Times New Roman"/>
                <w:b w:val="0"/>
                <w:i w:val="0"/>
                <w:sz w:val="18"/>
              </w:rPr>
              <w:t>0.35</w:t>
            </w:r>
          </w:p>
        </w:tc>
      </w:tr>
      <w:tr>
        <w:tc>
          <w:tcPr>
            <w:tcW w:type="dxa" w:w="1881"/>
          </w:tcPr>
          <w:p>
            <w:r/>
            <w:r>
              <w:rPr>
                <w:rFonts w:ascii="Times New Roman" w:hAnsi="Times New Roman" w:cs="Times New Roman"/>
                <w:b w:val="0"/>
                <w:i w:val="0"/>
                <w:sz w:val="18"/>
              </w:rPr>
              <w:t>9</w:t>
            </w:r>
          </w:p>
        </w:tc>
        <w:tc>
          <w:tcPr>
            <w:tcW w:type="dxa" w:w="1881"/>
          </w:tcPr>
          <w:p>
            <w:r/>
            <w:r>
              <w:rPr>
                <w:rFonts w:ascii="Times New Roman" w:hAnsi="Times New Roman" w:cs="Times New Roman"/>
                <w:b w:val="0"/>
                <w:i w:val="0"/>
                <w:sz w:val="18"/>
              </w:rPr>
              <w:t>Revista Cubana de Ciencias Informaticas</w:t>
            </w:r>
          </w:p>
        </w:tc>
        <w:tc>
          <w:tcPr>
            <w:tcW w:type="dxa" w:w="1881"/>
          </w:tcPr>
          <w:p>
            <w:r/>
            <w:r>
              <w:rPr>
                <w:rFonts w:ascii="Times New Roman" w:hAnsi="Times New Roman" w:cs="Times New Roman"/>
                <w:b w:val="0"/>
                <w:i w:val="0"/>
                <w:sz w:val="18"/>
              </w:rPr>
              <w:t>0.24</w:t>
            </w:r>
          </w:p>
        </w:tc>
        <w:tc>
          <w:tcPr>
            <w:tcW w:type="dxa" w:w="1881"/>
          </w:tcPr>
          <w:p>
            <w:r/>
            <w:r>
              <w:rPr>
                <w:rFonts w:ascii="Times New Roman" w:hAnsi="Times New Roman" w:cs="Times New Roman"/>
                <w:b w:val="0"/>
                <w:i w:val="0"/>
                <w:sz w:val="18"/>
              </w:rPr>
              <w:t>0.39</w:t>
            </w:r>
          </w:p>
        </w:tc>
        <w:tc>
          <w:tcPr>
            <w:tcW w:type="dxa" w:w="1881"/>
          </w:tcPr>
          <w:p>
            <w:r/>
            <w:r>
              <w:rPr>
                <w:rFonts w:ascii="Times New Roman" w:hAnsi="Times New Roman" w:cs="Times New Roman"/>
                <w:b w:val="0"/>
                <w:i w:val="0"/>
                <w:sz w:val="18"/>
              </w:rPr>
              <w:t>0.37</w:t>
            </w:r>
          </w:p>
        </w:tc>
      </w:tr>
      <w:tr>
        <w:tc>
          <w:tcPr>
            <w:tcW w:type="dxa" w:w="1881"/>
          </w:tcPr>
          <w:p>
            <w:r/>
            <w:r>
              <w:rPr>
                <w:rFonts w:ascii="Times New Roman" w:hAnsi="Times New Roman" w:cs="Times New Roman"/>
                <w:b w:val="0"/>
                <w:i w:val="0"/>
                <w:sz w:val="18"/>
              </w:rPr>
              <w:t>10</w:t>
            </w:r>
          </w:p>
        </w:tc>
        <w:tc>
          <w:tcPr>
            <w:tcW w:type="dxa" w:w="1881"/>
          </w:tcPr>
          <w:p>
            <w:r/>
            <w:r>
              <w:rPr>
                <w:rFonts w:ascii="Times New Roman" w:hAnsi="Times New Roman" w:cs="Times New Roman"/>
                <w:b w:val="0"/>
                <w:i w:val="0"/>
                <w:sz w:val="18"/>
              </w:rPr>
              <w:t>Revista Cubana de Informatica Medica</w:t>
            </w:r>
          </w:p>
        </w:tc>
        <w:tc>
          <w:tcPr>
            <w:tcW w:type="dxa" w:w="1881"/>
          </w:tcPr>
          <w:p>
            <w:r/>
            <w:r>
              <w:rPr>
                <w:rFonts w:ascii="Times New Roman" w:hAnsi="Times New Roman" w:cs="Times New Roman"/>
                <w:b w:val="0"/>
                <w:i w:val="0"/>
                <w:sz w:val="18"/>
              </w:rPr>
              <w:t>0.22</w:t>
            </w:r>
          </w:p>
        </w:tc>
        <w:tc>
          <w:tcPr>
            <w:tcW w:type="dxa" w:w="1881"/>
          </w:tcPr>
          <w:p>
            <w:r/>
            <w:r>
              <w:rPr>
                <w:rFonts w:ascii="Times New Roman" w:hAnsi="Times New Roman" w:cs="Times New Roman"/>
                <w:b w:val="0"/>
                <w:i w:val="0"/>
                <w:sz w:val="18"/>
              </w:rPr>
              <w:t>0.39</w:t>
            </w:r>
          </w:p>
        </w:tc>
        <w:tc>
          <w:tcPr>
            <w:tcW w:type="dxa" w:w="1881"/>
          </w:tcPr>
          <w:p>
            <w:r/>
            <w:r>
              <w:rPr>
                <w:rFonts w:ascii="Times New Roman" w:hAnsi="Times New Roman" w:cs="Times New Roman"/>
                <w:b w:val="0"/>
                <w:i w:val="0"/>
                <w:sz w:val="18"/>
              </w:rPr>
              <w:t>0.39</w:t>
            </w:r>
          </w:p>
        </w:tc>
      </w:tr>
    </w:tbl>
    <w:p/>
    <w:p>
      <w:pPr>
        <w:spacing w:after="80"/>
        <w:ind w:firstLine="340"/>
        <w:jc w:val="both"/>
      </w:pPr>
      <w:r>
        <w:rPr>
          <w:rFonts w:ascii="Times New Roman" w:hAnsi="Times New Roman" w:cs="Times New Roman"/>
          <w:b w:val="0"/>
          <w:i w:val="0"/>
          <w:sz w:val="20"/>
        </w:rPr>
        <w:t xml:space="preserve">Two findings emerge that the classical analysis hides. First, the nucleus is not internally homogeneous: the top two journals (NSS and NCML, both inside the neutrosophic ecosystem) have T ≥ 0.85 — well above the boundary — while ranks 3 to 5 (three Cuban journals) sit at T = 0.50–0.64 with substantial I, indicating they are </w:t>
      </w:r>
      <w:r>
        <w:rPr>
          <w:rFonts w:ascii="Times New Roman" w:hAnsi="Times New Roman" w:cs="Times New Roman"/>
          <w:b w:val="0"/>
          <w:i/>
          <w:sz w:val="20"/>
        </w:rPr>
        <w:t>boundary nucleus journals</w:t>
      </w:r>
      <w:r>
        <w:rPr>
          <w:rFonts w:ascii="Times New Roman" w:hAnsi="Times New Roman" w:cs="Times New Roman"/>
          <w:b w:val="0"/>
          <w:i w:val="0"/>
          <w:sz w:val="20"/>
        </w:rPr>
        <w:t xml:space="preserve"> rather than core members. Second, ranks 6 to 10 have T ≈ I ≈ F ≈ 0.3, meaning they are not unambiguously inside or outside the nucleus. An editorial discussion about the journal's citation ecosystem should therefore distinguish between </w:t>
      </w:r>
      <w:r>
        <w:rPr>
          <w:rFonts w:ascii="Times New Roman" w:hAnsi="Times New Roman" w:cs="Times New Roman"/>
          <w:b w:val="0"/>
          <w:i/>
          <w:sz w:val="20"/>
        </w:rPr>
        <w:t>strong nucleus</w:t>
      </w:r>
      <w:r>
        <w:rPr>
          <w:rFonts w:ascii="Times New Roman" w:hAnsi="Times New Roman" w:cs="Times New Roman"/>
          <w:b w:val="0"/>
          <w:i w:val="0"/>
          <w:sz w:val="20"/>
        </w:rPr>
        <w:t xml:space="preserve"> (T &gt; 0.7), </w:t>
      </w:r>
      <w:r>
        <w:rPr>
          <w:rFonts w:ascii="Times New Roman" w:hAnsi="Times New Roman" w:cs="Times New Roman"/>
          <w:b w:val="0"/>
          <w:i/>
          <w:sz w:val="20"/>
        </w:rPr>
        <w:t>boundary nucleus</w:t>
      </w:r>
      <w:r>
        <w:rPr>
          <w:rFonts w:ascii="Times New Roman" w:hAnsi="Times New Roman" w:cs="Times New Roman"/>
          <w:b w:val="0"/>
          <w:i w:val="0"/>
          <w:sz w:val="20"/>
        </w:rPr>
        <w:t xml:space="preserve"> (0.4 ≤ T ≤ 0.7), and </w:t>
      </w:r>
      <w:r>
        <w:rPr>
          <w:rFonts w:ascii="Times New Roman" w:hAnsi="Times New Roman" w:cs="Times New Roman"/>
          <w:b w:val="0"/>
          <w:i/>
          <w:sz w:val="20"/>
        </w:rPr>
        <w:t>peripheral</w:t>
      </w:r>
      <w:r>
        <w:rPr>
          <w:rFonts w:ascii="Times New Roman" w:hAnsi="Times New Roman" w:cs="Times New Roman"/>
          <w:b w:val="0"/>
          <w:i w:val="0"/>
          <w:sz w:val="20"/>
        </w:rPr>
        <w:t xml:space="preserve"> (T &lt; 0.4) journals — a tripartite distinction that the crisp Bradford zones flatten.</w:t>
      </w:r>
    </w:p>
    <w:p>
      <w:pPr>
        <w:spacing w:before="200" w:after="80"/>
      </w:pPr>
      <w:r>
        <w:rPr>
          <w:rFonts w:ascii="Arial" w:hAnsi="Arial" w:cs="Arial"/>
          <w:b/>
          <w:i w:val="0"/>
          <w:sz w:val="22"/>
        </w:rPr>
        <w:t>5.4 Neutrosophic topic membership</w:t>
      </w:r>
    </w:p>
    <w:p>
      <w:pPr>
        <w:spacing w:after="80"/>
        <w:ind w:firstLine="340"/>
        <w:jc w:val="both"/>
      </w:pPr>
      <w:r>
        <w:rPr>
          <w:rFonts w:ascii="Times New Roman" w:hAnsi="Times New Roman" w:cs="Times New Roman"/>
          <w:b w:val="0"/>
          <w:i w:val="0"/>
          <w:sz w:val="20"/>
        </w:rPr>
        <w:t>The classical topic model identifies 24 topics with silhouette = 0.43 on the 725 documents with usable abstracts. The crisp document–topic assignment is reported as a hard label per document.</w:t>
      </w:r>
    </w:p>
    <w:p>
      <w:pPr>
        <w:spacing w:after="80"/>
        <w:ind w:firstLine="340"/>
        <w:jc w:val="both"/>
      </w:pPr>
      <w:r>
        <w:rPr>
          <w:rFonts w:ascii="Times New Roman" w:hAnsi="Times New Roman" w:cs="Times New Roman"/>
          <w:b w:val="0"/>
          <w:i w:val="0"/>
          <w:sz w:val="20"/>
        </w:rPr>
        <w:t xml:space="preserve">The neutrosophic decomposition of topic membership (Figure 1, panel D) shows that </w:t>
      </w:r>
      <w:r>
        <w:rPr>
          <w:rFonts w:ascii="Times New Roman" w:hAnsi="Times New Roman" w:cs="Times New Roman"/>
          <w:b/>
          <w:i w:val="0"/>
          <w:sz w:val="20"/>
        </w:rPr>
        <w:t>only 39 % of documents have T ≥ 0.7</w:t>
      </w:r>
      <w:r>
        <w:rPr>
          <w:rFonts w:ascii="Times New Roman" w:hAnsi="Times New Roman" w:cs="Times New Roman"/>
          <w:b w:val="0"/>
          <w:i w:val="0"/>
          <w:sz w:val="20"/>
        </w:rPr>
        <w:t xml:space="preserve"> in their assigned topic. The remaining 61 % distribute as follows: 21 % have moderate T (0.4 ≤ T &lt; 0.7) and 40 % have T &lt; 0.4 with substantial I, indicating that they sit on or near a topic boundary. The mean indeterminacy I̅ is 0.13 with standard deviation 0.10; documents with I ≥ 0.3 number 154 (21 %) and represent the topic-boundary cohort.</w:t>
      </w:r>
    </w:p>
    <w:p>
      <w:pPr>
        <w:spacing w:after="80"/>
        <w:ind w:firstLine="340"/>
        <w:jc w:val="both"/>
      </w:pPr>
      <w:r>
        <w:rPr>
          <w:rFonts w:ascii="Times New Roman" w:hAnsi="Times New Roman" w:cs="Times New Roman"/>
          <w:b w:val="0"/>
          <w:i w:val="0"/>
          <w:sz w:val="20"/>
        </w:rPr>
        <w:t>The editorial interpretation is direct: roughly four out of every ten articles published in NCML during the period 2018–2026 do not belong unambiguously to a single topic in the 24-topic model. Topic-based benchmarking that ignores this fact will systematically misattribute articles between topics, especially in the legal-medical interface (topics T0, T9, T17, T20, T22, T23) where the boundaries are substantively fluid (a paper on legal aspects of medical malpractice straddles two topics by construction).</w:t>
      </w:r>
    </w:p>
    <w:p>
      <w:pPr>
        <w:spacing w:before="200" w:after="80"/>
      </w:pPr>
      <w:r>
        <w:rPr>
          <w:rFonts w:ascii="Arial" w:hAnsi="Arial" w:cs="Arial"/>
          <w:b/>
          <w:i w:val="0"/>
          <w:sz w:val="22"/>
        </w:rPr>
        <w:t>5.5 Neutrosophic co-authorship edge weights</w:t>
      </w:r>
    </w:p>
    <w:p>
      <w:pPr>
        <w:spacing w:after="80"/>
        <w:ind w:firstLine="340"/>
        <w:jc w:val="both"/>
      </w:pPr>
      <w:r>
        <w:rPr>
          <w:rFonts w:ascii="Times New Roman" w:hAnsi="Times New Roman" w:cs="Times New Roman"/>
          <w:b w:val="0"/>
          <w:i w:val="0"/>
          <w:sz w:val="20"/>
        </w:rPr>
        <w:t>The classical co-authorship graph has 2 174 edges with a long-tailed weight distribution: 1 963 edges (90.3 %) have weight w = 1 (single shared paper); only 211 edges (9.7 %) have w ≥ 2. Modularity computed on raw weights is 0.96, suggesting a near-perfect community structure.</w:t>
      </w:r>
    </w:p>
    <w:p>
      <w:pPr>
        <w:spacing w:after="80"/>
        <w:ind w:firstLine="340"/>
        <w:jc w:val="both"/>
      </w:pPr>
      <w:r>
        <w:rPr>
          <w:rFonts w:ascii="Times New Roman" w:hAnsi="Times New Roman" w:cs="Times New Roman"/>
          <w:b w:val="0"/>
          <w:i w:val="0"/>
          <w:sz w:val="20"/>
        </w:rPr>
        <w:t>The neutrosophic edge profile reverses the perspective:</w:t>
      </w:r>
    </w:p>
    <w:p>
      <w:pPr>
        <w:pStyle w:val="ListBullet"/>
        <w:spacing w:after="40"/>
      </w:pPr>
      <w:r>
        <w:rPr>
          <w:rFonts w:ascii="Times New Roman" w:hAnsi="Times New Roman" w:cs="Times New Roman"/>
          <w:b w:val="0"/>
          <w:i w:val="0"/>
          <w:sz w:val="20"/>
        </w:rPr>
        <w:t xml:space="preserve">T_collab ≥ 0.5 (verified collaboration): </w:t>
      </w:r>
      <w:r>
        <w:rPr>
          <w:rFonts w:ascii="Times New Roman" w:hAnsi="Times New Roman" w:cs="Times New Roman"/>
          <w:b/>
          <w:i w:val="0"/>
          <w:sz w:val="20"/>
        </w:rPr>
        <w:t>40 edges (1.8 %)</w:t>
      </w:r>
      <w:r>
        <w:rPr>
          <w:rFonts w:ascii="Times New Roman" w:hAnsi="Times New Roman" w:cs="Times New Roman"/>
          <w:b w:val="0"/>
          <w:i w:val="0"/>
          <w:sz w:val="20"/>
        </w:rPr>
        <w:t>.</w:t>
      </w:r>
    </w:p>
    <w:p>
      <w:pPr>
        <w:pStyle w:val="ListBullet"/>
        <w:spacing w:after="40"/>
      </w:pPr>
      <w:r>
        <w:rPr>
          <w:rFonts w:ascii="Times New Roman" w:hAnsi="Times New Roman" w:cs="Times New Roman"/>
          <w:b w:val="0"/>
          <w:i w:val="0"/>
          <w:sz w:val="20"/>
        </w:rPr>
        <w:t>I_collab ≥ 0.5 (single collaboration, opportunistic): 1 963 edges</w:t>
      </w:r>
    </w:p>
    <w:p>
      <w:pPr>
        <w:spacing w:after="80"/>
        <w:ind w:firstLine="340"/>
        <w:jc w:val="both"/>
      </w:pPr>
      <w:r>
        <w:rPr>
          <w:rFonts w:ascii="Times New Roman" w:hAnsi="Times New Roman" w:cs="Times New Roman"/>
          <w:b w:val="0"/>
          <w:i w:val="0"/>
          <w:sz w:val="20"/>
        </w:rPr>
        <w:t>(90.3 %).</w:t>
      </w:r>
    </w:p>
    <w:p>
      <w:pPr>
        <w:pStyle w:val="ListBullet"/>
        <w:spacing w:after="40"/>
      </w:pPr>
      <w:r>
        <w:rPr>
          <w:rFonts w:ascii="Times New Roman" w:hAnsi="Times New Roman" w:cs="Times New Roman"/>
          <w:b w:val="0"/>
          <w:i w:val="0"/>
          <w:sz w:val="20"/>
        </w:rPr>
        <w:t>The remaining edges (171, 7.9 %) have intermediate T-I balance.</w:t>
      </w:r>
    </w:p>
    <w:p>
      <w:pPr>
        <w:spacing w:after="80"/>
        <w:ind w:firstLine="340"/>
        <w:jc w:val="both"/>
      </w:pPr>
      <w:r>
        <w:rPr>
          <w:rFonts w:ascii="Times New Roman" w:hAnsi="Times New Roman" w:cs="Times New Roman"/>
          <w:b w:val="0"/>
          <w:i w:val="0"/>
          <w:sz w:val="20"/>
        </w:rPr>
        <w:t xml:space="preserve">A network of </w:t>
      </w:r>
      <w:r>
        <w:rPr>
          <w:rFonts w:ascii="Times New Roman" w:hAnsi="Times New Roman" w:cs="Times New Roman"/>
          <w:b w:val="0"/>
          <w:i/>
          <w:sz w:val="20"/>
        </w:rPr>
        <w:t>verified</w:t>
      </w:r>
      <w:r>
        <w:rPr>
          <w:rFonts w:ascii="Times New Roman" w:hAnsi="Times New Roman" w:cs="Times New Roman"/>
          <w:b w:val="0"/>
          <w:i w:val="0"/>
          <w:sz w:val="20"/>
        </w:rPr>
        <w:t xml:space="preserve"> collaborations (T_collab ≥ 0.5) drops the graph from 1 363 nodes and 2 174 edges to a much smaller subgraph of 35 nodes and 40 edges, dominated by the 4–5 most prolific Ecuadorian research groups (UNIANDES Riobamba, UBE, UNIANDES Ambato) and the international group of Smarandache, Leyva, Fujita and a few co-authors.</w:t>
      </w:r>
    </w:p>
    <w:p>
      <w:pPr>
        <w:spacing w:after="80"/>
        <w:ind w:firstLine="340"/>
        <w:jc w:val="both"/>
      </w:pPr>
      <w:r>
        <w:rPr>
          <w:rFonts w:ascii="Times New Roman" w:hAnsi="Times New Roman" w:cs="Times New Roman"/>
          <w:b w:val="0"/>
          <w:i w:val="0"/>
          <w:sz w:val="20"/>
        </w:rPr>
        <w:t xml:space="preserve">The classical modularity 0.96 is reduced to 0.81 on the verified network — still high, but substantially less spectacular. This is honest: the journal's intellectual integration is measurable on a much smaller core than the classical graph suggests, and the bulk of the graph reflects the </w:t>
      </w:r>
      <w:r>
        <w:rPr>
          <w:rFonts w:ascii="Times New Roman" w:hAnsi="Times New Roman" w:cs="Times New Roman"/>
          <w:b w:val="0"/>
          <w:i/>
          <w:sz w:val="20"/>
        </w:rPr>
        <w:t>publication marketplace</w:t>
      </w:r>
      <w:r>
        <w:rPr>
          <w:rFonts w:ascii="Times New Roman" w:hAnsi="Times New Roman" w:cs="Times New Roman"/>
          <w:b w:val="0"/>
          <w:i w:val="0"/>
          <w:sz w:val="20"/>
        </w:rPr>
        <w:t xml:space="preserve"> rather than a coherent community of practice.</w:t>
      </w:r>
    </w:p>
    <w:p>
      <w:pPr>
        <w:spacing w:before="200" w:after="80"/>
      </w:pPr>
      <w:r>
        <w:rPr>
          <w:rFonts w:ascii="Arial" w:hAnsi="Arial" w:cs="Arial"/>
          <w:b/>
          <w:i w:val="0"/>
          <w:sz w:val="22"/>
        </w:rPr>
        <w:t>5.6 Neutrosophic aggregated ranking of authors (operative test)</w:t>
      </w:r>
    </w:p>
    <w:p>
      <w:pPr>
        <w:spacing w:after="80"/>
        <w:ind w:firstLine="340"/>
        <w:jc w:val="both"/>
      </w:pPr>
      <w:r>
        <w:rPr>
          <w:rFonts w:ascii="Times New Roman" w:hAnsi="Times New Roman" w:cs="Times New Roman"/>
          <w:b w:val="0"/>
          <w:i w:val="0"/>
          <w:sz w:val="20"/>
        </w:rPr>
        <w:t xml:space="preserve">The five preceding subsections re-expressed classical indicators as neutrosophic triples and showed that the indeterminacy components carry non-trivial information. A stronger operative test of the framework is whether the (T, I, F) triples, once aggregated across multiple dimensions, </w:t>
      </w:r>
      <w:r>
        <w:rPr>
          <w:rFonts w:ascii="Times New Roman" w:hAnsi="Times New Roman" w:cs="Times New Roman"/>
          <w:b/>
          <w:i w:val="0"/>
          <w:sz w:val="20"/>
        </w:rPr>
        <w:t>yield a ranking that differs from the classical ranking and that the differences are interpretable and editorially actionable</w:t>
      </w:r>
      <w:r>
        <w:rPr>
          <w:rFonts w:ascii="Times New Roman" w:hAnsi="Times New Roman" w:cs="Times New Roman"/>
          <w:b w:val="0"/>
          <w:i w:val="0"/>
          <w:sz w:val="20"/>
        </w:rPr>
        <w:t>. This subsection reports such a test.</w:t>
      </w:r>
    </w:p>
    <w:p>
      <w:pPr>
        <w:spacing w:before="200" w:after="80"/>
      </w:pPr>
      <w:r>
        <w:rPr>
          <w:rFonts w:ascii="Arial" w:hAnsi="Arial" w:cs="Arial"/>
          <w:b/>
          <w:i w:val="0"/>
          <w:sz w:val="22"/>
        </w:rPr>
        <w:t>5.6.1 Design</w:t>
      </w:r>
    </w:p>
    <w:p>
      <w:pPr>
        <w:spacing w:after="80"/>
        <w:ind w:firstLine="340"/>
        <w:jc w:val="both"/>
      </w:pPr>
      <w:r>
        <w:rPr>
          <w:rFonts w:ascii="Times New Roman" w:hAnsi="Times New Roman" w:cs="Times New Roman"/>
          <w:b w:val="0"/>
          <w:i w:val="0"/>
          <w:sz w:val="20"/>
        </w:rPr>
        <w:t>We rank the 146 authors with ≥ 3 articles along four neutrosophic dimensions:</w:t>
      </w:r>
    </w:p>
    <w:p>
      <w:pPr>
        <w:pStyle w:val="ListBullet"/>
        <w:spacing w:after="40"/>
      </w:pPr>
      <w:r>
        <w:rPr>
          <w:rFonts w:ascii="Times New Roman" w:hAnsi="Times New Roman" w:cs="Times New Roman"/>
          <w:b/>
          <w:i w:val="0"/>
          <w:sz w:val="20"/>
        </w:rPr>
        <w:t>D1. N-productivity.</w:t>
      </w:r>
      <w:r>
        <w:rPr>
          <w:rFonts w:ascii="Times New Roman" w:hAnsi="Times New Roman" w:cs="Times New Roman"/>
          <w:b w:val="0"/>
          <w:i w:val="0"/>
          <w:sz w:val="20"/>
        </w:rPr>
        <w:t xml:space="preserve"> T = sigmoid of article count centred at 8</w:t>
      </w:r>
    </w:p>
    <w:p>
      <w:pPr>
        <w:spacing w:after="80"/>
        <w:ind w:firstLine="340"/>
        <w:jc w:val="both"/>
      </w:pPr>
      <w:r>
        <w:rPr>
          <w:rFonts w:ascii="Times New Roman" w:hAnsi="Times New Roman" w:cs="Times New Roman"/>
          <w:b w:val="0"/>
          <w:i w:val="0"/>
          <w:sz w:val="20"/>
        </w:rPr>
        <w:t>articles, I = bell centred at the mid-range (authors with 3–6 articles), F = residual.</w:t>
      </w:r>
    </w:p>
    <w:p>
      <w:pPr>
        <w:pStyle w:val="ListBullet"/>
        <w:spacing w:after="40"/>
      </w:pPr>
      <w:r>
        <w:rPr>
          <w:rFonts w:ascii="Times New Roman" w:hAnsi="Times New Roman" w:cs="Times New Roman"/>
          <w:b/>
          <w:i w:val="0"/>
          <w:sz w:val="20"/>
        </w:rPr>
        <w:t>D2. N-citational evidence.</w:t>
      </w:r>
      <w:r>
        <w:rPr>
          <w:rFonts w:ascii="Times New Roman" w:hAnsi="Times New Roman" w:cs="Times New Roman"/>
          <w:b w:val="0"/>
          <w:i w:val="0"/>
          <w:sz w:val="20"/>
        </w:rPr>
        <w:t xml:space="preserve"> Per-article source-triangulation</w:t>
      </w:r>
    </w:p>
    <w:p>
      <w:pPr>
        <w:spacing w:after="80"/>
        <w:ind w:firstLine="340"/>
        <w:jc w:val="both"/>
      </w:pPr>
      <w:r>
        <w:rPr>
          <w:rFonts w:ascii="Times New Roman" w:hAnsi="Times New Roman" w:cs="Times New Roman"/>
          <w:b w:val="0"/>
          <w:i w:val="0"/>
          <w:sz w:val="20"/>
        </w:rPr>
        <w:t>class (T = cited in both OpenAlex and Scholar, I = cited in one only, F = no citation evidence), averaged across the author's publications. For publications outside the Scholar sample, we substitute an OpenAlex-only approximation with inflated I.</w:t>
      </w:r>
    </w:p>
    <w:p>
      <w:pPr>
        <w:pStyle w:val="ListBullet"/>
        <w:spacing w:after="40"/>
      </w:pPr>
      <w:r>
        <w:rPr>
          <w:rFonts w:ascii="Times New Roman" w:hAnsi="Times New Roman" w:cs="Times New Roman"/>
          <w:b/>
          <w:i w:val="0"/>
          <w:sz w:val="20"/>
        </w:rPr>
        <w:t>D3. N-co-authorship centrality.</w:t>
      </w:r>
      <w:r>
        <w:rPr>
          <w:rFonts w:ascii="Times New Roman" w:hAnsi="Times New Roman" w:cs="Times New Roman"/>
          <w:b w:val="0"/>
          <w:i w:val="0"/>
          <w:sz w:val="20"/>
        </w:rPr>
        <w:t xml:space="preserve"> Mean T_collab, I_collab, F_collab</w:t>
      </w:r>
    </w:p>
    <w:p>
      <w:pPr>
        <w:spacing w:after="80"/>
        <w:ind w:firstLine="340"/>
        <w:jc w:val="both"/>
      </w:pPr>
      <w:r>
        <w:rPr>
          <w:rFonts w:ascii="Times New Roman" w:hAnsi="Times New Roman" w:cs="Times New Roman"/>
          <w:b w:val="0"/>
          <w:i w:val="0"/>
          <w:sz w:val="20"/>
        </w:rPr>
        <w:t>over the edges touching the author (values from Section 3.5).</w:t>
      </w:r>
    </w:p>
    <w:p>
      <w:pPr>
        <w:pStyle w:val="ListBullet"/>
        <w:spacing w:after="40"/>
      </w:pPr>
      <w:r>
        <w:rPr>
          <w:rFonts w:ascii="Times New Roman" w:hAnsi="Times New Roman" w:cs="Times New Roman"/>
          <w:b/>
          <w:i w:val="0"/>
          <w:sz w:val="20"/>
        </w:rPr>
        <w:t>D4. N-theoretical focus.</w:t>
      </w:r>
      <w:r>
        <w:rPr>
          <w:rFonts w:ascii="Times New Roman" w:hAnsi="Times New Roman" w:cs="Times New Roman"/>
          <w:b w:val="0"/>
          <w:i w:val="0"/>
          <w:sz w:val="20"/>
        </w:rPr>
        <w:t xml:space="preserve"> Share of the author's articles</w:t>
      </w:r>
    </w:p>
    <w:p>
      <w:pPr>
        <w:spacing w:after="80"/>
        <w:ind w:firstLine="340"/>
        <w:jc w:val="both"/>
      </w:pPr>
      <w:r>
        <w:rPr>
          <w:rFonts w:ascii="Times New Roman" w:hAnsi="Times New Roman" w:cs="Times New Roman"/>
          <w:b w:val="0"/>
          <w:i w:val="0"/>
          <w:sz w:val="20"/>
        </w:rPr>
        <w:t>assigned to theory-heavy topics (T7, T16, T2) for T, legal and medical applied topics for F, other topics for I.</w:t>
      </w:r>
    </w:p>
    <w:p>
      <w:pPr>
        <w:spacing w:after="80"/>
        <w:ind w:firstLine="340"/>
        <w:jc w:val="both"/>
      </w:pPr>
      <w:r>
        <w:rPr>
          <w:rFonts w:ascii="Times New Roman" w:hAnsi="Times New Roman" w:cs="Times New Roman"/>
          <w:b w:val="0"/>
          <w:i w:val="0"/>
          <w:sz w:val="20"/>
        </w:rPr>
        <w:t>Aggregation uses the Single-Valued Neutrosophic Weighted Arithmetic operator SVNWA of Ye [11]:</w:t>
      </w:r>
    </w:p>
    <w:p>
      <w:pPr>
        <w:spacing w:after="80"/>
        <w:ind w:firstLine="340"/>
        <w:jc w:val="both"/>
      </w:pPr>
      <w:r>
        <w:rPr>
          <w:rFonts w:ascii="Times New Roman" w:hAnsi="Times New Roman" w:cs="Times New Roman"/>
          <w:b w:val="0"/>
          <w:i w:val="0"/>
          <w:sz w:val="20"/>
        </w:rPr>
        <w:t>SVNWA( (T_j, I_j, F_j); w_j ) = ( 1 − ∏_j (1 − T_j)^{w_j}, ∏_j I_j^{w_j}, ∏_j F_j^{w_j} )   (16)</w:t>
      </w:r>
    </w:p>
    <w:p>
      <w:pPr>
        <w:spacing w:after="80"/>
        <w:ind w:firstLine="340"/>
        <w:jc w:val="both"/>
      </w:pPr>
      <w:r>
        <w:rPr>
          <w:rFonts w:ascii="Times New Roman" w:hAnsi="Times New Roman" w:cs="Times New Roman"/>
          <w:b w:val="0"/>
          <w:i w:val="0"/>
          <w:sz w:val="20"/>
        </w:rPr>
        <w:t>with equal weights w_j = 0.25 across the four dimensions. Authors are ranked by the score function of Smarandache:</w:t>
      </w:r>
    </w:p>
    <w:p>
      <w:pPr>
        <w:spacing w:after="80"/>
        <w:ind w:firstLine="340"/>
        <w:jc w:val="both"/>
      </w:pPr>
      <w:r>
        <w:rPr>
          <w:rFonts w:ascii="Times New Roman" w:hAnsi="Times New Roman" w:cs="Times New Roman"/>
          <w:b w:val="0"/>
          <w:i w:val="0"/>
          <w:sz w:val="20"/>
        </w:rPr>
        <w:t>S(T, I, F) = (2 + T − I − F) / 3                                (17)</w:t>
      </w:r>
    </w:p>
    <w:p>
      <w:pPr>
        <w:spacing w:after="80"/>
        <w:ind w:firstLine="340"/>
        <w:jc w:val="both"/>
      </w:pPr>
      <w:r>
        <w:rPr>
          <w:rFonts w:ascii="Times New Roman" w:hAnsi="Times New Roman" w:cs="Times New Roman"/>
          <w:b w:val="0"/>
          <w:i w:val="0"/>
          <w:sz w:val="20"/>
        </w:rPr>
        <w:t>which maps the triple to the interval [0, 1]. The classical baseline is the rank by raw article count.</w:t>
      </w:r>
    </w:p>
    <w:p>
      <w:pPr>
        <w:spacing w:before="200" w:after="80"/>
      </w:pPr>
      <w:r>
        <w:rPr>
          <w:rFonts w:ascii="Arial" w:hAnsi="Arial" w:cs="Arial"/>
          <w:b/>
          <w:i w:val="0"/>
          <w:sz w:val="22"/>
        </w:rPr>
        <w:t>5.6.2 Results</w:t>
      </w:r>
    </w:p>
    <w:p>
      <w:pPr>
        <w:spacing w:after="80"/>
        <w:ind w:firstLine="340"/>
        <w:jc w:val="both"/>
      </w:pPr>
      <w:r>
        <w:rPr>
          <w:rFonts w:ascii="Times New Roman" w:hAnsi="Times New Roman" w:cs="Times New Roman"/>
          <w:b w:val="0"/>
          <w:i w:val="0"/>
          <w:sz w:val="20"/>
        </w:rPr>
        <w:t>The two rankings differ substantially:</w:t>
      </w:r>
    </w:p>
    <w:p>
      <w:pPr>
        <w:pStyle w:val="ListBullet"/>
        <w:spacing w:after="40"/>
      </w:pPr>
      <w:r>
        <w:rPr>
          <w:rFonts w:ascii="Times New Roman" w:hAnsi="Times New Roman" w:cs="Times New Roman"/>
          <w:b/>
          <w:i w:val="0"/>
          <w:sz w:val="20"/>
        </w:rPr>
        <w:t>Kendall τ = 0.20</w:t>
      </w:r>
      <w:r>
        <w:rPr>
          <w:rFonts w:ascii="Times New Roman" w:hAnsi="Times New Roman" w:cs="Times New Roman"/>
          <w:b w:val="0"/>
          <w:i w:val="0"/>
          <w:sz w:val="20"/>
        </w:rPr>
        <w:t xml:space="preserve"> (p = 0.001) — weak positive correlation.</w:t>
      </w:r>
    </w:p>
    <w:p>
      <w:pPr>
        <w:pStyle w:val="ListBullet"/>
        <w:spacing w:after="40"/>
      </w:pPr>
      <w:r>
        <w:rPr>
          <w:rFonts w:ascii="Times New Roman" w:hAnsi="Times New Roman" w:cs="Times New Roman"/>
          <w:b/>
          <w:i w:val="0"/>
          <w:sz w:val="20"/>
        </w:rPr>
        <w:t>Spearman ρ = 0.25</w:t>
      </w:r>
      <w:r>
        <w:rPr>
          <w:rFonts w:ascii="Times New Roman" w:hAnsi="Times New Roman" w:cs="Times New Roman"/>
          <w:b w:val="0"/>
          <w:i w:val="0"/>
          <w:sz w:val="20"/>
        </w:rPr>
        <w:t xml:space="preserve"> (p = 0.003) — same direction, still weak.</w:t>
      </w:r>
    </w:p>
    <w:p>
      <w:pPr>
        <w:pStyle w:val="ListBullet"/>
        <w:spacing w:after="40"/>
      </w:pPr>
      <w:r>
        <w:rPr>
          <w:rFonts w:ascii="Times New Roman" w:hAnsi="Times New Roman" w:cs="Times New Roman"/>
          <w:b/>
          <w:i w:val="0"/>
          <w:sz w:val="20"/>
        </w:rPr>
        <w:t>Top-10 overlap = 5/10</w:t>
      </w:r>
      <w:r>
        <w:rPr>
          <w:rFonts w:ascii="Times New Roman" w:hAnsi="Times New Roman" w:cs="Times New Roman"/>
          <w:b w:val="0"/>
          <w:i w:val="0"/>
          <w:sz w:val="20"/>
        </w:rPr>
        <w:t xml:space="preserve"> (Jaccard = 0.33) — half of the classical</w:t>
      </w:r>
    </w:p>
    <w:p>
      <w:pPr>
        <w:spacing w:after="80"/>
        <w:ind w:firstLine="340"/>
        <w:jc w:val="both"/>
      </w:pPr>
      <w:r>
        <w:rPr>
          <w:rFonts w:ascii="Times New Roman" w:hAnsi="Times New Roman" w:cs="Times New Roman"/>
          <w:b w:val="0"/>
          <w:i w:val="0"/>
          <w:sz w:val="20"/>
        </w:rPr>
        <w:t xml:space="preserve">top-10 does </w:t>
      </w:r>
      <w:r>
        <w:rPr>
          <w:rFonts w:ascii="Times New Roman" w:hAnsi="Times New Roman" w:cs="Times New Roman"/>
          <w:b w:val="0"/>
          <w:i/>
          <w:sz w:val="20"/>
        </w:rPr>
        <w:t>not</w:t>
      </w:r>
      <w:r>
        <w:rPr>
          <w:rFonts w:ascii="Times New Roman" w:hAnsi="Times New Roman" w:cs="Times New Roman"/>
          <w:b w:val="0"/>
          <w:i w:val="0"/>
          <w:sz w:val="20"/>
        </w:rPr>
        <w:t xml:space="preserve"> appear in the neutrosophic top-10.</w:t>
      </w:r>
    </w:p>
    <w:p>
      <w:pPr>
        <w:spacing w:after="80"/>
        <w:ind w:firstLine="340"/>
        <w:jc w:val="both"/>
      </w:pPr>
      <w:r>
        <w:rPr>
          <w:rFonts w:ascii="Times New Roman" w:hAnsi="Times New Roman" w:cs="Times New Roman"/>
          <w:b w:val="0"/>
          <w:i w:val="0"/>
          <w:sz w:val="20"/>
        </w:rPr>
        <w:t xml:space="preserve">The authors whose neutrosophic rank is substantially </w:t>
      </w:r>
      <w:r>
        <w:rPr>
          <w:rFonts w:ascii="Times New Roman" w:hAnsi="Times New Roman" w:cs="Times New Roman"/>
          <w:b w:val="0"/>
          <w:i/>
          <w:sz w:val="20"/>
        </w:rPr>
        <w:t>higher</w:t>
      </w:r>
      <w:r>
        <w:rPr>
          <w:rFonts w:ascii="Times New Roman" w:hAnsi="Times New Roman" w:cs="Times New Roman"/>
          <w:b w:val="0"/>
          <w:i w:val="0"/>
          <w:sz w:val="20"/>
        </w:rPr>
        <w:t xml:space="preserve"> than their classical rank share a common profile: small article count (3–4 publications) but a high share of theoretically-focused papers (T7, T2, T16) and well-cited by at least one source. Conversely, the authors whose neutrosophic rank is substantially </w:t>
      </w:r>
      <w:r>
        <w:rPr>
          <w:rFonts w:ascii="Times New Roman" w:hAnsi="Times New Roman" w:cs="Times New Roman"/>
          <w:b w:val="0"/>
          <w:i/>
          <w:sz w:val="20"/>
        </w:rPr>
        <w:t>lower</w:t>
      </w:r>
      <w:r>
        <w:rPr>
          <w:rFonts w:ascii="Times New Roman" w:hAnsi="Times New Roman" w:cs="Times New Roman"/>
          <w:b w:val="0"/>
          <w:i w:val="0"/>
          <w:sz w:val="20"/>
        </w:rPr>
        <w:t xml:space="preserve"> than their classical rank show a different profile: 4–6 publications predominantly in legal-medical applied topics with low co-authorship centrality (they publish within a single closed research group) and no citation evidence in either OpenAlex or Scholar.</w:t>
      </w:r>
    </w:p>
    <w:p>
      <w:pPr>
        <w:spacing w:after="80"/>
        <w:ind w:firstLine="340"/>
        <w:jc w:val="both"/>
      </w:pPr>
      <w:r>
        <w:rPr>
          <w:rFonts w:ascii="Times New Roman" w:hAnsi="Times New Roman" w:cs="Times New Roman"/>
          <w:b w:val="0"/>
          <w:i w:val="0"/>
          <w:sz w:val="20"/>
        </w:rPr>
        <w:t>Table 2 shows the five largest rises and falls.</w:t>
      </w:r>
    </w:p>
    <w:tbl>
      <w:tblPr>
        <w:tblStyle w:val="Light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Arial" w:hAnsi="Arial" w:cs="Arial"/>
                <w:b/>
                <w:i w:val="0"/>
                <w:sz w:val="18"/>
              </w:rPr>
              <w:t>Change</w:t>
            </w:r>
          </w:p>
        </w:tc>
        <w:tc>
          <w:tcPr>
            <w:tcW w:type="dxa" w:w="1881"/>
          </w:tcPr>
          <w:p>
            <w:r/>
            <w:r>
              <w:rPr>
                <w:rFonts w:ascii="Arial" w:hAnsi="Arial" w:cs="Arial"/>
                <w:b/>
                <w:i w:val="0"/>
                <w:sz w:val="18"/>
              </w:rPr>
              <w:t>Author</w:t>
            </w:r>
          </w:p>
        </w:tc>
        <w:tc>
          <w:tcPr>
            <w:tcW w:type="dxa" w:w="1881"/>
          </w:tcPr>
          <w:p>
            <w:r/>
            <w:r>
              <w:rPr>
                <w:rFonts w:ascii="Arial" w:hAnsi="Arial" w:cs="Arial"/>
                <w:b/>
                <w:i w:val="0"/>
                <w:sz w:val="18"/>
              </w:rPr>
              <w:t>Articles</w:t>
            </w:r>
          </w:p>
        </w:tc>
        <w:tc>
          <w:tcPr>
            <w:tcW w:type="dxa" w:w="1881"/>
          </w:tcPr>
          <w:p>
            <w:r/>
            <w:r>
              <w:rPr>
                <w:rFonts w:ascii="Arial" w:hAnsi="Arial" w:cs="Arial"/>
                <w:b/>
                <w:i w:val="0"/>
                <w:sz w:val="18"/>
              </w:rPr>
              <w:t>Rank (classical)</w:t>
            </w:r>
          </w:p>
        </w:tc>
        <w:tc>
          <w:tcPr>
            <w:tcW w:type="dxa" w:w="1881"/>
          </w:tcPr>
          <w:p>
            <w:r/>
            <w:r>
              <w:rPr>
                <w:rFonts w:ascii="Arial" w:hAnsi="Arial" w:cs="Arial"/>
                <w:b/>
                <w:i w:val="0"/>
                <w:sz w:val="18"/>
              </w:rPr>
              <w:t>Rank (neutrosophic)</w:t>
            </w:r>
          </w:p>
        </w:tc>
      </w:tr>
      <w:tr>
        <w:tc>
          <w:tcPr>
            <w:tcW w:type="dxa" w:w="1881"/>
          </w:tcPr>
          <w:p>
            <w:r/>
            <w:r>
              <w:rPr>
                <w:rFonts w:ascii="Times New Roman" w:hAnsi="Times New Roman" w:cs="Times New Roman"/>
                <w:b w:val="0"/>
                <w:i w:val="0"/>
                <w:sz w:val="18"/>
              </w:rPr>
              <w:t>↑ +81</w:t>
            </w:r>
          </w:p>
        </w:tc>
        <w:tc>
          <w:tcPr>
            <w:tcW w:type="dxa" w:w="1881"/>
          </w:tcPr>
          <w:p>
            <w:r/>
            <w:r>
              <w:rPr>
                <w:rFonts w:ascii="Times New Roman" w:hAnsi="Times New Roman" w:cs="Times New Roman"/>
                <w:b w:val="0"/>
                <w:i w:val="0"/>
                <w:sz w:val="18"/>
              </w:rPr>
              <w:t>Lozada Torres, Edwin Fabricio</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6</w:t>
            </w:r>
          </w:p>
        </w:tc>
      </w:tr>
      <w:tr>
        <w:tc>
          <w:tcPr>
            <w:tcW w:type="dxa" w:w="1881"/>
          </w:tcPr>
          <w:p>
            <w:r/>
            <w:r>
              <w:rPr>
                <w:rFonts w:ascii="Times New Roman" w:hAnsi="Times New Roman" w:cs="Times New Roman"/>
                <w:b w:val="0"/>
                <w:i w:val="0"/>
                <w:sz w:val="18"/>
              </w:rPr>
              <w:t>↑ +78</w:t>
            </w:r>
          </w:p>
        </w:tc>
        <w:tc>
          <w:tcPr>
            <w:tcW w:type="dxa" w:w="1881"/>
          </w:tcPr>
          <w:p>
            <w:r/>
            <w:r>
              <w:rPr>
                <w:rFonts w:ascii="Times New Roman" w:hAnsi="Times New Roman" w:cs="Times New Roman"/>
                <w:b w:val="0"/>
                <w:i w:val="0"/>
                <w:sz w:val="18"/>
              </w:rPr>
              <w:t>Parrales-Bravo, Franklin</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9</w:t>
            </w:r>
          </w:p>
        </w:tc>
      </w:tr>
      <w:tr>
        <w:tc>
          <w:tcPr>
            <w:tcW w:type="dxa" w:w="1881"/>
          </w:tcPr>
          <w:p>
            <w:r/>
            <w:r>
              <w:rPr>
                <w:rFonts w:ascii="Times New Roman" w:hAnsi="Times New Roman" w:cs="Times New Roman"/>
                <w:b w:val="0"/>
                <w:i w:val="0"/>
                <w:sz w:val="18"/>
              </w:rPr>
              <w:t>↑ +75</w:t>
            </w:r>
          </w:p>
        </w:tc>
        <w:tc>
          <w:tcPr>
            <w:tcW w:type="dxa" w:w="1881"/>
          </w:tcPr>
          <w:p>
            <w:r/>
            <w:r>
              <w:rPr>
                <w:rFonts w:ascii="Times New Roman" w:hAnsi="Times New Roman" w:cs="Times New Roman"/>
                <w:b w:val="0"/>
                <w:i w:val="0"/>
                <w:sz w:val="18"/>
              </w:rPr>
              <w:t>Villalba León, Carlos Luis</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17</w:t>
            </w:r>
          </w:p>
        </w:tc>
      </w:tr>
      <w:tr>
        <w:tc>
          <w:tcPr>
            <w:tcW w:type="dxa" w:w="1881"/>
          </w:tcPr>
          <w:p>
            <w:r/>
            <w:r>
              <w:rPr>
                <w:rFonts w:ascii="Times New Roman" w:hAnsi="Times New Roman" w:cs="Times New Roman"/>
                <w:b w:val="0"/>
                <w:i w:val="0"/>
                <w:sz w:val="18"/>
              </w:rPr>
              <w:t>↑ +67</w:t>
            </w:r>
          </w:p>
        </w:tc>
        <w:tc>
          <w:tcPr>
            <w:tcW w:type="dxa" w:w="1881"/>
          </w:tcPr>
          <w:p>
            <w:r/>
            <w:r>
              <w:rPr>
                <w:rFonts w:ascii="Times New Roman" w:hAnsi="Times New Roman" w:cs="Times New Roman"/>
                <w:b w:val="0"/>
                <w:i w:val="0"/>
                <w:sz w:val="18"/>
              </w:rPr>
              <w:t>Alvarado, Yelena Abreu</w:t>
            </w:r>
          </w:p>
        </w:tc>
        <w:tc>
          <w:tcPr>
            <w:tcW w:type="dxa" w:w="1881"/>
          </w:tcPr>
          <w:p>
            <w:r/>
            <w:r>
              <w:rPr>
                <w:rFonts w:ascii="Times New Roman" w:hAnsi="Times New Roman" w:cs="Times New Roman"/>
                <w:b w:val="0"/>
                <w:i w:val="0"/>
                <w:sz w:val="18"/>
              </w:rPr>
              <w:t>3</w:t>
            </w:r>
          </w:p>
        </w:tc>
        <w:tc>
          <w:tcPr>
            <w:tcW w:type="dxa" w:w="1881"/>
          </w:tcPr>
          <w:p>
            <w:r/>
            <w:r>
              <w:rPr>
                <w:rFonts w:ascii="Times New Roman" w:hAnsi="Times New Roman" w:cs="Times New Roman"/>
                <w:b w:val="0"/>
                <w:i w:val="0"/>
                <w:sz w:val="18"/>
              </w:rPr>
              <w:t>87</w:t>
            </w:r>
          </w:p>
        </w:tc>
        <w:tc>
          <w:tcPr>
            <w:tcW w:type="dxa" w:w="1881"/>
          </w:tcPr>
          <w:p>
            <w:r/>
            <w:r>
              <w:rPr>
                <w:rFonts w:ascii="Times New Roman" w:hAnsi="Times New Roman" w:cs="Times New Roman"/>
                <w:b w:val="0"/>
                <w:i w:val="0"/>
                <w:sz w:val="18"/>
              </w:rPr>
              <w:t>20</w:t>
            </w:r>
          </w:p>
        </w:tc>
      </w:tr>
      <w:tr>
        <w:tc>
          <w:tcPr>
            <w:tcW w:type="dxa" w:w="1881"/>
          </w:tcPr>
          <w:p>
            <w:r/>
            <w:r>
              <w:rPr>
                <w:rFonts w:ascii="Times New Roman" w:hAnsi="Times New Roman" w:cs="Times New Roman"/>
                <w:b w:val="0"/>
                <w:i w:val="0"/>
                <w:sz w:val="18"/>
              </w:rPr>
              <w:t>↓ −100</w:t>
            </w:r>
          </w:p>
        </w:tc>
        <w:tc>
          <w:tcPr>
            <w:tcW w:type="dxa" w:w="1881"/>
          </w:tcPr>
          <w:p>
            <w:r/>
            <w:r>
              <w:rPr>
                <w:rFonts w:ascii="Times New Roman" w:hAnsi="Times New Roman" w:cs="Times New Roman"/>
                <w:b w:val="0"/>
                <w:i w:val="0"/>
                <w:sz w:val="18"/>
              </w:rPr>
              <w:t>Romero Fernández, Ariel José</w:t>
            </w:r>
          </w:p>
        </w:tc>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52</w:t>
            </w:r>
          </w:p>
        </w:tc>
        <w:tc>
          <w:tcPr>
            <w:tcW w:type="dxa" w:w="1881"/>
          </w:tcPr>
          <w:p>
            <w:r/>
            <w:r>
              <w:rPr>
                <w:rFonts w:ascii="Times New Roman" w:hAnsi="Times New Roman" w:cs="Times New Roman"/>
                <w:b w:val="0"/>
                <w:i w:val="0"/>
                <w:sz w:val="18"/>
              </w:rPr>
              <w:t>135</w:t>
            </w:r>
          </w:p>
        </w:tc>
      </w:tr>
      <w:tr>
        <w:tc>
          <w:tcPr>
            <w:tcW w:type="dxa" w:w="1881"/>
          </w:tcPr>
          <w:p>
            <w:r/>
            <w:r>
              <w:rPr>
                <w:rFonts w:ascii="Times New Roman" w:hAnsi="Times New Roman" w:cs="Times New Roman"/>
                <w:b w:val="0"/>
                <w:i w:val="0"/>
                <w:sz w:val="18"/>
              </w:rPr>
              <w:t>↓ −92</w:t>
            </w:r>
          </w:p>
        </w:tc>
        <w:tc>
          <w:tcPr>
            <w:tcW w:type="dxa" w:w="1881"/>
          </w:tcPr>
          <w:p>
            <w:r/>
            <w:r>
              <w:rPr>
                <w:rFonts w:ascii="Times New Roman" w:hAnsi="Times New Roman" w:cs="Times New Roman"/>
                <w:b w:val="0"/>
                <w:i w:val="0"/>
                <w:sz w:val="18"/>
              </w:rPr>
              <w:t>Cruz Piza, Iyo Alexis</w:t>
            </w:r>
          </w:p>
        </w:tc>
        <w:tc>
          <w:tcPr>
            <w:tcW w:type="dxa" w:w="1881"/>
          </w:tcPr>
          <w:p>
            <w:r/>
            <w:r>
              <w:rPr>
                <w:rFonts w:ascii="Times New Roman" w:hAnsi="Times New Roman" w:cs="Times New Roman"/>
                <w:b w:val="0"/>
                <w:i w:val="0"/>
                <w:sz w:val="18"/>
              </w:rPr>
              <w:t>6</w:t>
            </w:r>
          </w:p>
        </w:tc>
        <w:tc>
          <w:tcPr>
            <w:tcW w:type="dxa" w:w="1881"/>
          </w:tcPr>
          <w:p>
            <w:r/>
            <w:r>
              <w:rPr>
                <w:rFonts w:ascii="Times New Roman" w:hAnsi="Times New Roman" w:cs="Times New Roman"/>
                <w:b w:val="0"/>
                <w:i w:val="0"/>
                <w:sz w:val="18"/>
              </w:rPr>
              <w:t>20</w:t>
            </w:r>
          </w:p>
        </w:tc>
        <w:tc>
          <w:tcPr>
            <w:tcW w:type="dxa" w:w="1881"/>
          </w:tcPr>
          <w:p>
            <w:r/>
            <w:r>
              <w:rPr>
                <w:rFonts w:ascii="Times New Roman" w:hAnsi="Times New Roman" w:cs="Times New Roman"/>
                <w:b w:val="0"/>
                <w:i w:val="0"/>
                <w:sz w:val="18"/>
              </w:rPr>
              <w:t>112</w:t>
            </w:r>
          </w:p>
        </w:tc>
      </w:tr>
      <w:tr>
        <w:tc>
          <w:tcPr>
            <w:tcW w:type="dxa" w:w="1881"/>
          </w:tcPr>
          <w:p>
            <w:r/>
            <w:r>
              <w:rPr>
                <w:rFonts w:ascii="Times New Roman" w:hAnsi="Times New Roman" w:cs="Times New Roman"/>
                <w:b w:val="0"/>
                <w:i w:val="0"/>
                <w:sz w:val="18"/>
              </w:rPr>
              <w:t>↓ −90</w:t>
            </w:r>
          </w:p>
        </w:tc>
        <w:tc>
          <w:tcPr>
            <w:tcW w:type="dxa" w:w="1881"/>
          </w:tcPr>
          <w:p>
            <w:r/>
            <w:r>
              <w:rPr>
                <w:rFonts w:ascii="Times New Roman" w:hAnsi="Times New Roman" w:cs="Times New Roman"/>
                <w:b w:val="0"/>
                <w:i w:val="0"/>
                <w:sz w:val="18"/>
              </w:rPr>
              <w:t>Troya Terranova, Katherine Tatiana</w:t>
            </w:r>
          </w:p>
        </w:tc>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35</w:t>
            </w:r>
          </w:p>
        </w:tc>
        <w:tc>
          <w:tcPr>
            <w:tcW w:type="dxa" w:w="1881"/>
          </w:tcPr>
          <w:p>
            <w:r/>
            <w:r>
              <w:rPr>
                <w:rFonts w:ascii="Times New Roman" w:hAnsi="Times New Roman" w:cs="Times New Roman"/>
                <w:b w:val="0"/>
                <w:i w:val="0"/>
                <w:sz w:val="18"/>
              </w:rPr>
              <w:t>128</w:t>
            </w:r>
          </w:p>
        </w:tc>
      </w:tr>
      <w:tr>
        <w:tc>
          <w:tcPr>
            <w:tcW w:type="dxa" w:w="1881"/>
          </w:tcPr>
          <w:p>
            <w:r/>
            <w:r>
              <w:rPr>
                <w:rFonts w:ascii="Times New Roman" w:hAnsi="Times New Roman" w:cs="Times New Roman"/>
                <w:b w:val="0"/>
                <w:i w:val="0"/>
                <w:sz w:val="18"/>
              </w:rPr>
              <w:t>↓ −90</w:t>
            </w:r>
          </w:p>
        </w:tc>
        <w:tc>
          <w:tcPr>
            <w:tcW w:type="dxa" w:w="1881"/>
          </w:tcPr>
          <w:p>
            <w:r/>
            <w:r>
              <w:rPr>
                <w:rFonts w:ascii="Times New Roman" w:hAnsi="Times New Roman" w:cs="Times New Roman"/>
                <w:b w:val="0"/>
                <w:i w:val="0"/>
                <w:sz w:val="18"/>
              </w:rPr>
              <w:t>Machado Maliza, Mesías Elías</w:t>
            </w:r>
          </w:p>
        </w:tc>
        <w:tc>
          <w:tcPr>
            <w:tcW w:type="dxa" w:w="1881"/>
          </w:tcPr>
          <w:p>
            <w:r/>
            <w:r>
              <w:rPr>
                <w:rFonts w:ascii="Times New Roman" w:hAnsi="Times New Roman" w:cs="Times New Roman"/>
                <w:b w:val="0"/>
                <w:i w:val="0"/>
                <w:sz w:val="18"/>
              </w:rPr>
              <w:t>4</w:t>
            </w:r>
          </w:p>
        </w:tc>
        <w:tc>
          <w:tcPr>
            <w:tcW w:type="dxa" w:w="1881"/>
          </w:tcPr>
          <w:p>
            <w:r/>
            <w:r>
              <w:rPr>
                <w:rFonts w:ascii="Times New Roman" w:hAnsi="Times New Roman" w:cs="Times New Roman"/>
                <w:b w:val="0"/>
                <w:i w:val="0"/>
                <w:sz w:val="18"/>
              </w:rPr>
              <w:t>52</w:t>
            </w:r>
          </w:p>
        </w:tc>
        <w:tc>
          <w:tcPr>
            <w:tcW w:type="dxa" w:w="1881"/>
          </w:tcPr>
          <w:p>
            <w:r/>
            <w:r>
              <w:rPr>
                <w:rFonts w:ascii="Times New Roman" w:hAnsi="Times New Roman" w:cs="Times New Roman"/>
                <w:b w:val="0"/>
                <w:i w:val="0"/>
                <w:sz w:val="18"/>
              </w:rPr>
              <w:t>142</w:t>
            </w:r>
          </w:p>
        </w:tc>
      </w:tr>
      <w:tr>
        <w:tc>
          <w:tcPr>
            <w:tcW w:type="dxa" w:w="1881"/>
          </w:tcPr>
          <w:p>
            <w:r/>
            <w:r>
              <w:rPr>
                <w:rFonts w:ascii="Times New Roman" w:hAnsi="Times New Roman" w:cs="Times New Roman"/>
                <w:b w:val="0"/>
                <w:i w:val="0"/>
                <w:sz w:val="18"/>
              </w:rPr>
              <w:t>↓ −84</w:t>
            </w:r>
          </w:p>
        </w:tc>
        <w:tc>
          <w:tcPr>
            <w:tcW w:type="dxa" w:w="1881"/>
          </w:tcPr>
          <w:p>
            <w:r/>
            <w:r>
              <w:rPr>
                <w:rFonts w:ascii="Times New Roman" w:hAnsi="Times New Roman" w:cs="Times New Roman"/>
                <w:b w:val="0"/>
                <w:i w:val="0"/>
                <w:sz w:val="18"/>
              </w:rPr>
              <w:t>Chamorro Valencia, Diego Xavier</w:t>
            </w:r>
          </w:p>
        </w:tc>
        <w:tc>
          <w:tcPr>
            <w:tcW w:type="dxa" w:w="1881"/>
          </w:tcPr>
          <w:p>
            <w:r/>
            <w:r>
              <w:rPr>
                <w:rFonts w:ascii="Times New Roman" w:hAnsi="Times New Roman" w:cs="Times New Roman"/>
                <w:b w:val="0"/>
                <w:i w:val="0"/>
                <w:sz w:val="18"/>
              </w:rPr>
              <w:t>5</w:t>
            </w:r>
          </w:p>
        </w:tc>
        <w:tc>
          <w:tcPr>
            <w:tcW w:type="dxa" w:w="1881"/>
          </w:tcPr>
          <w:p>
            <w:r/>
            <w:r>
              <w:rPr>
                <w:rFonts w:ascii="Times New Roman" w:hAnsi="Times New Roman" w:cs="Times New Roman"/>
                <w:b w:val="0"/>
                <w:i w:val="0"/>
                <w:sz w:val="18"/>
              </w:rPr>
              <w:t>35</w:t>
            </w:r>
          </w:p>
        </w:tc>
        <w:tc>
          <w:tcPr>
            <w:tcW w:type="dxa" w:w="1881"/>
          </w:tcPr>
          <w:p>
            <w:r/>
            <w:r>
              <w:rPr>
                <w:rFonts w:ascii="Times New Roman" w:hAnsi="Times New Roman" w:cs="Times New Roman"/>
                <w:b w:val="0"/>
                <w:i w:val="0"/>
                <w:sz w:val="18"/>
              </w:rPr>
              <w:t>119</w:t>
            </w:r>
          </w:p>
        </w:tc>
      </w:tr>
    </w:tbl>
    <w:p/>
    <w:p>
      <w:pPr>
        <w:spacing w:after="80"/>
        <w:ind w:firstLine="340"/>
        <w:jc w:val="both"/>
      </w:pPr>
      <w:r>
        <w:rPr>
          <w:rFonts w:ascii="Times New Roman" w:hAnsi="Times New Roman" w:cs="Times New Roman"/>
          <w:b w:val="0"/>
          <w:i w:val="0"/>
          <w:sz w:val="20"/>
        </w:rPr>
        <w:t xml:space="preserve">The divergence is not a statistical artefact of the bootstrap noise but a </w:t>
      </w:r>
      <w:r>
        <w:rPr>
          <w:rFonts w:ascii="Times New Roman" w:hAnsi="Times New Roman" w:cs="Times New Roman"/>
          <w:b w:val="0"/>
          <w:i/>
          <w:sz w:val="20"/>
        </w:rPr>
        <w:t>qualitative re-ordering</w:t>
      </w:r>
      <w:r>
        <w:rPr>
          <w:rFonts w:ascii="Times New Roman" w:hAnsi="Times New Roman" w:cs="Times New Roman"/>
          <w:b w:val="0"/>
          <w:i w:val="0"/>
          <w:sz w:val="20"/>
        </w:rPr>
        <w:t xml:space="preserve"> of the author base. The editorial implication is that the classical "authors ranked by article count" list — which is what NSIA reports in its annual editorial summary — systematically overvalues authors who publish many papers in a single topic cluster with no cross-source citation evidence, and systematically undervalues authors with few but well-positioned publications.</w:t>
      </w:r>
    </w:p>
    <w:p>
      <w:pPr>
        <w:spacing w:before="200" w:after="80"/>
      </w:pPr>
      <w:r>
        <w:rPr>
          <w:rFonts w:ascii="Arial" w:hAnsi="Arial" w:cs="Arial"/>
          <w:b/>
          <w:i w:val="0"/>
          <w:sz w:val="22"/>
        </w:rPr>
        <w:t>5.6.3 Why this is a genuine neutrosophic finding</w:t>
      </w:r>
    </w:p>
    <w:p>
      <w:pPr>
        <w:spacing w:after="80"/>
        <w:ind w:firstLine="340"/>
        <w:jc w:val="both"/>
      </w:pPr>
      <w:r>
        <w:rPr>
          <w:rFonts w:ascii="Times New Roman" w:hAnsi="Times New Roman" w:cs="Times New Roman"/>
          <w:b w:val="0"/>
          <w:i w:val="0"/>
          <w:sz w:val="20"/>
        </w:rPr>
        <w:t xml:space="preserve">Crucially, this re-ordering </w:t>
      </w:r>
      <w:r>
        <w:rPr>
          <w:rFonts w:ascii="Times New Roman" w:hAnsi="Times New Roman" w:cs="Times New Roman"/>
          <w:b/>
          <w:i w:val="0"/>
          <w:sz w:val="20"/>
        </w:rPr>
        <w:t>cannot be reproduced by any of the alternative formalisms</w:t>
      </w:r>
      <w:r>
        <w:rPr>
          <w:rFonts w:ascii="Times New Roman" w:hAnsi="Times New Roman" w:cs="Times New Roman"/>
          <w:b w:val="0"/>
          <w:i w:val="0"/>
          <w:sz w:val="20"/>
        </w:rPr>
        <w:t xml:space="preserve"> without introducing additional structure equivalent to the (T, I, F) triple:</w:t>
      </w:r>
    </w:p>
    <w:p>
      <w:pPr>
        <w:pStyle w:val="ListBullet"/>
        <w:spacing w:after="40"/>
      </w:pPr>
      <w:r>
        <w:rPr>
          <w:rFonts w:ascii="Times New Roman" w:hAnsi="Times New Roman" w:cs="Times New Roman"/>
          <w:b w:val="0"/>
          <w:i/>
          <w:sz w:val="20"/>
        </w:rPr>
        <w:t>Probabilistic aggregation</w:t>
      </w:r>
      <w:r>
        <w:rPr>
          <w:rFonts w:ascii="Times New Roman" w:hAnsi="Times New Roman" w:cs="Times New Roman"/>
          <w:b w:val="0"/>
          <w:i w:val="0"/>
          <w:sz w:val="20"/>
        </w:rPr>
        <w:t xml:space="preserve"> of the four dimensions requires a</w:t>
      </w:r>
    </w:p>
    <w:p>
      <w:pPr>
        <w:spacing w:after="80"/>
        <w:ind w:firstLine="340"/>
        <w:jc w:val="both"/>
      </w:pPr>
      <w:r>
        <w:rPr>
          <w:rFonts w:ascii="Times New Roman" w:hAnsi="Times New Roman" w:cs="Times New Roman"/>
          <w:b w:val="0"/>
          <w:i w:val="0"/>
          <w:sz w:val="20"/>
        </w:rPr>
        <w:t>likelihood model per dimension, which does not exist for D2, D3 or D4 in their natural form.</w:t>
      </w:r>
    </w:p>
    <w:p>
      <w:pPr>
        <w:pStyle w:val="ListBullet"/>
        <w:spacing w:after="40"/>
      </w:pPr>
      <w:r>
        <w:rPr>
          <w:rFonts w:ascii="Times New Roman" w:hAnsi="Times New Roman" w:cs="Times New Roman"/>
          <w:b w:val="0"/>
          <w:i/>
          <w:sz w:val="20"/>
        </w:rPr>
        <w:t>Fuzzy aggregation</w:t>
      </w:r>
      <w:r>
        <w:rPr>
          <w:rFonts w:ascii="Times New Roman" w:hAnsi="Times New Roman" w:cs="Times New Roman"/>
          <w:b w:val="0"/>
          <w:i w:val="0"/>
          <w:sz w:val="20"/>
        </w:rPr>
        <w:t xml:space="preserve"> collapses I and F into a single non-membership,</w:t>
      </w:r>
    </w:p>
    <w:p>
      <w:pPr>
        <w:spacing w:after="80"/>
        <w:ind w:firstLine="340"/>
        <w:jc w:val="both"/>
      </w:pPr>
      <w:r>
        <w:rPr>
          <w:rFonts w:ascii="Times New Roman" w:hAnsi="Times New Roman" w:cs="Times New Roman"/>
          <w:b w:val="0"/>
          <w:i w:val="0"/>
          <w:sz w:val="20"/>
        </w:rPr>
        <w:t>losing the distinction between "no evidence" and "contradictory evidence". In D2 this distinction is empirically critical.</w:t>
      </w:r>
    </w:p>
    <w:p>
      <w:pPr>
        <w:pStyle w:val="ListBullet"/>
        <w:spacing w:after="40"/>
      </w:pPr>
      <w:r>
        <w:rPr>
          <w:rFonts w:ascii="Times New Roman" w:hAnsi="Times New Roman" w:cs="Times New Roman"/>
          <w:b w:val="0"/>
          <w:i/>
          <w:sz w:val="20"/>
        </w:rPr>
        <w:t>Intuitionistic fuzzy aggregation</w:t>
      </w:r>
      <w:r>
        <w:rPr>
          <w:rFonts w:ascii="Times New Roman" w:hAnsi="Times New Roman" w:cs="Times New Roman"/>
          <w:b w:val="0"/>
          <w:i w:val="0"/>
          <w:sz w:val="20"/>
        </w:rPr>
        <w:t xml:space="preserve"> preserves T and F but forces</w:t>
      </w:r>
    </w:p>
    <w:p>
      <w:pPr>
        <w:spacing w:after="80"/>
        <w:ind w:firstLine="340"/>
        <w:jc w:val="both"/>
      </w:pPr>
      <w:r>
        <w:rPr>
          <w:rFonts w:ascii="Times New Roman" w:hAnsi="Times New Roman" w:cs="Times New Roman"/>
          <w:b w:val="0"/>
          <w:i w:val="0"/>
          <w:sz w:val="20"/>
        </w:rPr>
        <w:t>T + F ≤ 1, which is violated whenever an author has both strong positive evidence in Scholar and strong negative evidence in OpenAlex (high-discrepancy case).</w:t>
      </w:r>
    </w:p>
    <w:p>
      <w:pPr>
        <w:spacing w:after="80"/>
        <w:ind w:firstLine="340"/>
        <w:jc w:val="both"/>
      </w:pPr>
      <w:r>
        <w:rPr>
          <w:rFonts w:ascii="Times New Roman" w:hAnsi="Times New Roman" w:cs="Times New Roman"/>
          <w:b w:val="0"/>
          <w:i w:val="0"/>
          <w:sz w:val="20"/>
        </w:rPr>
        <w:t>Therefore the neutrosophic aggregate exploits precisely the independence of the three components — the feature that distinguishes neutrosophy from its predecessors — to produce a measurement that the predecessors cannot. This is the operative validation that the framework provides information unreachable by alternative techniques, not merely an alternative notation.</w:t>
      </w:r>
    </w:p>
    <w:p>
      <w:pPr>
        <w:jc w:val="center"/>
      </w:pPr>
      <w:r>
        <w:drawing>
          <wp:inline xmlns:a="http://schemas.openxmlformats.org/drawingml/2006/main" xmlns:pic="http://schemas.openxmlformats.org/drawingml/2006/picture">
            <wp:extent cx="5760720" cy="2968508"/>
            <wp:docPr id="1" name="Picture 1"/>
            <wp:cNvGraphicFramePr>
              <a:graphicFrameLocks noChangeAspect="1"/>
            </wp:cNvGraphicFramePr>
            <a:graphic>
              <a:graphicData uri="http://schemas.openxmlformats.org/drawingml/2006/picture">
                <pic:pic>
                  <pic:nvPicPr>
                    <pic:cNvPr id="0" name="ranking_comparison.png"/>
                    <pic:cNvPicPr/>
                  </pic:nvPicPr>
                  <pic:blipFill>
                    <a:blip r:embed="rId10"/>
                    <a:stretch>
                      <a:fillRect/>
                    </a:stretch>
                  </pic:blipFill>
                  <pic:spPr>
                    <a:xfrm>
                      <a:off x="0" y="0"/>
                      <a:ext cx="5760720" cy="2968508"/>
                    </a:xfrm>
                    <a:prstGeom prst="rect"/>
                  </pic:spPr>
                </pic:pic>
              </a:graphicData>
            </a:graphic>
          </wp:inline>
        </w:drawing>
      </w:r>
    </w:p>
    <w:p>
      <w:pPr>
        <w:spacing w:after="160"/>
        <w:ind w:left="567"/>
        <w:jc w:val="both"/>
      </w:pPr>
      <w:r>
        <w:rPr>
          <w:rFonts w:ascii="Times New Roman" w:hAnsi="Times New Roman" w:cs="Times New Roman"/>
          <w:b/>
          <w:i/>
          <w:sz w:val="18"/>
        </w:rPr>
        <w:t>Figure 2.</w:t>
      </w:r>
      <w:r>
        <w:rPr>
          <w:rFonts w:ascii="Times New Roman" w:hAnsi="Times New Roman" w:cs="Times New Roman"/>
          <w:b w:val="0"/>
          <w:i/>
          <w:sz w:val="18"/>
        </w:rPr>
        <w:t xml:space="preserve"> Rank divergence between the classical article-count ranking and the neutrosophic SVNWA ranking over 146 NCML authors with ≥ 3 publications. Left panel: scatter of rank positions with the identity line as reference; points far from the line indicate large divergence. Right panel: top-15 authors by each ranking, side by side, showing substantial re-ordering of the journal's visible leadership. (Source: </w:t>
      </w:r>
      <w:r>
        <w:rPr>
          <w:rFonts w:ascii="Consolas" w:hAnsi="Consolas" w:cs="Consolas"/>
          <w:b w:val="0"/>
          <w:i/>
          <w:sz w:val="16"/>
        </w:rPr>
        <w:t>ranking_comparison.png</w:t>
      </w:r>
      <w:r>
        <w:rPr>
          <w:rFonts w:ascii="Times New Roman" w:hAnsi="Times New Roman" w:cs="Times New Roman"/>
          <w:b w:val="0"/>
          <w:i/>
          <w:sz w:val="18"/>
        </w:rPr>
        <w:t>.)</w:t>
      </w:r>
    </w:p>
    <w:p>
      <w:pPr>
        <w:spacing w:before="200" w:after="80"/>
      </w:pPr>
      <w:r>
        <w:rPr>
          <w:rFonts w:ascii="Arial" w:hAnsi="Arial" w:cs="Arial"/>
          <w:b/>
          <w:i w:val="0"/>
          <w:sz w:val="22"/>
        </w:rPr>
        <w:t>5.7 Composite view</w:t>
      </w:r>
    </w:p>
    <w:p>
      <w:pPr>
        <w:spacing w:after="80"/>
        <w:ind w:firstLine="340"/>
        <w:jc w:val="both"/>
      </w:pPr>
      <w:r>
        <w:rPr>
          <w:rFonts w:ascii="Times New Roman" w:hAnsi="Times New Roman" w:cs="Times New Roman"/>
          <w:b w:val="0"/>
          <w:i w:val="0"/>
          <w:sz w:val="20"/>
        </w:rPr>
        <w:t>Figure 1 summarises the four computed neutrosophic indicators in a single composite figure.</w:t>
      </w:r>
    </w:p>
    <w:p>
      <w:pPr>
        <w:jc w:val="center"/>
      </w:pPr>
      <w:r>
        <w:drawing>
          <wp:inline xmlns:a="http://schemas.openxmlformats.org/drawingml/2006/main" xmlns:pic="http://schemas.openxmlformats.org/drawingml/2006/picture">
            <wp:extent cx="5760720" cy="4155911"/>
            <wp:docPr id="2" name="Picture 2"/>
            <wp:cNvGraphicFramePr>
              <a:graphicFrameLocks noChangeAspect="1"/>
            </wp:cNvGraphicFramePr>
            <a:graphic>
              <a:graphicData uri="http://schemas.openxmlformats.org/drawingml/2006/picture">
                <pic:pic>
                  <pic:nvPicPr>
                    <pic:cNvPr id="0" name="neutrosophic_indicators.png"/>
                    <pic:cNvPicPr/>
                  </pic:nvPicPr>
                  <pic:blipFill>
                    <a:blip r:embed="rId11"/>
                    <a:stretch>
                      <a:fillRect/>
                    </a:stretch>
                  </pic:blipFill>
                  <pic:spPr>
                    <a:xfrm>
                      <a:off x="0" y="0"/>
                      <a:ext cx="5760720" cy="4155911"/>
                    </a:xfrm>
                    <a:prstGeom prst="rect"/>
                  </pic:spPr>
                </pic:pic>
              </a:graphicData>
            </a:graphic>
          </wp:inline>
        </w:drawing>
      </w:r>
    </w:p>
    <w:p>
      <w:pPr>
        <w:spacing w:after="160"/>
        <w:ind w:left="567"/>
        <w:jc w:val="both"/>
      </w:pPr>
      <w:r>
        <w:rPr>
          <w:rFonts w:ascii="Times New Roman" w:hAnsi="Times New Roman" w:cs="Times New Roman"/>
          <w:b/>
          <w:i/>
          <w:sz w:val="18"/>
        </w:rPr>
        <w:t>Figure 1.</w:t>
      </w:r>
      <w:r>
        <w:rPr>
          <w:rFonts w:ascii="Times New Roman" w:hAnsi="Times New Roman" w:cs="Times New Roman"/>
          <w:b w:val="0"/>
          <w:i/>
          <w:sz w:val="18"/>
        </w:rPr>
        <w:t xml:space="preserve"> Neutrosophic bibliometric indicators applied to NCML (2018–2026). (A) Neutrosophic h-index decomposition over the stratified Scholar sample (n = 26): T = 0.04, I = 0.50, F = 0.46. (B) Bootstrap distribution of the Lotka exponent α (B = 1 000); the classical α = 2 sits inside the bootstrap mode while the K-S statistic exceeds the critical value in all replicates, yielding N_Lotka = (0.00, 1.00, 0.00). (C) Neutrosophic nucleus membership for the top ten cited journals (T green, I orange, F red); only the two top journals (NSS and NCML) clearly belong to the nucleus, while three Cuban journals occupy a boundary region. (D) Distribution of per-document topic membership across the 725 documents with usable abstracts; 61 % of documents have T &lt; 0.7. (Source: </w:t>
      </w:r>
      <w:r>
        <w:rPr>
          <w:rFonts w:ascii="Consolas" w:hAnsi="Consolas" w:cs="Consolas"/>
          <w:b w:val="0"/>
          <w:i/>
          <w:sz w:val="16"/>
        </w:rPr>
        <w:t>neutrosophic_indicators.png</w:t>
      </w:r>
      <w:r>
        <w:rPr>
          <w:rFonts w:ascii="Times New Roman" w:hAnsi="Times New Roman" w:cs="Times New Roman"/>
          <w:b w:val="0"/>
          <w:i/>
          <w:sz w:val="18"/>
        </w:rPr>
        <w:t>.)</w:t>
      </w:r>
    </w:p>
    <w:p>
      <w:pPr>
        <w:spacing w:before="280" w:after="120"/>
      </w:pPr>
      <w:r>
        <w:rPr>
          <w:rFonts w:ascii="Arial" w:hAnsi="Arial" w:cs="Arial"/>
          <w:b/>
          <w:i w:val="0"/>
          <w:sz w:val="24"/>
        </w:rPr>
        <w:t>6. Discussion</w:t>
      </w:r>
    </w:p>
    <w:p>
      <w:pPr>
        <w:spacing w:before="200" w:after="80"/>
      </w:pPr>
      <w:r>
        <w:rPr>
          <w:rFonts w:ascii="Arial" w:hAnsi="Arial" w:cs="Arial"/>
          <w:b/>
          <w:i w:val="0"/>
          <w:sz w:val="22"/>
        </w:rPr>
        <w:t>6.1 What the framework reveals beyond classical analysis</w:t>
      </w:r>
    </w:p>
    <w:p>
      <w:pPr>
        <w:spacing w:after="80"/>
        <w:ind w:firstLine="340"/>
        <w:jc w:val="both"/>
      </w:pPr>
      <w:r>
        <w:rPr>
          <w:rFonts w:ascii="Times New Roman" w:hAnsi="Times New Roman" w:cs="Times New Roman"/>
          <w:b w:val="0"/>
          <w:i w:val="0"/>
          <w:sz w:val="20"/>
        </w:rPr>
        <w:t>The central operative finding of the paper is the substantive divergence between the classical article-count ranking and the SVNWA aggregated ranking of NCML authors (Section 5.6). With a Kendall τ of 0.20 and half of the classical top-10 dropping out of the neutrosophic top-10, the two rankings are only weakly correlated, and the qualitative differences between them track interpretable editorial dimensions (theoretical focus, cross-source citation evidence, co-authorship centrality). Because the SVNWA operator exploits the independence of T, I and F — a feature that neither fuzzy nor intuitionistic-fuzzy aggregation preserves — the re-ordering constitutes evidence that the neutrosophic formalism yields information inaccessible to alternative techniques of equal conceptual parsimony.</w:t>
      </w:r>
    </w:p>
    <w:p>
      <w:pPr>
        <w:spacing w:after="80"/>
        <w:ind w:firstLine="340"/>
        <w:jc w:val="both"/>
      </w:pPr>
      <w:r>
        <w:rPr>
          <w:rFonts w:ascii="Times New Roman" w:hAnsi="Times New Roman" w:cs="Times New Roman"/>
          <w:b w:val="0"/>
          <w:i w:val="0"/>
          <w:sz w:val="20"/>
        </w:rPr>
        <w:t xml:space="preserve">The five per-indicator decompositions reported in Section 5 play a supporting role rather than the principal one. They show that indeterminacy is measurable and substantial in the source data, but many of those findings could be reached by reporting multiple sources side by side, by bootstrapping the Lotka fit, or by applying a fuzzy membership function directly. What the aggregated ranking demonstrates is that the </w:t>
      </w:r>
      <w:r>
        <w:rPr>
          <w:rFonts w:ascii="Times New Roman" w:hAnsi="Times New Roman" w:cs="Times New Roman"/>
          <w:b w:val="0"/>
          <w:i/>
          <w:sz w:val="20"/>
        </w:rPr>
        <w:t>joint treatment</w:t>
      </w:r>
      <w:r>
        <w:rPr>
          <w:rFonts w:ascii="Times New Roman" w:hAnsi="Times New Roman" w:cs="Times New Roman"/>
          <w:b w:val="0"/>
          <w:i w:val="0"/>
          <w:sz w:val="20"/>
        </w:rPr>
        <w:t xml:space="preserve"> of all three components across multiple dimensions — the operation that neutrosophy makes natural and the alternatives make awkward — produces conclusions that would be missed otherwise. Three concrete examples follow.</w:t>
      </w:r>
    </w:p>
    <w:p>
      <w:pPr>
        <w:spacing w:after="80"/>
        <w:ind w:firstLine="340"/>
        <w:jc w:val="both"/>
      </w:pPr>
      <w:r>
        <w:rPr>
          <w:rFonts w:ascii="Times New Roman" w:hAnsi="Times New Roman" w:cs="Times New Roman"/>
          <w:b w:val="0"/>
          <w:i w:val="0"/>
          <w:sz w:val="20"/>
        </w:rPr>
        <w:t xml:space="preserve">First, the </w:t>
      </w:r>
      <w:r>
        <w:rPr>
          <w:rFonts w:ascii="Times New Roman" w:hAnsi="Times New Roman" w:cs="Times New Roman"/>
          <w:b w:val="0"/>
          <w:i/>
          <w:sz w:val="20"/>
        </w:rPr>
        <w:t>h</w:t>
      </w:r>
      <w:r>
        <w:rPr>
          <w:rFonts w:ascii="Times New Roman" w:hAnsi="Times New Roman" w:cs="Times New Roman"/>
          <w:b w:val="0"/>
          <w:i w:val="0"/>
          <w:sz w:val="20"/>
        </w:rPr>
        <w:t>-index decomposition (Section 5.1) makes visible the order-of-magnitude gap between OpenAlex and Google Scholar that the classical headline number "h = 1" actively hides. The 50 % I-class membership of the journal is not a defect of measurement but a property of the bibliographic ecosystem: the journals that cite NCML the most are themselves under-indexed by Crossref-anchored databases. An honest editorial report should disclose the indeterminacy interval [h_T, h_TI] rather than the lower bound alone.</w:t>
      </w:r>
    </w:p>
    <w:p>
      <w:pPr>
        <w:spacing w:after="80"/>
        <w:ind w:firstLine="340"/>
        <w:jc w:val="both"/>
      </w:pPr>
      <w:r>
        <w:rPr>
          <w:rFonts w:ascii="Times New Roman" w:hAnsi="Times New Roman" w:cs="Times New Roman"/>
          <w:b w:val="0"/>
          <w:i w:val="0"/>
          <w:sz w:val="20"/>
        </w:rPr>
        <w:t xml:space="preserve">Second, the bootstrap-based Lotka profile (Section 5.2) resolves the apparent contradiction between α̂ = 2.03 and a failed K-S test. The neutrosophic profile (T = 0, I = 1, F = 0) reports both facts simultaneously: the </w:t>
      </w:r>
      <w:r>
        <w:rPr>
          <w:rFonts w:ascii="Times New Roman" w:hAnsi="Times New Roman" w:cs="Times New Roman"/>
          <w:b w:val="0"/>
          <w:i/>
          <w:sz w:val="20"/>
        </w:rPr>
        <w:t>exponent</w:t>
      </w:r>
      <w:r>
        <w:rPr>
          <w:rFonts w:ascii="Times New Roman" w:hAnsi="Times New Roman" w:cs="Times New Roman"/>
          <w:b w:val="0"/>
          <w:i w:val="0"/>
          <w:sz w:val="20"/>
        </w:rPr>
        <w:t xml:space="preserve"> matches Lotka classical with high confidence, while the </w:t>
      </w:r>
      <w:r>
        <w:rPr>
          <w:rFonts w:ascii="Times New Roman" w:hAnsi="Times New Roman" w:cs="Times New Roman"/>
          <w:b w:val="0"/>
          <w:i/>
          <w:sz w:val="20"/>
        </w:rPr>
        <w:t>shape</w:t>
      </w:r>
      <w:r>
        <w:rPr>
          <w:rFonts w:ascii="Times New Roman" w:hAnsi="Times New Roman" w:cs="Times New Roman"/>
          <w:b w:val="0"/>
          <w:i w:val="0"/>
          <w:sz w:val="20"/>
        </w:rPr>
        <w:t xml:space="preserve"> deviates with equally high confidence. Editorial analysts can then point to the source of the deviation (over-representation of one-shot authors, characteristic of training journals) instead of being forced to choose between "follows Lotka" and "does not follow Lotka".</w:t>
      </w:r>
    </w:p>
    <w:p>
      <w:pPr>
        <w:spacing w:after="80"/>
        <w:ind w:firstLine="340"/>
        <w:jc w:val="both"/>
      </w:pPr>
      <w:r>
        <w:rPr>
          <w:rFonts w:ascii="Times New Roman" w:hAnsi="Times New Roman" w:cs="Times New Roman"/>
          <w:b w:val="0"/>
          <w:i w:val="0"/>
          <w:sz w:val="20"/>
        </w:rPr>
        <w:t xml:space="preserve">Third, the graded Bradford nucleus membership (Section 5.3) shows that the journal's citation ecosystem has </w:t>
      </w:r>
      <w:r>
        <w:rPr>
          <w:rFonts w:ascii="Times New Roman" w:hAnsi="Times New Roman" w:cs="Times New Roman"/>
          <w:b w:val="0"/>
          <w:i/>
          <w:sz w:val="20"/>
        </w:rPr>
        <w:t>three</w:t>
      </w:r>
      <w:r>
        <w:rPr>
          <w:rFonts w:ascii="Times New Roman" w:hAnsi="Times New Roman" w:cs="Times New Roman"/>
          <w:b w:val="0"/>
          <w:i w:val="0"/>
          <w:sz w:val="20"/>
        </w:rPr>
        <w:t xml:space="preserve"> substantively different strata, not the canonical three Bradford zones. The strong-nucleus journals (T &gt; 0.7) are exclusively the two largest neutrosophic outlets (NSS, NCML). The boundary-nucleus stratum (T = 0.5–0.7) is composed of Cuban journals from the educational and informatics fields. The peripheral-but-not-trivial stratum (T = 0.2–0.4) introduces a more diverse and less neutrosophic-specific set of sources. Each stratum implies a different editorial action: the strong-nucleus journals require an auto-citation policy (the companion paper [10] documents a 17 % NSS+NCML self-citation rate); the boundary-nucleus stratum requires diversification toward indexed venues; the peripheral stratum is the target of the journal's outreach toward soft-computing and decision- making mainstream.</w:t>
      </w:r>
    </w:p>
    <w:p>
      <w:pPr>
        <w:spacing w:before="200" w:after="80"/>
      </w:pPr>
      <w:r>
        <w:rPr>
          <w:rFonts w:ascii="Arial" w:hAnsi="Arial" w:cs="Arial"/>
          <w:b/>
          <w:i w:val="0"/>
          <w:sz w:val="22"/>
        </w:rPr>
        <w:t>6.2 Relation to the Woodall et al. (2025) critique</w:t>
      </w:r>
    </w:p>
    <w:p>
      <w:pPr>
        <w:spacing w:after="80"/>
        <w:ind w:firstLine="340"/>
        <w:jc w:val="both"/>
      </w:pPr>
      <w:r>
        <w:rPr>
          <w:rFonts w:ascii="Times New Roman" w:hAnsi="Times New Roman" w:cs="Times New Roman"/>
          <w:b w:val="0"/>
          <w:i w:val="0"/>
          <w:sz w:val="20"/>
        </w:rPr>
        <w:t>Woodall, Faltin, and Reynolds [9] published in 2025 a substantive methodological critique of neutrosophic methods in statistical process control and decision-making. Their three principal points were: (i) the choice of three components (T, I, F) is rarely justified by the data structure; (ii) comparisons with fuzzy or Bayesian alternatives are absent or superficial; (iii) the citation ecosystem of neutrosophic methods is closed and self-referential.</w:t>
      </w:r>
    </w:p>
    <w:p>
      <w:pPr>
        <w:spacing w:after="80"/>
        <w:ind w:firstLine="340"/>
        <w:jc w:val="both"/>
      </w:pPr>
      <w:r>
        <w:rPr>
          <w:rFonts w:ascii="Times New Roman" w:hAnsi="Times New Roman" w:cs="Times New Roman"/>
          <w:b w:val="0"/>
          <w:i w:val="0"/>
          <w:sz w:val="20"/>
        </w:rPr>
        <w:t>The framework presented here addresses each point head-on.</w:t>
      </w:r>
    </w:p>
    <w:p>
      <w:pPr>
        <w:spacing w:after="80"/>
        <w:ind w:firstLine="340"/>
        <w:jc w:val="both"/>
      </w:pPr>
      <w:r>
        <w:rPr>
          <w:rFonts w:ascii="Times New Roman" w:hAnsi="Times New Roman" w:cs="Times New Roman"/>
          <w:b w:val="0"/>
          <w:i w:val="0"/>
          <w:sz w:val="20"/>
        </w:rPr>
        <w:t xml:space="preserve">On point (i): in the neutrosophic bibliometric framework, the indeterminacy component is </w:t>
      </w:r>
      <w:r>
        <w:rPr>
          <w:rFonts w:ascii="Times New Roman" w:hAnsi="Times New Roman" w:cs="Times New Roman"/>
          <w:b w:val="0"/>
          <w:i/>
          <w:sz w:val="20"/>
        </w:rPr>
        <w:t>computed from the data</w:t>
      </w:r>
      <w:r>
        <w:rPr>
          <w:rFonts w:ascii="Times New Roman" w:hAnsi="Times New Roman" w:cs="Times New Roman"/>
          <w:b w:val="0"/>
          <w:i w:val="0"/>
          <w:sz w:val="20"/>
        </w:rPr>
        <w:t>, not elicited from experts via linguistic scales. The choice of three components is warranted by the data structure (multiple sources of evidence with explicit disagreement) rather than by analyst preference. This is the strongest possible response to the "decorative neutrosophy" concern: in the present framework, removing the indeterminacy component would destroy information that is empirically present.</w:t>
      </w:r>
    </w:p>
    <w:p>
      <w:pPr>
        <w:spacing w:after="80"/>
        <w:ind w:firstLine="340"/>
        <w:jc w:val="both"/>
      </w:pPr>
      <w:r>
        <w:rPr>
          <w:rFonts w:ascii="Times New Roman" w:hAnsi="Times New Roman" w:cs="Times New Roman"/>
          <w:b w:val="0"/>
          <w:i w:val="0"/>
          <w:sz w:val="20"/>
        </w:rPr>
        <w:t xml:space="preserve">On point (ii): for each of the five extensions we identified the classical counterpart. The classical </w:t>
      </w:r>
      <w:r>
        <w:rPr>
          <w:rFonts w:ascii="Times New Roman" w:hAnsi="Times New Roman" w:cs="Times New Roman"/>
          <w:b w:val="0"/>
          <w:i/>
          <w:sz w:val="20"/>
        </w:rPr>
        <w:t>h</w:t>
      </w:r>
      <w:r>
        <w:rPr>
          <w:rFonts w:ascii="Times New Roman" w:hAnsi="Times New Roman" w:cs="Times New Roman"/>
          <w:b w:val="0"/>
          <w:i w:val="0"/>
          <w:sz w:val="20"/>
        </w:rPr>
        <w:t>-index, Lotka exponent, Bradford zones, topic assignment, and edge weight are recoverable from the neutrosophic profile by collapsing I into either T or F. The neutrosophic framework is therefore strictly informationally richer than the classical baseline, not an alternative computation that yields the same number with extra notation. Comparison with Bayesian alternatives remains a target of future work; in particular, the neutrosophic Lotka profile of Section 3.2 admits a direct Bayesian re-interpretation as a posterior distribution over the model space {classical, alternative}, which we discuss in Section 7.</w:t>
      </w:r>
    </w:p>
    <w:p>
      <w:pPr>
        <w:spacing w:after="80"/>
        <w:ind w:firstLine="340"/>
        <w:jc w:val="both"/>
      </w:pPr>
      <w:r>
        <w:rPr>
          <w:rFonts w:ascii="Times New Roman" w:hAnsi="Times New Roman" w:cs="Times New Roman"/>
          <w:b w:val="0"/>
          <w:i w:val="0"/>
          <w:sz w:val="20"/>
        </w:rPr>
        <w:t>On point (iii): the present paper is itself an exercise in opening the neutrosophic ecosystem to external scrutiny. The framework is methodological rather than applied, the case study is published with all data and code under permissive licences, and the discussion of limitations is explicit (Section 6.4). The companion paper [10] documents the auto-referentiality empirically and proposes editorial remediation. The two papers together represent a self-critical posture that the Woodall critique would, in our reading, encourage rather than condemn.</w:t>
      </w:r>
    </w:p>
    <w:p>
      <w:pPr>
        <w:spacing w:before="200" w:after="80"/>
      </w:pPr>
      <w:r>
        <w:rPr>
          <w:rFonts w:ascii="Arial" w:hAnsi="Arial" w:cs="Arial"/>
          <w:b/>
          <w:i w:val="0"/>
          <w:sz w:val="22"/>
        </w:rPr>
        <w:t>6.3 Editorial implications for NCML</w:t>
      </w:r>
    </w:p>
    <w:p>
      <w:pPr>
        <w:spacing w:after="80"/>
        <w:ind w:firstLine="340"/>
        <w:jc w:val="both"/>
      </w:pPr>
      <w:r>
        <w:rPr>
          <w:rFonts w:ascii="Times New Roman" w:hAnsi="Times New Roman" w:cs="Times New Roman"/>
          <w:b w:val="0"/>
          <w:i w:val="0"/>
          <w:sz w:val="20"/>
        </w:rPr>
        <w:t>The five neutrosophic indicators applied to NCML produce four concrete editorial implications.</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Report bounded h-indices.</w:t>
      </w:r>
      <w:r>
        <w:rPr>
          <w:rFonts w:ascii="Times New Roman" w:hAnsi="Times New Roman" w:cs="Times New Roman"/>
          <w:b w:val="0"/>
          <w:i w:val="0"/>
          <w:sz w:val="20"/>
        </w:rPr>
        <w:t xml:space="preserve"> The journal's h5-index = 10 in Google Scholar and h = 1 in OpenAlex should be reported jointly, with the evidence-membership triple (0.04, 0.50, 0.46) made explicit in editorial communications. Reporting either bound alone is informationally incomplete.</w:t>
      </w:r>
    </w:p>
    <w:p>
      <w:pPr>
        <w:spacing w:after="80"/>
        <w:ind w:firstLine="340"/>
        <w:jc w:val="both"/>
      </w:pPr>
      <w:r>
        <w:rPr>
          <w:rFonts w:ascii="Times New Roman" w:hAnsi="Times New Roman" w:cs="Times New Roman"/>
          <w:b w:val="0"/>
          <w:i w:val="0"/>
          <w:sz w:val="20"/>
        </w:rPr>
        <w:t xml:space="preserve">2. </w:t>
      </w:r>
      <w:r>
        <w:rPr>
          <w:rFonts w:ascii="Times New Roman" w:hAnsi="Times New Roman" w:cs="Times New Roman"/>
          <w:b/>
          <w:i w:val="0"/>
          <w:sz w:val="20"/>
        </w:rPr>
        <w:t>Acknowledge the productivity-distribution shape divergence.</w:t>
      </w:r>
      <w:r>
        <w:rPr>
          <w:rFonts w:ascii="Times New Roman" w:hAnsi="Times New Roman" w:cs="Times New Roman"/>
          <w:b w:val="0"/>
          <w:i w:val="0"/>
          <w:sz w:val="20"/>
        </w:rPr>
        <w:t xml:space="preserve"> The bootstrap-based Lotka profile (T = 0, I = 1, F = 0) confirms the classical exponent and confirms the K-S failure. The journal should communicate that it follows Lotka in </w:t>
      </w:r>
      <w:r>
        <w:rPr>
          <w:rFonts w:ascii="Times New Roman" w:hAnsi="Times New Roman" w:cs="Times New Roman"/>
          <w:b w:val="0"/>
          <w:i/>
          <w:sz w:val="20"/>
        </w:rPr>
        <w:t>parameters</w:t>
      </w:r>
      <w:r>
        <w:rPr>
          <w:rFonts w:ascii="Times New Roman" w:hAnsi="Times New Roman" w:cs="Times New Roman"/>
          <w:b w:val="0"/>
          <w:i w:val="0"/>
          <w:sz w:val="20"/>
        </w:rPr>
        <w:t xml:space="preserve"> but not in </w:t>
      </w:r>
      <w:r>
        <w:rPr>
          <w:rFonts w:ascii="Times New Roman" w:hAnsi="Times New Roman" w:cs="Times New Roman"/>
          <w:b w:val="0"/>
          <w:i/>
          <w:sz w:val="20"/>
        </w:rPr>
        <w:t>shape</w:t>
      </w:r>
      <w:r>
        <w:rPr>
          <w:rFonts w:ascii="Times New Roman" w:hAnsi="Times New Roman" w:cs="Times New Roman"/>
          <w:b w:val="0"/>
          <w:i w:val="0"/>
          <w:sz w:val="20"/>
        </w:rPr>
        <w:t>, reflecting its training-venue function.</w:t>
      </w:r>
    </w:p>
    <w:p>
      <w:pPr>
        <w:spacing w:after="80"/>
        <w:ind w:firstLine="340"/>
        <w:jc w:val="both"/>
      </w:pPr>
      <w:r>
        <w:rPr>
          <w:rFonts w:ascii="Times New Roman" w:hAnsi="Times New Roman" w:cs="Times New Roman"/>
          <w:b w:val="0"/>
          <w:i w:val="0"/>
          <w:sz w:val="20"/>
        </w:rPr>
        <w:t xml:space="preserve">3. </w:t>
      </w:r>
      <w:r>
        <w:rPr>
          <w:rFonts w:ascii="Times New Roman" w:hAnsi="Times New Roman" w:cs="Times New Roman"/>
          <w:b/>
          <w:i w:val="0"/>
          <w:sz w:val="20"/>
        </w:rPr>
        <w:t>Distinguish strong, boundary, and peripheral citation sources.</w:t>
      </w:r>
      <w:r>
        <w:rPr>
          <w:rFonts w:ascii="Times New Roman" w:hAnsi="Times New Roman" w:cs="Times New Roman"/>
          <w:b w:val="0"/>
          <w:i w:val="0"/>
          <w:sz w:val="20"/>
        </w:rPr>
        <w:t xml:space="preserve"> The graded Bradford nucleus membership recommends an auto-citation policy applied to T &gt; 0.7 sources, a diversification policy for T = 0.5–0.7 sources, and an outreach policy for T &lt; 0.4 sources. Compressing all five nucleus journals into a single category misses the distinction.</w:t>
      </w:r>
    </w:p>
    <w:p>
      <w:pPr>
        <w:spacing w:after="80"/>
        <w:ind w:firstLine="340"/>
        <w:jc w:val="both"/>
      </w:pPr>
      <w:r>
        <w:rPr>
          <w:rFonts w:ascii="Times New Roman" w:hAnsi="Times New Roman" w:cs="Times New Roman"/>
          <w:b w:val="0"/>
          <w:i w:val="0"/>
          <w:sz w:val="20"/>
        </w:rPr>
        <w:t xml:space="preserve">4. </w:t>
      </w:r>
      <w:r>
        <w:rPr>
          <w:rFonts w:ascii="Times New Roman" w:hAnsi="Times New Roman" w:cs="Times New Roman"/>
          <w:b/>
          <w:i w:val="0"/>
          <w:sz w:val="20"/>
        </w:rPr>
        <w:t>Identify the verified-collaboration core.</w:t>
      </w:r>
      <w:r>
        <w:rPr>
          <w:rFonts w:ascii="Times New Roman" w:hAnsi="Times New Roman" w:cs="Times New Roman"/>
          <w:b w:val="0"/>
          <w:i w:val="0"/>
          <w:sz w:val="20"/>
        </w:rPr>
        <w:t xml:space="preserve"> The reduced-graph subnetwork of T_collab ≥ 0.5 edges (40 edges, 35 nodes) is the journal's actual community of practice. Editorial actions intended to consolidate the journal's identity should target this network, not the long tail of single-paper co-authorships.</w:t>
      </w:r>
    </w:p>
    <w:p>
      <w:pPr>
        <w:spacing w:before="200" w:after="80"/>
      </w:pPr>
      <w:r>
        <w:rPr>
          <w:rFonts w:ascii="Arial" w:hAnsi="Arial" w:cs="Arial"/>
          <w:b/>
          <w:i w:val="0"/>
          <w:sz w:val="22"/>
        </w:rPr>
        <w:t>6.4 Limitations</w:t>
      </w:r>
    </w:p>
    <w:p>
      <w:pPr>
        <w:spacing w:after="80"/>
        <w:ind w:firstLine="340"/>
        <w:jc w:val="both"/>
      </w:pPr>
      <w:r>
        <w:rPr>
          <w:rFonts w:ascii="Times New Roman" w:hAnsi="Times New Roman" w:cs="Times New Roman"/>
          <w:b w:val="0"/>
          <w:i w:val="0"/>
          <w:sz w:val="20"/>
        </w:rPr>
        <w:t>Three limitations qualify the conclusions.</w:t>
      </w:r>
    </w:p>
    <w:p>
      <w:pPr>
        <w:spacing w:after="80"/>
        <w:ind w:firstLine="340"/>
        <w:jc w:val="both"/>
      </w:pPr>
      <w:r>
        <w:rPr>
          <w:rFonts w:ascii="Times New Roman" w:hAnsi="Times New Roman" w:cs="Times New Roman"/>
          <w:b w:val="0"/>
          <w:i w:val="0"/>
          <w:sz w:val="20"/>
        </w:rPr>
        <w:t xml:space="preserve">First, the neutrosophic </w:t>
      </w:r>
      <w:r>
        <w:rPr>
          <w:rFonts w:ascii="Times New Roman" w:hAnsi="Times New Roman" w:cs="Times New Roman"/>
          <w:b w:val="0"/>
          <w:i/>
          <w:sz w:val="20"/>
        </w:rPr>
        <w:t>h</w:t>
      </w:r>
      <w:r>
        <w:rPr>
          <w:rFonts w:ascii="Times New Roman" w:hAnsi="Times New Roman" w:cs="Times New Roman"/>
          <w:b w:val="0"/>
          <w:i w:val="0"/>
          <w:sz w:val="20"/>
        </w:rPr>
        <w:t>-index is computed on a stratified sample of n = 26 articles for which both OpenAlex and Scholar counts are available. Generalising the (T, I, F) proportions to the journal population requires either an exhaustive Scholar scrape (impractical without paid tools and at high risk of rate-limiting) or a larger stratified sample. The current estimates of T = 0.04 and I = 0.50 should be read as point estimates with substantial sampling uncertainty; bootstrap or Bayesian intervals on the proportions themselves would be a useful refinement.</w:t>
      </w:r>
    </w:p>
    <w:p>
      <w:pPr>
        <w:spacing w:after="80"/>
        <w:ind w:firstLine="340"/>
        <w:jc w:val="both"/>
      </w:pPr>
      <w:r>
        <w:rPr>
          <w:rFonts w:ascii="Times New Roman" w:hAnsi="Times New Roman" w:cs="Times New Roman"/>
          <w:b w:val="0"/>
          <w:i w:val="0"/>
          <w:sz w:val="20"/>
        </w:rPr>
        <w:t>Second, the neutrosophic topic membership in Section 3.4 was computed from two-dimensional UMAP coordinates rather than from the five-dimensional clustering space. This compresses the distances slightly and may inflate the indeterminacy estimate. Computing the distances in the 5D space requires re-running the clustering pipeline and is a target for the next revision.</w:t>
      </w:r>
    </w:p>
    <w:p>
      <w:pPr>
        <w:spacing w:after="80"/>
        <w:ind w:firstLine="340"/>
        <w:jc w:val="both"/>
      </w:pPr>
      <w:r>
        <w:rPr>
          <w:rFonts w:ascii="Times New Roman" w:hAnsi="Times New Roman" w:cs="Times New Roman"/>
          <w:b w:val="0"/>
          <w:i w:val="0"/>
          <w:sz w:val="20"/>
        </w:rPr>
        <w:t>Third, the framework is restricted to a single journal. Cross-journal comparison would require applying the same pipeline to NSS, IJNS, and related venues. The companion paper [10] points to such comparison as the principal extension. The neutrosophic framework facilitates the comparison precisely because it makes the cross-source disagreement explicit, and we expect that NSS and IJNS will exhibit different T/I/F profiles: NSS, being indexed in Scopus since 2021, should show much higher T_h with correspondingly lower I_h.</w:t>
      </w:r>
    </w:p>
    <w:p>
      <w:pPr>
        <w:spacing w:before="200" w:after="80"/>
      </w:pPr>
      <w:r>
        <w:rPr>
          <w:rFonts w:ascii="Arial" w:hAnsi="Arial" w:cs="Arial"/>
          <w:b/>
          <w:i w:val="0"/>
          <w:sz w:val="22"/>
        </w:rPr>
        <w:t>6.5 Comparison with alternative formalisms</w:t>
      </w:r>
    </w:p>
    <w:p>
      <w:pPr>
        <w:spacing w:after="80"/>
        <w:ind w:firstLine="340"/>
        <w:jc w:val="both"/>
      </w:pPr>
      <w:r>
        <w:rPr>
          <w:rFonts w:ascii="Times New Roman" w:hAnsi="Times New Roman" w:cs="Times New Roman"/>
          <w:b w:val="0"/>
          <w:i w:val="0"/>
          <w:sz w:val="20"/>
        </w:rPr>
        <w:t>The choice of single-valued neutrosophic numbers over alternative uncertainty formalisms (probability, fuzzy sets, intuitionistic fuzzy sets) merits brief justification.</w:t>
      </w:r>
    </w:p>
    <w:p>
      <w:pPr>
        <w:spacing w:after="80"/>
        <w:ind w:firstLine="340"/>
        <w:jc w:val="both"/>
      </w:pPr>
      <w:r>
        <w:rPr>
          <w:rFonts w:ascii="Times New Roman" w:hAnsi="Times New Roman" w:cs="Times New Roman"/>
          <w:b w:val="0"/>
          <w:i/>
          <w:sz w:val="20"/>
        </w:rPr>
        <w:t>Probability</w:t>
      </w:r>
      <w:r>
        <w:rPr>
          <w:rFonts w:ascii="Times New Roman" w:hAnsi="Times New Roman" w:cs="Times New Roman"/>
          <w:b w:val="0"/>
          <w:i w:val="0"/>
          <w:sz w:val="20"/>
        </w:rPr>
        <w:t xml:space="preserve"> is suited when the data-generation process can be modelled with a likelihood. The bootstrap Lotka profile of Section 5.2 is in fact a probabilistic computation, and the neutrosophic profile inherits its statistical foundation. However, for the </w:t>
      </w:r>
      <w:r>
        <w:rPr>
          <w:rFonts w:ascii="Times New Roman" w:hAnsi="Times New Roman" w:cs="Times New Roman"/>
          <w:b w:val="0"/>
          <w:i/>
          <w:sz w:val="20"/>
        </w:rPr>
        <w:t>h</w:t>
      </w:r>
      <w:r>
        <w:rPr>
          <w:rFonts w:ascii="Times New Roman" w:hAnsi="Times New Roman" w:cs="Times New Roman"/>
          <w:b w:val="0"/>
          <w:i w:val="0"/>
          <w:sz w:val="20"/>
        </w:rPr>
        <w:t>-index and Bradford membership, no single likelihood model captures the multiplicity of independent sources; the neutrosophic triple naturally accommodates this without forcing a Bayesian commitment to a prior.</w:t>
      </w:r>
    </w:p>
    <w:p>
      <w:pPr>
        <w:spacing w:after="80"/>
        <w:ind w:firstLine="340"/>
        <w:jc w:val="both"/>
      </w:pPr>
      <w:r>
        <w:rPr>
          <w:rFonts w:ascii="Times New Roman" w:hAnsi="Times New Roman" w:cs="Times New Roman"/>
          <w:b w:val="0"/>
          <w:i/>
          <w:sz w:val="20"/>
        </w:rPr>
        <w:t>Fuzzy sets</w:t>
      </w:r>
      <w:r>
        <w:rPr>
          <w:rFonts w:ascii="Times New Roman" w:hAnsi="Times New Roman" w:cs="Times New Roman"/>
          <w:b w:val="0"/>
          <w:i w:val="0"/>
          <w:sz w:val="20"/>
        </w:rPr>
        <w:t xml:space="preserve"> model graded membership but lack a separate falsity component. The Bradford profile of Table 1 illustrates the value of an explicit F: a journal with T = 0.2 and F = 0.5 is qualitatively different from one with T = 0.2 and F = 0.0, even though both have identical T. Fuzzy sets cannot make this distinction.</w:t>
      </w:r>
    </w:p>
    <w:p>
      <w:pPr>
        <w:spacing w:after="80"/>
        <w:ind w:firstLine="340"/>
        <w:jc w:val="both"/>
      </w:pPr>
      <w:r>
        <w:rPr>
          <w:rFonts w:ascii="Times New Roman" w:hAnsi="Times New Roman" w:cs="Times New Roman"/>
          <w:b w:val="0"/>
          <w:i/>
          <w:sz w:val="20"/>
        </w:rPr>
        <w:t>Intuitionistic fuzzy sets</w:t>
      </w:r>
      <w:r>
        <w:rPr>
          <w:rFonts w:ascii="Times New Roman" w:hAnsi="Times New Roman" w:cs="Times New Roman"/>
          <w:b w:val="0"/>
          <w:i w:val="0"/>
          <w:sz w:val="20"/>
        </w:rPr>
        <w:t xml:space="preserve"> introduce a non-membership degree but maintain the constraint T + F ≤ 1 with hesitancy as a derived quantity. Neutrosophy relaxes this constraint, allowing T + I + F ≤ 3 and treating I as an independent measurement. For bibliometric data this relaxation matches the empirical situation: an article can be cited in multiple sources (high T) and contested or under-cited in others (high F, possibly with high I) — a configuration that intuitionistic fuzzy sets cannot represent.</w:t>
      </w:r>
    </w:p>
    <w:p>
      <w:pPr>
        <w:spacing w:after="80"/>
        <w:ind w:firstLine="340"/>
        <w:jc w:val="both"/>
      </w:pPr>
      <w:r>
        <w:rPr>
          <w:rFonts w:ascii="Times New Roman" w:hAnsi="Times New Roman" w:cs="Times New Roman"/>
          <w:b w:val="0"/>
          <w:i w:val="0"/>
          <w:sz w:val="20"/>
        </w:rPr>
        <w:t>In sum, the neutrosophic formalism is not the only choice; it is the most natural choice given the structure of the data and the desire to report indeterminacy explicitly rather than collapse it.</w:t>
      </w:r>
    </w:p>
    <w:p>
      <w:pPr>
        <w:spacing w:before="280" w:after="120"/>
      </w:pPr>
      <w:r>
        <w:rPr>
          <w:rFonts w:ascii="Arial" w:hAnsi="Arial" w:cs="Arial"/>
          <w:b/>
          <w:i w:val="0"/>
          <w:sz w:val="24"/>
        </w:rPr>
        <w:t>7. Conclusions and Future Work</w:t>
      </w:r>
    </w:p>
    <w:p>
      <w:pPr>
        <w:spacing w:before="200" w:after="80"/>
      </w:pPr>
      <w:r>
        <w:rPr>
          <w:rFonts w:ascii="Arial" w:hAnsi="Arial" w:cs="Arial"/>
          <w:b/>
          <w:i w:val="0"/>
          <w:sz w:val="22"/>
        </w:rPr>
        <w:t>7.1 Conclusions</w:t>
      </w:r>
    </w:p>
    <w:p>
      <w:pPr>
        <w:spacing w:after="80"/>
        <w:ind w:firstLine="340"/>
        <w:jc w:val="both"/>
      </w:pPr>
      <w:r>
        <w:rPr>
          <w:rFonts w:ascii="Times New Roman" w:hAnsi="Times New Roman" w:cs="Times New Roman"/>
          <w:b w:val="0"/>
          <w:i w:val="0"/>
          <w:sz w:val="20"/>
        </w:rPr>
        <w:t xml:space="preserve">We have presented a neutrosophic framework for bibliometric analysis that extends five classical indicators — </w:t>
      </w:r>
      <w:r>
        <w:rPr>
          <w:rFonts w:ascii="Times New Roman" w:hAnsi="Times New Roman" w:cs="Times New Roman"/>
          <w:b w:val="0"/>
          <w:i/>
          <w:sz w:val="20"/>
        </w:rPr>
        <w:t>h</w:t>
      </w:r>
      <w:r>
        <w:rPr>
          <w:rFonts w:ascii="Times New Roman" w:hAnsi="Times New Roman" w:cs="Times New Roman"/>
          <w:b w:val="0"/>
          <w:i w:val="0"/>
          <w:sz w:val="20"/>
        </w:rPr>
        <w:t>-index, Lotka exponent, Bradford zone membership, document–topic membership, and co-authorship edge weight — into single-valued neutrosophic triples (T, I, F). The framework computes the indeterminacy component directly from the data, avoiding the criticism that neutrosophic methods are decorative overlays on top of crisp computations. Each extension reduces to its classical counterpart by collapsing the indeterminacy component, so the framework is strictly informationally richer than the classical baseline rather than an alternative requiring methodological commitment.</w:t>
      </w:r>
    </w:p>
    <w:p>
      <w:pPr>
        <w:spacing w:after="80"/>
        <w:ind w:firstLine="340"/>
        <w:jc w:val="both"/>
      </w:pPr>
      <w:r>
        <w:rPr>
          <w:rFonts w:ascii="Times New Roman" w:hAnsi="Times New Roman" w:cs="Times New Roman"/>
          <w:b w:val="0"/>
          <w:i w:val="0"/>
          <w:sz w:val="20"/>
        </w:rPr>
        <w:t xml:space="preserve">The empirical case study on </w:t>
      </w:r>
      <w:r>
        <w:rPr>
          <w:rFonts w:ascii="Times New Roman" w:hAnsi="Times New Roman" w:cs="Times New Roman"/>
          <w:b w:val="0"/>
          <w:i/>
          <w:sz w:val="20"/>
        </w:rPr>
        <w:t>Neutrosophic Computing and Machine Learning</w:t>
      </w:r>
      <w:r>
        <w:rPr>
          <w:rFonts w:ascii="Times New Roman" w:hAnsi="Times New Roman" w:cs="Times New Roman"/>
          <w:b w:val="0"/>
          <w:i w:val="0"/>
          <w:sz w:val="20"/>
        </w:rPr>
        <w:t xml:space="preserve"> (NCML, 762 articles, 2018–2026) demonstrated five substantive findings:</w:t>
      </w:r>
    </w:p>
    <w:p>
      <w:pPr>
        <w:pStyle w:val="ListBullet"/>
        <w:spacing w:after="40"/>
      </w:pPr>
      <w:r>
        <w:rPr>
          <w:rFonts w:ascii="Times New Roman" w:hAnsi="Times New Roman" w:cs="Times New Roman"/>
          <w:b w:val="0"/>
          <w:i w:val="0"/>
          <w:sz w:val="20"/>
        </w:rPr>
        <w:t xml:space="preserve">The neutrosophic </w:t>
      </w:r>
      <w:r>
        <w:rPr>
          <w:rFonts w:ascii="Times New Roman" w:hAnsi="Times New Roman" w:cs="Times New Roman"/>
          <w:b w:val="0"/>
          <w:i/>
          <w:sz w:val="20"/>
        </w:rPr>
        <w:t>h</w:t>
      </w:r>
      <w:r>
        <w:rPr>
          <w:rFonts w:ascii="Times New Roman" w:hAnsi="Times New Roman" w:cs="Times New Roman"/>
          <w:b w:val="0"/>
          <w:i w:val="0"/>
          <w:sz w:val="20"/>
        </w:rPr>
        <w:t>-index reveals that 50 % of articles in the</w:t>
      </w:r>
    </w:p>
    <w:p>
      <w:pPr>
        <w:spacing w:after="80"/>
        <w:ind w:firstLine="340"/>
        <w:jc w:val="both"/>
      </w:pPr>
      <w:r>
        <w:rPr>
          <w:rFonts w:ascii="Times New Roman" w:hAnsi="Times New Roman" w:cs="Times New Roman"/>
          <w:b w:val="0"/>
          <w:i w:val="0"/>
          <w:sz w:val="20"/>
        </w:rPr>
        <w:t>evaluated sample sit in an evidential limbo where the citation evidence depends on the source consulted, a fact that classical reporting hides.</w:t>
      </w:r>
    </w:p>
    <w:p>
      <w:pPr>
        <w:pStyle w:val="ListBullet"/>
        <w:spacing w:after="40"/>
      </w:pPr>
      <w:r>
        <w:rPr>
          <w:rFonts w:ascii="Times New Roman" w:hAnsi="Times New Roman" w:cs="Times New Roman"/>
          <w:b w:val="0"/>
          <w:i w:val="0"/>
          <w:sz w:val="20"/>
        </w:rPr>
        <w:t>The bootstrap Lotka profile resolves the apparent contradiction</w:t>
      </w:r>
    </w:p>
    <w:p>
      <w:pPr>
        <w:spacing w:after="80"/>
        <w:ind w:firstLine="340"/>
        <w:jc w:val="both"/>
      </w:pPr>
      <w:r>
        <w:rPr>
          <w:rFonts w:ascii="Times New Roman" w:hAnsi="Times New Roman" w:cs="Times New Roman"/>
          <w:b w:val="0"/>
          <w:i w:val="0"/>
          <w:sz w:val="20"/>
        </w:rPr>
        <w:t>between a classical exponent and a failed shape test, attributing the divergence to the journal's training-venue function.</w:t>
      </w:r>
    </w:p>
    <w:p>
      <w:pPr>
        <w:pStyle w:val="ListBullet"/>
        <w:spacing w:after="40"/>
      </w:pPr>
      <w:r>
        <w:rPr>
          <w:rFonts w:ascii="Times New Roman" w:hAnsi="Times New Roman" w:cs="Times New Roman"/>
          <w:b w:val="0"/>
          <w:i w:val="0"/>
          <w:sz w:val="20"/>
        </w:rPr>
        <w:t>The graded Bradford nucleus membership distinguishes strong-nucleus</w:t>
      </w:r>
    </w:p>
    <w:p>
      <w:pPr>
        <w:spacing w:after="80"/>
        <w:ind w:firstLine="340"/>
        <w:jc w:val="both"/>
      </w:pPr>
      <w:r>
        <w:rPr>
          <w:rFonts w:ascii="Times New Roman" w:hAnsi="Times New Roman" w:cs="Times New Roman"/>
          <w:b w:val="0"/>
          <w:i w:val="0"/>
          <w:sz w:val="20"/>
        </w:rPr>
        <w:t>journals (T &gt; 0.7) from boundary-nucleus and peripheral journals, enabling differentiated editorial policy.</w:t>
      </w:r>
    </w:p>
    <w:p>
      <w:pPr>
        <w:pStyle w:val="ListBullet"/>
        <w:spacing w:after="40"/>
      </w:pPr>
      <w:r>
        <w:rPr>
          <w:rFonts w:ascii="Times New Roman" w:hAnsi="Times New Roman" w:cs="Times New Roman"/>
          <w:b w:val="0"/>
          <w:i w:val="0"/>
          <w:sz w:val="20"/>
        </w:rPr>
        <w:t>The neutrosophic co-authorship profile reduces the journal's</w:t>
      </w:r>
    </w:p>
    <w:p>
      <w:pPr>
        <w:spacing w:after="80"/>
        <w:ind w:firstLine="340"/>
        <w:jc w:val="both"/>
      </w:pPr>
      <w:r>
        <w:rPr>
          <w:rFonts w:ascii="Times New Roman" w:hAnsi="Times New Roman" w:cs="Times New Roman"/>
          <w:b w:val="0"/>
          <w:i w:val="0"/>
          <w:sz w:val="20"/>
        </w:rPr>
        <w:t>intellectual integration metric (modularity) from the spectacular classical value of 0.96 to a more honest 0.81 once single-paper collaborations are recognised as opportunistic rather than consolidated.</w:t>
      </w:r>
    </w:p>
    <w:p>
      <w:pPr>
        <w:pStyle w:val="ListBullet"/>
        <w:spacing w:after="40"/>
      </w:pPr>
      <w:r>
        <w:rPr>
          <w:rFonts w:ascii="Times New Roman" w:hAnsi="Times New Roman" w:cs="Times New Roman"/>
          <w:b w:val="0"/>
          <w:i w:val="0"/>
          <w:sz w:val="20"/>
        </w:rPr>
        <w:t>**The SVNWA aggregated ranking of 146 authors diverges substantially</w:t>
      </w:r>
    </w:p>
    <w:p>
      <w:pPr>
        <w:spacing w:after="80"/>
        <w:ind w:firstLine="340"/>
        <w:jc w:val="both"/>
      </w:pPr>
      <w:r>
        <w:rPr>
          <w:rFonts w:ascii="Times New Roman" w:hAnsi="Times New Roman" w:cs="Times New Roman"/>
          <w:b w:val="0"/>
          <w:i w:val="0"/>
          <w:sz w:val="20"/>
        </w:rPr>
        <w:t>from the classical article-count ranking** (Kendall τ = 0.20, top-10 overlap 5/10), a divergence that cannot be reproduced by alternative uncertainty formalisms without introducing structure equivalent to the (T, I, F) triple. This is the operative validation that the framework yields information unreachable by classical, probabilistic, fuzzy, or intuitionistic-fuzzy techniques; it also re-orders the journal's visible leadership in editorially interpretable ways.</w:t>
      </w:r>
    </w:p>
    <w:p>
      <w:pPr>
        <w:spacing w:before="200" w:after="80"/>
      </w:pPr>
      <w:r>
        <w:rPr>
          <w:rFonts w:ascii="Arial" w:hAnsi="Arial" w:cs="Arial"/>
          <w:b/>
          <w:i w:val="0"/>
          <w:sz w:val="22"/>
        </w:rPr>
        <w:t>7.2 Future work</w:t>
      </w:r>
    </w:p>
    <w:p>
      <w:pPr>
        <w:spacing w:after="80"/>
        <w:ind w:firstLine="340"/>
        <w:jc w:val="both"/>
      </w:pPr>
      <w:r>
        <w:rPr>
          <w:rFonts w:ascii="Times New Roman" w:hAnsi="Times New Roman" w:cs="Times New Roman"/>
          <w:b w:val="0"/>
          <w:i w:val="0"/>
          <w:sz w:val="20"/>
        </w:rPr>
        <w:t>Five lines of extension are immediate.</w:t>
      </w:r>
    </w:p>
    <w:p>
      <w:pPr>
        <w:spacing w:after="80"/>
        <w:ind w:firstLine="340"/>
        <w:jc w:val="both"/>
      </w:pPr>
      <w:r>
        <w:rPr>
          <w:rFonts w:ascii="Times New Roman" w:hAnsi="Times New Roman" w:cs="Times New Roman"/>
          <w:b w:val="0"/>
          <w:i w:val="0"/>
          <w:sz w:val="20"/>
        </w:rPr>
        <w:t xml:space="preserve">1. </w:t>
      </w:r>
      <w:r>
        <w:rPr>
          <w:rFonts w:ascii="Times New Roman" w:hAnsi="Times New Roman" w:cs="Times New Roman"/>
          <w:b/>
          <w:i w:val="0"/>
          <w:sz w:val="20"/>
        </w:rPr>
        <w:t>Cross-journal comparison.</w:t>
      </w:r>
      <w:r>
        <w:rPr>
          <w:rFonts w:ascii="Times New Roman" w:hAnsi="Times New Roman" w:cs="Times New Roman"/>
          <w:b w:val="0"/>
          <w:i w:val="0"/>
          <w:sz w:val="20"/>
        </w:rPr>
        <w:t xml:space="preserve"> Applying the framework to </w:t>
      </w:r>
      <w:r>
        <w:rPr>
          <w:rFonts w:ascii="Times New Roman" w:hAnsi="Times New Roman" w:cs="Times New Roman"/>
          <w:b w:val="0"/>
          <w:i/>
          <w:sz w:val="20"/>
        </w:rPr>
        <w:t>Neutrosophic Sets and Systems</w:t>
      </w:r>
      <w:r>
        <w:rPr>
          <w:rFonts w:ascii="Times New Roman" w:hAnsi="Times New Roman" w:cs="Times New Roman"/>
          <w:b w:val="0"/>
          <w:i w:val="0"/>
          <w:sz w:val="20"/>
        </w:rPr>
        <w:t xml:space="preserve"> (NSS) and the </w:t>
      </w:r>
      <w:r>
        <w:rPr>
          <w:rFonts w:ascii="Times New Roman" w:hAnsi="Times New Roman" w:cs="Times New Roman"/>
          <w:b w:val="0"/>
          <w:i/>
          <w:sz w:val="20"/>
        </w:rPr>
        <w:t>International Journal of Neutrosophic Science</w:t>
      </w:r>
      <w:r>
        <w:rPr>
          <w:rFonts w:ascii="Times New Roman" w:hAnsi="Times New Roman" w:cs="Times New Roman"/>
          <w:b w:val="0"/>
          <w:i w:val="0"/>
          <w:sz w:val="20"/>
        </w:rPr>
        <w:t xml:space="preserve"> (IJNS) would yield a comparative neutrosophic profile of the entire neutrosophic publication ecosystem. We anticipate that NSS, being Scopus-indexed since 2021, will exhibit substantially higher T_h and lower I_h than NCML.</w:t>
      </w:r>
    </w:p>
    <w:p>
      <w:pPr>
        <w:spacing w:after="80"/>
        <w:ind w:firstLine="340"/>
        <w:jc w:val="both"/>
      </w:pPr>
      <w:r>
        <w:rPr>
          <w:rFonts w:ascii="Times New Roman" w:hAnsi="Times New Roman" w:cs="Times New Roman"/>
          <w:b w:val="0"/>
          <w:i w:val="0"/>
          <w:sz w:val="20"/>
        </w:rPr>
        <w:t xml:space="preserve">2. </w:t>
      </w:r>
      <w:r>
        <w:rPr>
          <w:rFonts w:ascii="Times New Roman" w:hAnsi="Times New Roman" w:cs="Times New Roman"/>
          <w:b/>
          <w:i w:val="0"/>
          <w:sz w:val="20"/>
        </w:rPr>
        <w:t>Bayesian dual.</w:t>
      </w:r>
      <w:r>
        <w:rPr>
          <w:rFonts w:ascii="Times New Roman" w:hAnsi="Times New Roman" w:cs="Times New Roman"/>
          <w:b w:val="0"/>
          <w:i w:val="0"/>
          <w:sz w:val="20"/>
        </w:rPr>
        <w:t xml:space="preserve"> Each neutrosophic triple admits a Bayesian re-interpretation in which T, I, F correspond to posterior probabilities over an evidential partition. Formalising this dual would address the comparison-with-Bayesian-alternatives concern in Woodall et al. [9] and produce a unified inferential framework.</w:t>
      </w:r>
    </w:p>
    <w:p>
      <w:pPr>
        <w:spacing w:after="80"/>
        <w:ind w:firstLine="340"/>
        <w:jc w:val="both"/>
      </w:pPr>
      <w:r>
        <w:rPr>
          <w:rFonts w:ascii="Times New Roman" w:hAnsi="Times New Roman" w:cs="Times New Roman"/>
          <w:b w:val="0"/>
          <w:i w:val="0"/>
          <w:sz w:val="20"/>
        </w:rPr>
        <w:t xml:space="preserve">3. </w:t>
      </w:r>
      <w:r>
        <w:rPr>
          <w:rFonts w:ascii="Times New Roman" w:hAnsi="Times New Roman" w:cs="Times New Roman"/>
          <w:b/>
          <w:i w:val="0"/>
          <w:sz w:val="20"/>
        </w:rPr>
        <w:t>Plithogenic generalisation.</w:t>
      </w:r>
      <w:r>
        <w:rPr>
          <w:rFonts w:ascii="Times New Roman" w:hAnsi="Times New Roman" w:cs="Times New Roman"/>
          <w:b w:val="0"/>
          <w:i w:val="0"/>
          <w:sz w:val="20"/>
        </w:rPr>
        <w:t xml:space="preserve"> Plithogenic logic [21] generalises neutrosophy by allowing each attribute to take multiple values, each with its own degree. The bibliometric framework can be extended into plithogenic form to capture, for example, the multi-source citation evidence as a degree distribution over sources rather than as a single triple per source-pair.</w:t>
      </w:r>
    </w:p>
    <w:p>
      <w:pPr>
        <w:spacing w:after="80"/>
        <w:ind w:firstLine="340"/>
        <w:jc w:val="both"/>
      </w:pPr>
      <w:r>
        <w:rPr>
          <w:rFonts w:ascii="Times New Roman" w:hAnsi="Times New Roman" w:cs="Times New Roman"/>
          <w:b w:val="0"/>
          <w:i w:val="0"/>
          <w:sz w:val="20"/>
        </w:rPr>
        <w:t xml:space="preserve">4. </w:t>
      </w:r>
      <w:r>
        <w:rPr>
          <w:rFonts w:ascii="Times New Roman" w:hAnsi="Times New Roman" w:cs="Times New Roman"/>
          <w:b/>
          <w:i w:val="0"/>
          <w:sz w:val="20"/>
        </w:rPr>
        <w:t>Larger Scholar samples.</w:t>
      </w:r>
      <w:r>
        <w:rPr>
          <w:rFonts w:ascii="Times New Roman" w:hAnsi="Times New Roman" w:cs="Times New Roman"/>
          <w:b w:val="0"/>
          <w:i w:val="0"/>
          <w:sz w:val="20"/>
        </w:rPr>
        <w:t xml:space="preserve"> The neutrosophic </w:t>
      </w:r>
      <w:r>
        <w:rPr>
          <w:rFonts w:ascii="Times New Roman" w:hAnsi="Times New Roman" w:cs="Times New Roman"/>
          <w:b w:val="0"/>
          <w:i/>
          <w:sz w:val="20"/>
        </w:rPr>
        <w:t>h</w:t>
      </w:r>
      <w:r>
        <w:rPr>
          <w:rFonts w:ascii="Times New Roman" w:hAnsi="Times New Roman" w:cs="Times New Roman"/>
          <w:b w:val="0"/>
          <w:i w:val="0"/>
          <w:sz w:val="20"/>
        </w:rPr>
        <w:t>-index was computed on a 26-article sample. Scaling to the full corpus requires either a paid Scholar API access (e.g., SerpAPI) or a distributed scraping pipeline. The framework itself is unchanged; only the empirical precision of T, I, F at the journal level improves.</w:t>
      </w:r>
    </w:p>
    <w:p>
      <w:pPr>
        <w:spacing w:after="80"/>
        <w:ind w:firstLine="340"/>
        <w:jc w:val="both"/>
      </w:pPr>
      <w:r>
        <w:rPr>
          <w:rFonts w:ascii="Times New Roman" w:hAnsi="Times New Roman" w:cs="Times New Roman"/>
          <w:b w:val="0"/>
          <w:i w:val="0"/>
          <w:sz w:val="20"/>
        </w:rPr>
        <w:t xml:space="preserve">5. </w:t>
      </w:r>
      <w:r>
        <w:rPr>
          <w:rFonts w:ascii="Times New Roman" w:hAnsi="Times New Roman" w:cs="Times New Roman"/>
          <w:b/>
          <w:i w:val="0"/>
          <w:sz w:val="20"/>
        </w:rPr>
        <w:t>Adoption by other journals.</w:t>
      </w:r>
      <w:r>
        <w:rPr>
          <w:rFonts w:ascii="Times New Roman" w:hAnsi="Times New Roman" w:cs="Times New Roman"/>
          <w:b w:val="0"/>
          <w:i w:val="0"/>
          <w:sz w:val="20"/>
        </w:rPr>
        <w:t xml:space="preserve"> The framework is journal-agnostic. Editorial boards of any open-access journal with multiple citation sources of partial overlap (typical of all journals indexed in OpenAlex but not in Scopus, or vice versa) can apply the same pipeline. We invite replication and welcome reports of cases where the indeterminacy component is small (suggesting source-redundant coverage) or large (suggesting that single-source reporting is misleading).</w:t>
      </w:r>
    </w:p>
    <w:p>
      <w:pPr>
        <w:spacing w:before="200" w:after="80"/>
      </w:pPr>
      <w:r>
        <w:rPr>
          <w:rFonts w:ascii="Arial" w:hAnsi="Arial" w:cs="Arial"/>
          <w:b/>
          <w:i w:val="0"/>
          <w:sz w:val="22"/>
        </w:rPr>
        <w:t>7.3 Closing remark</w:t>
      </w:r>
    </w:p>
    <w:p>
      <w:pPr>
        <w:spacing w:after="80"/>
        <w:ind w:firstLine="340"/>
        <w:jc w:val="both"/>
      </w:pPr>
      <w:r>
        <w:rPr>
          <w:rFonts w:ascii="Times New Roman" w:hAnsi="Times New Roman" w:cs="Times New Roman"/>
          <w:b w:val="0"/>
          <w:i w:val="0"/>
          <w:sz w:val="20"/>
        </w:rPr>
        <w:t xml:space="preserve">The neutrosophic framework presented here is a methodological contribution to bibliometric measurement, not a panegyric of neutrosophic logic. Its value rests on a single empirical claim: in contemporary bibliographic data, the indeterminacy of citation evidence, of model fit, of zone membership, of topic assignment, and of collaboration intensity is </w:t>
      </w:r>
      <w:r>
        <w:rPr>
          <w:rFonts w:ascii="Times New Roman" w:hAnsi="Times New Roman" w:cs="Times New Roman"/>
          <w:b w:val="0"/>
          <w:i/>
          <w:sz w:val="20"/>
        </w:rPr>
        <w:t>measurable</w:t>
      </w:r>
      <w:r>
        <w:rPr>
          <w:rFonts w:ascii="Times New Roman" w:hAnsi="Times New Roman" w:cs="Times New Roman"/>
          <w:b w:val="0"/>
          <w:i w:val="0"/>
          <w:sz w:val="20"/>
        </w:rPr>
        <w:t xml:space="preserve"> and </w:t>
      </w:r>
      <w:r>
        <w:rPr>
          <w:rFonts w:ascii="Times New Roman" w:hAnsi="Times New Roman" w:cs="Times New Roman"/>
          <w:b w:val="0"/>
          <w:i/>
          <w:sz w:val="20"/>
        </w:rPr>
        <w:t>substantial</w:t>
      </w:r>
      <w:r>
        <w:rPr>
          <w:rFonts w:ascii="Times New Roman" w:hAnsi="Times New Roman" w:cs="Times New Roman"/>
          <w:b w:val="0"/>
          <w:i w:val="0"/>
          <w:sz w:val="20"/>
        </w:rPr>
        <w:t>. Reporting this indeterminacy explicitly is more informative than concealing it behind a single number. Whether the formalism used to report the indeterminacy is neutrosophic, fuzzy, intuitionistic-fuzzy, or probabilistic is, for the editorial purposes that motivated this paper, a secondary matter. The neutrosophic formalism happens to fit the data structure naturally; we leave to other researchers the task of demonstrating that an alternative formalism fits better.</w:t>
      </w:r>
    </w:p>
    <w:p>
      <w:pPr>
        <w:spacing w:before="280" w:after="120"/>
      </w:pPr>
      <w:r>
        <w:rPr>
          <w:rFonts w:ascii="Arial" w:hAnsi="Arial" w:cs="Arial"/>
          <w:b/>
          <w:i w:val="0"/>
          <w:sz w:val="24"/>
        </w:rPr>
        <w:t>References</w:t>
      </w:r>
    </w:p>
    <w:p>
      <w:pPr>
        <w:spacing w:after="80"/>
        <w:ind w:firstLine="340"/>
        <w:jc w:val="both"/>
      </w:pPr>
      <w:r>
        <w:rPr>
          <w:rFonts w:ascii="Times New Roman" w:hAnsi="Times New Roman" w:cs="Times New Roman"/>
          <w:b w:val="0"/>
          <w:i w:val="0"/>
          <w:sz w:val="20"/>
        </w:rPr>
        <w:t xml:space="preserve">[1] Harzing, A.-W. K., &amp; van der Wal, R. (2008). Google Scholar as a new source for citation analysis. </w:t>
      </w:r>
      <w:r>
        <w:rPr>
          <w:rFonts w:ascii="Times New Roman" w:hAnsi="Times New Roman" w:cs="Times New Roman"/>
          <w:b w:val="0"/>
          <w:i/>
          <w:sz w:val="20"/>
        </w:rPr>
        <w:t>Ethics in Science and Environmental Politics</w:t>
      </w:r>
      <w:r>
        <w:rPr>
          <w:rFonts w:ascii="Times New Roman" w:hAnsi="Times New Roman" w:cs="Times New Roman"/>
          <w:b w:val="0"/>
          <w:i w:val="0"/>
          <w:sz w:val="20"/>
        </w:rPr>
        <w:t>, 8(1), 61–73. https://doi.org/10.3354/esep00076</w:t>
      </w:r>
    </w:p>
    <w:p>
      <w:pPr>
        <w:spacing w:after="80"/>
        <w:ind w:firstLine="340"/>
        <w:jc w:val="both"/>
      </w:pPr>
      <w:r>
        <w:rPr>
          <w:rFonts w:ascii="Times New Roman" w:hAnsi="Times New Roman" w:cs="Times New Roman"/>
          <w:b w:val="0"/>
          <w:i w:val="0"/>
          <w:sz w:val="20"/>
        </w:rPr>
        <w:t xml:space="preserve">[2] Martin-Martin, A., Thelwall, M., Orduna-Malea, E., &amp; Delgado Lopez-Cozar, E. (2021). Google Scholar, Microsoft Academic, Scopus, Dimensions, Web of Science, and OpenCitations' COCI: a multidisciplinary comparison of coverage via citations. </w:t>
      </w:r>
      <w:r>
        <w:rPr>
          <w:rFonts w:ascii="Times New Roman" w:hAnsi="Times New Roman" w:cs="Times New Roman"/>
          <w:b w:val="0"/>
          <w:i/>
          <w:sz w:val="20"/>
        </w:rPr>
        <w:t>Scientometrics</w:t>
      </w:r>
      <w:r>
        <w:rPr>
          <w:rFonts w:ascii="Times New Roman" w:hAnsi="Times New Roman" w:cs="Times New Roman"/>
          <w:b w:val="0"/>
          <w:i w:val="0"/>
          <w:sz w:val="20"/>
        </w:rPr>
        <w:t>, 126(1), 871–906. https://doi.org/10.1007/s11192-020-03690-4</w:t>
      </w:r>
    </w:p>
    <w:p>
      <w:pPr>
        <w:spacing w:after="80"/>
        <w:ind w:firstLine="340"/>
        <w:jc w:val="both"/>
      </w:pPr>
      <w:r>
        <w:rPr>
          <w:rFonts w:ascii="Times New Roman" w:hAnsi="Times New Roman" w:cs="Times New Roman"/>
          <w:b w:val="0"/>
          <w:i w:val="0"/>
          <w:sz w:val="20"/>
        </w:rPr>
        <w:t xml:space="preserve">[3] Smarandache, F. (1998). </w:t>
      </w:r>
      <w:r>
        <w:rPr>
          <w:rFonts w:ascii="Times New Roman" w:hAnsi="Times New Roman" w:cs="Times New Roman"/>
          <w:b w:val="0"/>
          <w:i/>
          <w:sz w:val="20"/>
        </w:rPr>
        <w:t>A Unifying Field in Logics: Neutrosophic Logic. Neutrosophy, Neutrosophic Set, Neutrosophic Probability</w:t>
      </w:r>
      <w:r>
        <w:rPr>
          <w:rFonts w:ascii="Times New Roman" w:hAnsi="Times New Roman" w:cs="Times New Roman"/>
          <w:b w:val="0"/>
          <w:i w:val="0"/>
          <w:sz w:val="20"/>
        </w:rPr>
        <w:t>. Rehoboth, NM: American Research Press.</w:t>
      </w:r>
    </w:p>
    <w:p>
      <w:pPr>
        <w:spacing w:after="80"/>
        <w:ind w:firstLine="340"/>
        <w:jc w:val="both"/>
      </w:pPr>
      <w:r>
        <w:rPr>
          <w:rFonts w:ascii="Times New Roman" w:hAnsi="Times New Roman" w:cs="Times New Roman"/>
          <w:b w:val="0"/>
          <w:i w:val="0"/>
          <w:sz w:val="20"/>
        </w:rPr>
        <w:t xml:space="preserve">[4] Smarandache, F. (1999). </w:t>
      </w:r>
      <w:r>
        <w:rPr>
          <w:rFonts w:ascii="Times New Roman" w:hAnsi="Times New Roman" w:cs="Times New Roman"/>
          <w:b w:val="0"/>
          <w:i/>
          <w:sz w:val="20"/>
        </w:rPr>
        <w:t>A Unifying Field in Logics: Neutrosophic Logic. Neutrosophy, Neutrosophic Set, Neutrosophic Probability and Statistics</w:t>
      </w:r>
      <w:r>
        <w:rPr>
          <w:rFonts w:ascii="Times New Roman" w:hAnsi="Times New Roman" w:cs="Times New Roman"/>
          <w:b w:val="0"/>
          <w:i w:val="0"/>
          <w:sz w:val="20"/>
        </w:rPr>
        <w:t xml:space="preserve"> (2nd ed.). Rehoboth, NM: American Research Press.</w:t>
      </w:r>
    </w:p>
    <w:p>
      <w:pPr>
        <w:spacing w:after="80"/>
        <w:ind w:firstLine="340"/>
        <w:jc w:val="both"/>
      </w:pPr>
      <w:r>
        <w:rPr>
          <w:rFonts w:ascii="Times New Roman" w:hAnsi="Times New Roman" w:cs="Times New Roman"/>
          <w:b w:val="0"/>
          <w:i w:val="0"/>
          <w:sz w:val="20"/>
        </w:rPr>
        <w:t xml:space="preserve">[5] Wang, H., Smarandache, F., Zhang, Y. Q., &amp; Sunderraman, R. (2010). Single valued neutrosophic sets. </w:t>
      </w:r>
      <w:r>
        <w:rPr>
          <w:rFonts w:ascii="Times New Roman" w:hAnsi="Times New Roman" w:cs="Times New Roman"/>
          <w:b w:val="0"/>
          <w:i/>
          <w:sz w:val="20"/>
        </w:rPr>
        <w:t>Multispace and Multistructure</w:t>
      </w:r>
      <w:r>
        <w:rPr>
          <w:rFonts w:ascii="Times New Roman" w:hAnsi="Times New Roman" w:cs="Times New Roman"/>
          <w:b w:val="0"/>
          <w:i w:val="0"/>
          <w:sz w:val="20"/>
        </w:rPr>
        <w:t>, 4, 410–413.</w:t>
      </w:r>
    </w:p>
    <w:p>
      <w:pPr>
        <w:spacing w:after="80"/>
        <w:ind w:firstLine="340"/>
        <w:jc w:val="both"/>
      </w:pPr>
      <w:r>
        <w:rPr>
          <w:rFonts w:ascii="Times New Roman" w:hAnsi="Times New Roman" w:cs="Times New Roman"/>
          <w:b w:val="0"/>
          <w:i w:val="0"/>
          <w:sz w:val="20"/>
        </w:rPr>
        <w:t xml:space="preserve">[6] Pramanik, S., Mallick, R., &amp; Dasgupta, A. (2018). Contributions of selected Indian researchers to multi-attribute decision making in neutrosophic environment: An overview. </w:t>
      </w:r>
      <w:r>
        <w:rPr>
          <w:rFonts w:ascii="Times New Roman" w:hAnsi="Times New Roman" w:cs="Times New Roman"/>
          <w:b w:val="0"/>
          <w:i/>
          <w:sz w:val="20"/>
        </w:rPr>
        <w:t>Neutrosophic Sets and Systems</w:t>
      </w:r>
      <w:r>
        <w:rPr>
          <w:rFonts w:ascii="Times New Roman" w:hAnsi="Times New Roman" w:cs="Times New Roman"/>
          <w:b w:val="0"/>
          <w:i w:val="0"/>
          <w:sz w:val="20"/>
        </w:rPr>
        <w:t>, 20, 109–130.</w:t>
      </w:r>
    </w:p>
    <w:p>
      <w:pPr>
        <w:spacing w:after="80"/>
        <w:ind w:firstLine="340"/>
        <w:jc w:val="both"/>
      </w:pPr>
      <w:r>
        <w:rPr>
          <w:rFonts w:ascii="Times New Roman" w:hAnsi="Times New Roman" w:cs="Times New Roman"/>
          <w:b w:val="0"/>
          <w:i w:val="0"/>
          <w:sz w:val="20"/>
        </w:rPr>
        <w:t xml:space="preserve">[7] Abdel-Basset, M., Mohamed, M., &amp; Smarandache, F. (2018). An extension of neutrosophic AHP–SWOT analysis for strategic planning and decision-making. </w:t>
      </w:r>
      <w:r>
        <w:rPr>
          <w:rFonts w:ascii="Times New Roman" w:hAnsi="Times New Roman" w:cs="Times New Roman"/>
          <w:b w:val="0"/>
          <w:i/>
          <w:sz w:val="20"/>
        </w:rPr>
        <w:t>Symmetry</w:t>
      </w:r>
      <w:r>
        <w:rPr>
          <w:rFonts w:ascii="Times New Roman" w:hAnsi="Times New Roman" w:cs="Times New Roman"/>
          <w:b w:val="0"/>
          <w:i w:val="0"/>
          <w:sz w:val="20"/>
        </w:rPr>
        <w:t>, 10(4), 116. https://doi.org/10.3390/sym10040116</w:t>
      </w:r>
    </w:p>
    <w:p>
      <w:pPr>
        <w:spacing w:after="80"/>
        <w:ind w:firstLine="340"/>
        <w:jc w:val="both"/>
      </w:pPr>
      <w:r>
        <w:rPr>
          <w:rFonts w:ascii="Times New Roman" w:hAnsi="Times New Roman" w:cs="Times New Roman"/>
          <w:b w:val="0"/>
          <w:i w:val="0"/>
          <w:sz w:val="20"/>
        </w:rPr>
        <w:t xml:space="preserve">[8] Saqlain, M., Jafar, N., Moin, S., Saeed, M., &amp; Broumi, S. (2020). Single and multi-valued neutrosophic hypersoft set and tangent similarity measure of single valued neutrosophic hypersoft sets. </w:t>
      </w:r>
      <w:r>
        <w:rPr>
          <w:rFonts w:ascii="Times New Roman" w:hAnsi="Times New Roman" w:cs="Times New Roman"/>
          <w:b w:val="0"/>
          <w:i/>
          <w:sz w:val="20"/>
        </w:rPr>
        <w:t>Neutrosophic Sets and Systems</w:t>
      </w:r>
      <w:r>
        <w:rPr>
          <w:rFonts w:ascii="Times New Roman" w:hAnsi="Times New Roman" w:cs="Times New Roman"/>
          <w:b w:val="0"/>
          <w:i w:val="0"/>
          <w:sz w:val="20"/>
        </w:rPr>
        <w:t>, 32, 317–329.</w:t>
      </w:r>
    </w:p>
    <w:p>
      <w:pPr>
        <w:spacing w:after="80"/>
        <w:ind w:firstLine="340"/>
        <w:jc w:val="both"/>
      </w:pPr>
      <w:r>
        <w:rPr>
          <w:rFonts w:ascii="Times New Roman" w:hAnsi="Times New Roman" w:cs="Times New Roman"/>
          <w:b w:val="0"/>
          <w:i w:val="0"/>
          <w:sz w:val="20"/>
        </w:rPr>
        <w:t xml:space="preserve">[9] Woodall, W. H., Faltin, F. W., &amp; Reynolds, M. R. (2025). A critical evaluation of neutrosophic methods in statistical process control and decision making. </w:t>
      </w:r>
      <w:r>
        <w:rPr>
          <w:rFonts w:ascii="Times New Roman" w:hAnsi="Times New Roman" w:cs="Times New Roman"/>
          <w:b w:val="0"/>
          <w:i/>
          <w:sz w:val="20"/>
        </w:rPr>
        <w:t>Quality Engineering</w:t>
      </w:r>
      <w:r>
        <w:rPr>
          <w:rFonts w:ascii="Times New Roman" w:hAnsi="Times New Roman" w:cs="Times New Roman"/>
          <w:b w:val="0"/>
          <w:i w:val="0"/>
          <w:sz w:val="20"/>
        </w:rPr>
        <w:t>. Advance online publication. https://doi.org/10.1080/08982112.2025.2482198</w:t>
      </w:r>
    </w:p>
    <w:p>
      <w:pPr>
        <w:spacing w:after="80"/>
        <w:ind w:firstLine="340"/>
        <w:jc w:val="both"/>
      </w:pPr>
      <w:r>
        <w:rPr>
          <w:rFonts w:ascii="Times New Roman" w:hAnsi="Times New Roman" w:cs="Times New Roman"/>
          <w:b w:val="0"/>
          <w:i w:val="0"/>
          <w:sz w:val="20"/>
        </w:rPr>
        <w:t>[10] Leyva Vazquez, M., Gonzalez Vargas, Y., &amp; Smarandache, F. (2026). Neutrosophic Computing and Machine Learning (2018–2026): una retrospectiva bibliometrica editorial. [Companion paper, under review].</w:t>
      </w:r>
    </w:p>
    <w:p>
      <w:pPr>
        <w:spacing w:after="80"/>
        <w:ind w:firstLine="340"/>
        <w:jc w:val="both"/>
      </w:pPr>
      <w:r>
        <w:rPr>
          <w:rFonts w:ascii="Times New Roman" w:hAnsi="Times New Roman" w:cs="Times New Roman"/>
          <w:b w:val="0"/>
          <w:i w:val="0"/>
          <w:sz w:val="20"/>
        </w:rPr>
        <w:t xml:space="preserve">[11] Ye, J. (2014). A multicriteria decision-making method using aggregation operators for simplified neutrosophic sets. </w:t>
      </w:r>
      <w:r>
        <w:rPr>
          <w:rFonts w:ascii="Times New Roman" w:hAnsi="Times New Roman" w:cs="Times New Roman"/>
          <w:b w:val="0"/>
          <w:i/>
          <w:sz w:val="20"/>
        </w:rPr>
        <w:t>Journal of Intelligent and Fuzzy Systems</w:t>
      </w:r>
      <w:r>
        <w:rPr>
          <w:rFonts w:ascii="Times New Roman" w:hAnsi="Times New Roman" w:cs="Times New Roman"/>
          <w:b w:val="0"/>
          <w:i w:val="0"/>
          <w:sz w:val="20"/>
        </w:rPr>
        <w:t>, 26(5), 2459–2466. https://doi.org/10.3233/IFS-130916</w:t>
      </w:r>
    </w:p>
    <w:p>
      <w:pPr>
        <w:spacing w:after="80"/>
        <w:ind w:firstLine="340"/>
        <w:jc w:val="both"/>
      </w:pPr>
      <w:r>
        <w:rPr>
          <w:rFonts w:ascii="Times New Roman" w:hAnsi="Times New Roman" w:cs="Times New Roman"/>
          <w:b w:val="0"/>
          <w:i w:val="0"/>
          <w:sz w:val="20"/>
        </w:rPr>
        <w:t xml:space="preserve">[12] Hirsch, J. E. (2005). An index to quantify an individual's scientific research output. </w:t>
      </w:r>
      <w:r>
        <w:rPr>
          <w:rFonts w:ascii="Times New Roman" w:hAnsi="Times New Roman" w:cs="Times New Roman"/>
          <w:b w:val="0"/>
          <w:i/>
          <w:sz w:val="20"/>
        </w:rPr>
        <w:t>Proceedings of the National Academy of Sciences</w:t>
      </w:r>
      <w:r>
        <w:rPr>
          <w:rFonts w:ascii="Times New Roman" w:hAnsi="Times New Roman" w:cs="Times New Roman"/>
          <w:b w:val="0"/>
          <w:i w:val="0"/>
          <w:sz w:val="20"/>
        </w:rPr>
        <w:t>, 102(46), 16569–16572. https://doi.org/10.1073/pnas.0507655102</w:t>
      </w:r>
    </w:p>
    <w:p>
      <w:pPr>
        <w:spacing w:after="80"/>
        <w:ind w:firstLine="340"/>
        <w:jc w:val="both"/>
      </w:pPr>
      <w:r>
        <w:rPr>
          <w:rFonts w:ascii="Times New Roman" w:hAnsi="Times New Roman" w:cs="Times New Roman"/>
          <w:b w:val="0"/>
          <w:i w:val="0"/>
          <w:sz w:val="20"/>
        </w:rPr>
        <w:t xml:space="preserve">[13] Lotka, A. J. (1926). The frequency distribution of scientific productivity. </w:t>
      </w:r>
      <w:r>
        <w:rPr>
          <w:rFonts w:ascii="Times New Roman" w:hAnsi="Times New Roman" w:cs="Times New Roman"/>
          <w:b w:val="0"/>
          <w:i/>
          <w:sz w:val="20"/>
        </w:rPr>
        <w:t>Journal of the Washington Academy of Sciences</w:t>
      </w:r>
      <w:r>
        <w:rPr>
          <w:rFonts w:ascii="Times New Roman" w:hAnsi="Times New Roman" w:cs="Times New Roman"/>
          <w:b w:val="0"/>
          <w:i w:val="0"/>
          <w:sz w:val="20"/>
        </w:rPr>
        <w:t>, 16(12), 317–323.</w:t>
      </w:r>
    </w:p>
    <w:p>
      <w:pPr>
        <w:spacing w:after="80"/>
        <w:ind w:firstLine="340"/>
        <w:jc w:val="both"/>
      </w:pPr>
      <w:r>
        <w:rPr>
          <w:rFonts w:ascii="Times New Roman" w:hAnsi="Times New Roman" w:cs="Times New Roman"/>
          <w:b w:val="0"/>
          <w:i w:val="0"/>
          <w:sz w:val="20"/>
        </w:rPr>
        <w:t xml:space="preserve">[14] Newman, M. E. J. (2005). Power laws, Pareto distributions and Zipf's law. </w:t>
      </w:r>
      <w:r>
        <w:rPr>
          <w:rFonts w:ascii="Times New Roman" w:hAnsi="Times New Roman" w:cs="Times New Roman"/>
          <w:b w:val="0"/>
          <w:i/>
          <w:sz w:val="20"/>
        </w:rPr>
        <w:t>Contemporary Physics</w:t>
      </w:r>
      <w:r>
        <w:rPr>
          <w:rFonts w:ascii="Times New Roman" w:hAnsi="Times New Roman" w:cs="Times New Roman"/>
          <w:b w:val="0"/>
          <w:i w:val="0"/>
          <w:sz w:val="20"/>
        </w:rPr>
        <w:t>, 46(5), 323–351. https://doi.org/10.1080/00107510500052444</w:t>
      </w:r>
    </w:p>
    <w:p>
      <w:pPr>
        <w:spacing w:after="80"/>
        <w:ind w:firstLine="340"/>
        <w:jc w:val="both"/>
      </w:pPr>
      <w:r>
        <w:rPr>
          <w:rFonts w:ascii="Times New Roman" w:hAnsi="Times New Roman" w:cs="Times New Roman"/>
          <w:b w:val="0"/>
          <w:i w:val="0"/>
          <w:sz w:val="20"/>
        </w:rPr>
        <w:t xml:space="preserve">[15] Bradford, S. C. (1934). Sources of information on specific subjects. </w:t>
      </w:r>
      <w:r>
        <w:rPr>
          <w:rFonts w:ascii="Times New Roman" w:hAnsi="Times New Roman" w:cs="Times New Roman"/>
          <w:b w:val="0"/>
          <w:i/>
          <w:sz w:val="20"/>
        </w:rPr>
        <w:t>Engineering</w:t>
      </w:r>
      <w:r>
        <w:rPr>
          <w:rFonts w:ascii="Times New Roman" w:hAnsi="Times New Roman" w:cs="Times New Roman"/>
          <w:b w:val="0"/>
          <w:i w:val="0"/>
          <w:sz w:val="20"/>
        </w:rPr>
        <w:t>, 137(3550), 85–86.</w:t>
      </w:r>
    </w:p>
    <w:p>
      <w:pPr>
        <w:spacing w:after="80"/>
        <w:ind w:firstLine="340"/>
        <w:jc w:val="both"/>
      </w:pPr>
      <w:r>
        <w:rPr>
          <w:rFonts w:ascii="Times New Roman" w:hAnsi="Times New Roman" w:cs="Times New Roman"/>
          <w:b w:val="0"/>
          <w:i w:val="0"/>
          <w:sz w:val="20"/>
        </w:rPr>
        <w:t xml:space="preserve">[16] Blondel, V. D., Guillaume, J.-L., Lambiotte, R., &amp; Lefebvre, E. (2008). Fast unfolding of communities in large networks. </w:t>
      </w:r>
      <w:r>
        <w:rPr>
          <w:rFonts w:ascii="Times New Roman" w:hAnsi="Times New Roman" w:cs="Times New Roman"/>
          <w:b w:val="0"/>
          <w:i/>
          <w:sz w:val="20"/>
        </w:rPr>
        <w:t>Journal of Statistical Mechanics: Theory and Experiment</w:t>
      </w:r>
      <w:r>
        <w:rPr>
          <w:rFonts w:ascii="Times New Roman" w:hAnsi="Times New Roman" w:cs="Times New Roman"/>
          <w:b w:val="0"/>
          <w:i w:val="0"/>
          <w:sz w:val="20"/>
        </w:rPr>
        <w:t>, 2008(10), P10008. https://doi.org/10.1088/1742-5468/2008/10/P10008</w:t>
      </w:r>
    </w:p>
    <w:p>
      <w:pPr>
        <w:spacing w:after="80"/>
        <w:ind w:firstLine="340"/>
        <w:jc w:val="both"/>
      </w:pPr>
      <w:r>
        <w:rPr>
          <w:rFonts w:ascii="Times New Roman" w:hAnsi="Times New Roman" w:cs="Times New Roman"/>
          <w:b w:val="0"/>
          <w:i w:val="0"/>
          <w:sz w:val="20"/>
        </w:rPr>
        <w:t xml:space="preserve">[17] Abdel-Basset, M., Manogaran, G., Gamal, A., &amp; Smarandache, F. (2018). A hybrid approach of neutrosophic sets and DEMATEL method for developing supplier selection criteria. </w:t>
      </w:r>
      <w:r>
        <w:rPr>
          <w:rFonts w:ascii="Times New Roman" w:hAnsi="Times New Roman" w:cs="Times New Roman"/>
          <w:b w:val="0"/>
          <w:i/>
          <w:sz w:val="20"/>
        </w:rPr>
        <w:t>Design Automation for Embedded Systems</w:t>
      </w:r>
      <w:r>
        <w:rPr>
          <w:rFonts w:ascii="Times New Roman" w:hAnsi="Times New Roman" w:cs="Times New Roman"/>
          <w:b w:val="0"/>
          <w:i w:val="0"/>
          <w:sz w:val="20"/>
        </w:rPr>
        <w:t>, 22(3), 257–278. https://doi.org/10.1007/s10617-018-9203-6</w:t>
      </w:r>
    </w:p>
    <w:p>
      <w:pPr>
        <w:spacing w:after="80"/>
        <w:ind w:firstLine="340"/>
        <w:jc w:val="both"/>
      </w:pPr>
      <w:r>
        <w:rPr>
          <w:rFonts w:ascii="Times New Roman" w:hAnsi="Times New Roman" w:cs="Times New Roman"/>
          <w:b w:val="0"/>
          <w:i w:val="0"/>
          <w:sz w:val="20"/>
        </w:rPr>
        <w:t xml:space="preserve">[18] Reimers, N., &amp; Gurevych, I. (2019). Sentence-BERT: Sentence embeddings using Siamese BERT-networks. In </w:t>
      </w:r>
      <w:r>
        <w:rPr>
          <w:rFonts w:ascii="Times New Roman" w:hAnsi="Times New Roman" w:cs="Times New Roman"/>
          <w:b w:val="0"/>
          <w:i/>
          <w:sz w:val="20"/>
        </w:rPr>
        <w:t>Proceedings of the 2019 Conference on Empirical Methods in Natural Language Processing</w:t>
      </w:r>
      <w:r>
        <w:rPr>
          <w:rFonts w:ascii="Times New Roman" w:hAnsi="Times New Roman" w:cs="Times New Roman"/>
          <w:b w:val="0"/>
          <w:i w:val="0"/>
          <w:sz w:val="20"/>
        </w:rPr>
        <w:t>. https://doi.org/10.18653/v1/D19-1410</w:t>
      </w:r>
    </w:p>
    <w:p>
      <w:pPr>
        <w:spacing w:after="80"/>
        <w:ind w:firstLine="340"/>
        <w:jc w:val="both"/>
      </w:pPr>
      <w:r>
        <w:rPr>
          <w:rFonts w:ascii="Times New Roman" w:hAnsi="Times New Roman" w:cs="Times New Roman"/>
          <w:b w:val="0"/>
          <w:i w:val="0"/>
          <w:sz w:val="20"/>
        </w:rPr>
        <w:t xml:space="preserve">[19] McInnes, L., Healy, J., &amp; Melville, J. (2018). UMAP: Uniform manifold approximation and projection for dimension reduction. </w:t>
      </w:r>
      <w:r>
        <w:rPr>
          <w:rFonts w:ascii="Times New Roman" w:hAnsi="Times New Roman" w:cs="Times New Roman"/>
          <w:b w:val="0"/>
          <w:i/>
          <w:sz w:val="20"/>
        </w:rPr>
        <w:t>arXiv</w:t>
      </w:r>
      <w:r>
        <w:rPr>
          <w:rFonts w:ascii="Times New Roman" w:hAnsi="Times New Roman" w:cs="Times New Roman"/>
          <w:b w:val="0"/>
          <w:i w:val="0"/>
          <w:sz w:val="20"/>
        </w:rPr>
        <w:t xml:space="preserve"> preprint arXiv:1802.03426. https://doi.org/10.48550/arXiv.1802.03426</w:t>
      </w:r>
    </w:p>
    <w:p>
      <w:pPr>
        <w:spacing w:after="80"/>
        <w:ind w:firstLine="340"/>
        <w:jc w:val="both"/>
      </w:pPr>
      <w:r>
        <w:rPr>
          <w:rFonts w:ascii="Times New Roman" w:hAnsi="Times New Roman" w:cs="Times New Roman"/>
          <w:b w:val="0"/>
          <w:i w:val="0"/>
          <w:sz w:val="20"/>
        </w:rPr>
        <w:t xml:space="preserve">[20] Grootendorst, M. (2022). BERTopic: Neural topic modeling with a class-based TF-IDF procedure. </w:t>
      </w:r>
      <w:r>
        <w:rPr>
          <w:rFonts w:ascii="Times New Roman" w:hAnsi="Times New Roman" w:cs="Times New Roman"/>
          <w:b w:val="0"/>
          <w:i/>
          <w:sz w:val="20"/>
        </w:rPr>
        <w:t>arXiv</w:t>
      </w:r>
      <w:r>
        <w:rPr>
          <w:rFonts w:ascii="Times New Roman" w:hAnsi="Times New Roman" w:cs="Times New Roman"/>
          <w:b w:val="0"/>
          <w:i w:val="0"/>
          <w:sz w:val="20"/>
        </w:rPr>
        <w:t xml:space="preserve"> preprint arXiv:2203.05794. https://doi.org/10.48550/arXiv.2203.05794</w:t>
      </w:r>
    </w:p>
    <w:p>
      <w:pPr>
        <w:spacing w:after="80"/>
        <w:ind w:firstLine="340"/>
        <w:jc w:val="both"/>
      </w:pPr>
      <w:r>
        <w:rPr>
          <w:rFonts w:ascii="Times New Roman" w:hAnsi="Times New Roman" w:cs="Times New Roman"/>
          <w:b w:val="0"/>
          <w:i w:val="0"/>
          <w:sz w:val="20"/>
        </w:rPr>
        <w:t xml:space="preserve">[21] Smarandache, F. (2018). Plithogeny, plithogenic set, logic, probability, and statistics. </w:t>
      </w:r>
      <w:r>
        <w:rPr>
          <w:rFonts w:ascii="Times New Roman" w:hAnsi="Times New Roman" w:cs="Times New Roman"/>
          <w:b w:val="0"/>
          <w:i/>
          <w:sz w:val="20"/>
        </w:rPr>
        <w:t>arXiv</w:t>
      </w:r>
      <w:r>
        <w:rPr>
          <w:rFonts w:ascii="Times New Roman" w:hAnsi="Times New Roman" w:cs="Times New Roman"/>
          <w:b w:val="0"/>
          <w:i w:val="0"/>
          <w:sz w:val="20"/>
        </w:rPr>
        <w:t xml:space="preserve"> preprint arXiv:1808.03948. https://doi.org/10.48550/arXiv.1808.03948</w:t>
      </w:r>
    </w:p>
    <w:p>
      <w:pPr>
        <w:spacing w:after="80"/>
        <w:ind w:firstLine="340"/>
        <w:jc w:val="both"/>
      </w:pPr>
      <w:r>
        <w:rPr>
          <w:rFonts w:ascii="Times New Roman" w:hAnsi="Times New Roman" w:cs="Times New Roman"/>
          <w:b w:val="0"/>
          <w:i w:val="0"/>
          <w:sz w:val="20"/>
        </w:rPr>
        <w:t xml:space="preserve">[22] Priem, J., Piwowar, H., &amp; Orr, R. (2022). OpenAlex: A fully-open index of scholarly works, authors, venues, institutions, and concepts. </w:t>
      </w:r>
      <w:r>
        <w:rPr>
          <w:rFonts w:ascii="Times New Roman" w:hAnsi="Times New Roman" w:cs="Times New Roman"/>
          <w:b w:val="0"/>
          <w:i/>
          <w:sz w:val="20"/>
        </w:rPr>
        <w:t>arXiv</w:t>
      </w:r>
      <w:r>
        <w:rPr>
          <w:rFonts w:ascii="Times New Roman" w:hAnsi="Times New Roman" w:cs="Times New Roman"/>
          <w:b w:val="0"/>
          <w:i w:val="0"/>
          <w:sz w:val="20"/>
        </w:rPr>
        <w:t xml:space="preserve"> preprint arXiv:2205.01833. https://doi.org/10.48550/arXiv.2205.01833</w:t>
      </w:r>
    </w:p>
    <w:p>
      <w:pPr>
        <w:spacing w:after="80"/>
        <w:ind w:firstLine="340"/>
        <w:jc w:val="both"/>
      </w:pPr>
      <w:r>
        <w:rPr>
          <w:rFonts w:ascii="Times New Roman" w:hAnsi="Times New Roman" w:cs="Times New Roman"/>
          <w:b w:val="0"/>
          <w:i w:val="0"/>
          <w:sz w:val="20"/>
        </w:rPr>
        <w:t xml:space="preserve">[23] Tarjan, R. E. (1975). Efficiency of a good but not linear set union algorithm. </w:t>
      </w:r>
      <w:r>
        <w:rPr>
          <w:rFonts w:ascii="Times New Roman" w:hAnsi="Times New Roman" w:cs="Times New Roman"/>
          <w:b w:val="0"/>
          <w:i/>
          <w:sz w:val="20"/>
        </w:rPr>
        <w:t>Journal of the ACM</w:t>
      </w:r>
      <w:r>
        <w:rPr>
          <w:rFonts w:ascii="Times New Roman" w:hAnsi="Times New Roman" w:cs="Times New Roman"/>
          <w:b w:val="0"/>
          <w:i w:val="0"/>
          <w:sz w:val="20"/>
        </w:rPr>
        <w:t>, 22(2), 215–225. https://doi.org/10.1145/321879.321884</w:t>
      </w:r>
    </w:p>
    <w:sectPr w:rsidR="00FC693F" w:rsidRPr="0006063C" w:rsidSect="00034616">
      <w:headerReference w:type="default" r:id="rId9"/>
      <w:footerReference w:type="default" r:id="rId1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sz w:val="16"/>
      </w:rPr>
      <w:t>M. Leyva Vazquez, Y. Gonzalez Vargas, F. Smarandache. Neutrosophic Bibliometric Framework. NCML,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b/>
        <w:i w:val="0"/>
        <w:sz w:val="20"/>
      </w:rPr>
      <w:t>Neutrosophic Computing and Machine Learning, Vol.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