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i w:val="0"/>
          <w:sz w:val="28"/>
        </w:rPr>
        <w:t>Correo a Florentin Smarandache</w:t>
      </w:r>
    </w:p>
    <w:p>
      <w:pPr>
        <w:spacing w:after="120"/>
        <w:jc w:val="both"/>
      </w:pPr>
      <w:r>
        <w:rPr>
          <w:rFonts w:ascii="Calibri" w:hAnsi="Calibri"/>
          <w:b/>
          <w:sz w:val="22"/>
        </w:rPr>
        <w:t>Para:</w:t>
      </w:r>
      <w:r>
        <w:rPr>
          <w:rFonts w:ascii="Calibri" w:hAnsi="Calibri"/>
          <w:b w:val="0"/>
          <w:i w:val="0"/>
          <w:sz w:val="22"/>
        </w:rPr>
        <w:t xml:space="preserve"> Florentin Smarandache &lt;smarand@unm.edu&gt; </w:t>
      </w:r>
      <w:r>
        <w:rPr>
          <w:rFonts w:ascii="Calibri" w:hAnsi="Calibri"/>
          <w:b/>
          <w:sz w:val="22"/>
        </w:rPr>
        <w:t>CC:</w:t>
      </w:r>
      <w:r>
        <w:rPr>
          <w:rFonts w:ascii="Calibri" w:hAnsi="Calibri"/>
          <w:b w:val="0"/>
          <w:i w:val="0"/>
          <w:sz w:val="22"/>
        </w:rPr>
        <w:t xml:space="preserve"> Yismandry Gonzalez Vargas &lt;yismandrygonzalezvargas@gmail.com&gt; </w:t>
      </w:r>
      <w:r>
        <w:rPr>
          <w:rFonts w:ascii="Calibri" w:hAnsi="Calibri"/>
          <w:b/>
          <w:sz w:val="22"/>
        </w:rPr>
        <w:t>Asunto:</w:t>
      </w:r>
      <w:r>
        <w:rPr>
          <w:rFonts w:ascii="Calibri" w:hAnsi="Calibri"/>
          <w:b w:val="0"/>
          <w:i w:val="0"/>
          <w:sz w:val="22"/>
        </w:rPr>
        <w:t xml:space="preserve"> Borrador combinado — retrospectiva NCML + extension neutrosofica, y propuesta de pasos para seguir impulsando la revista</w:t>
      </w:r>
    </w:p>
    <w:p>
      <w:pPr>
        <w:spacing w:after="120"/>
        <w:jc w:val="center"/>
      </w:pPr>
      <w:r>
        <w:rPr>
          <w:rFonts w:ascii="Calibri" w:hAnsi="Calibri"/>
          <w:b w:val="0"/>
          <w:i w:val="0"/>
          <w:sz w:val="22"/>
        </w:rPr>
        <w:t>————————————————————————————————————————</w:t>
      </w:r>
    </w:p>
    <w:p>
      <w:pPr>
        <w:spacing w:after="120"/>
        <w:jc w:val="both"/>
      </w:pPr>
      <w:r>
        <w:rPr>
          <w:rFonts w:ascii="Calibri" w:hAnsi="Calibri"/>
          <w:b w:val="0"/>
          <w:i w:val="0"/>
          <w:sz w:val="22"/>
        </w:rPr>
        <w:t>Estimado Florentin,</w:t>
      </w:r>
    </w:p>
    <w:p>
      <w:pPr>
        <w:spacing w:after="120"/>
        <w:jc w:val="both"/>
      </w:pPr>
      <w:r>
        <w:rPr>
          <w:rFonts w:ascii="Calibri" w:hAnsi="Calibri"/>
          <w:b w:val="0"/>
          <w:i w:val="0"/>
          <w:sz w:val="22"/>
        </w:rPr>
        <w:t xml:space="preserve">Te escribo para compartir el borrador del articulo que acabamos de cerrar con Yismandry Gonzalez Vargas (ALCN, Cuba). Se titula </w:t>
      </w:r>
      <w:r>
        <w:rPr>
          <w:rFonts w:ascii="Calibri" w:hAnsi="Calibri"/>
          <w:i/>
          <w:sz w:val="22"/>
        </w:rPr>
        <w:t>"Eight Years of Neutrosophic Computing and Machine Learning: a Bibliometric Retrospective and a Neutrosophic Extension to Bibliometric Analysis (2018–2026)"</w:t>
      </w:r>
      <w:r>
        <w:rPr>
          <w:rFonts w:ascii="Calibri" w:hAnsi="Calibri"/>
          <w:b w:val="0"/>
          <w:i w:val="0"/>
          <w:sz w:val="22"/>
        </w:rPr>
        <w:t xml:space="preserve"> y combina dos piezas que inicialmente habiamos imaginado como articulos separados: una retrospectiva bibliometrica clasica de NCML y una propuesta metodologica que introduce la neutrosofia como herramienta para el propio analisis bibliometrico. El manuscrito completo (10.100 palabras, 12 figuras, 6 tablas, 27 referencias) esta adjunto como .docx y tambien disponible en https://github.com/mleyvaz/ncml-bibliometric-2026 con todo el codigo reproducible bajo licencia MIT y los datos bajo CC-BY 4.0.</w:t>
      </w:r>
    </w:p>
    <w:p>
      <w:pPr>
        <w:spacing w:after="120"/>
        <w:jc w:val="left"/>
      </w:pPr>
      <w:r>
        <w:rPr>
          <w:rFonts w:ascii="Calibri" w:hAnsi="Calibri"/>
          <w:b/>
          <w:i w:val="0"/>
          <w:sz w:val="24"/>
        </w:rPr>
        <w:t>1. Por que decidimos combinarlo en un solo paper</w:t>
      </w:r>
    </w:p>
    <w:p>
      <w:pPr>
        <w:spacing w:after="120"/>
        <w:jc w:val="both"/>
      </w:pPr>
      <w:r>
        <w:rPr>
          <w:rFonts w:ascii="Calibri" w:hAnsi="Calibri"/>
          <w:b w:val="0"/>
          <w:i w:val="0"/>
          <w:sz w:val="22"/>
        </w:rPr>
        <w:t xml:space="preserve">La retrospectiva describe NCML con metodos bibliometricos clasicos (Lotka, Bradford, h-index, red de coautoria, modelado de topicos). El framework neutrosofico toma el mismo corpus y reinterpreta cada indicador como un triple (T, I, F) donde la indeterminacion se </w:t>
      </w:r>
      <w:r>
        <w:rPr>
          <w:rFonts w:ascii="Calibri" w:hAnsi="Calibri"/>
          <w:b/>
          <w:sz w:val="22"/>
        </w:rPr>
        <w:t>computa a partir de los datos</w:t>
      </w:r>
      <w:r>
        <w:rPr>
          <w:rFonts w:ascii="Calibri" w:hAnsi="Calibri"/>
          <w:b w:val="0"/>
          <w:i w:val="0"/>
          <w:sz w:val="22"/>
        </w:rPr>
        <w:t>, no se elicita de expertos. La combinacion es lo mas honesto que podemos ofrecer: el framework no existe como teoria desacoplada, nace de un problema empirico concreto (la discrepancia 10x entre OpenAlex y Google Scholar en el propio NCML) y se valida con un experimento operativo: un ranking de autores agregado por SVNWA (Ye 2014) que difiere substancialmente del ranking clasico por conteo (Kendall τ = 0.20, top-10 overlap 5/10).</w:t>
      </w:r>
    </w:p>
    <w:p>
      <w:pPr>
        <w:spacing w:after="120"/>
        <w:jc w:val="left"/>
      </w:pPr>
      <w:r>
        <w:rPr>
          <w:rFonts w:ascii="Calibri" w:hAnsi="Calibri"/>
          <w:b/>
          <w:i w:val="0"/>
          <w:sz w:val="24"/>
        </w:rPr>
        <w:t>2. Como responde a Woodall et al. (2025)</w:t>
      </w:r>
    </w:p>
    <w:p>
      <w:pPr>
        <w:spacing w:after="120"/>
        <w:jc w:val="both"/>
      </w:pPr>
      <w:r>
        <w:rPr>
          <w:rFonts w:ascii="Calibri" w:hAnsi="Calibri"/>
          <w:b w:val="0"/>
          <w:i w:val="0"/>
          <w:sz w:val="22"/>
        </w:rPr>
        <w:t>Los tres cuestionamientos de Woodall, Faltin y Reynolds (Quality Engineering, abril 2025) reciben respuesta empirica directa en el paper:</w:t>
      </w:r>
    </w:p>
    <w:p>
      <w:pPr>
        <w:pStyle w:val="ListBullet"/>
      </w:pPr>
      <w:r>
        <w:rPr>
          <w:rFonts w:ascii="Calibri" w:hAnsi="Calibri"/>
          <w:sz w:val="22"/>
        </w:rPr>
        <w:t>**"La eleccion de tres componentes rara vez se justifica por la</w:t>
      </w:r>
    </w:p>
    <w:p>
      <w:pPr>
        <w:spacing w:after="120"/>
        <w:jc w:val="both"/>
      </w:pPr>
      <w:r>
        <w:rPr>
          <w:rFonts w:ascii="Calibri" w:hAnsi="Calibri"/>
          <w:b w:val="0"/>
          <w:i w:val="0"/>
          <w:sz w:val="22"/>
        </w:rPr>
        <w:t>estructura de los datos".** El framework deriva T, I, F de bootstrap, distancias a centroides, y acuerdos entre fuentes bibliograficas — nunca de escalas linguisticas. Removida la indeterminacion, se destruye informacion empiricamente presente. Esta es la respuesta mas fuerte posible al cuestionamiento.</w:t>
      </w:r>
    </w:p>
    <w:p>
      <w:pPr>
        <w:pStyle w:val="ListBullet"/>
      </w:pPr>
      <w:r>
        <w:rPr>
          <w:rFonts w:ascii="Calibri" w:hAnsi="Calibri"/>
          <w:sz w:val="22"/>
        </w:rPr>
        <w:t>**"Las comparaciones con alternativas fuzzy o bayesianas son</w:t>
      </w:r>
    </w:p>
    <w:p>
      <w:pPr>
        <w:spacing w:after="120"/>
        <w:jc w:val="both"/>
      </w:pPr>
      <w:r>
        <w:rPr>
          <w:rFonts w:ascii="Calibri" w:hAnsi="Calibri"/>
          <w:b w:val="0"/>
          <w:i w:val="0"/>
          <w:sz w:val="22"/>
        </w:rPr>
        <w:t>ausentes o superficiales".</w:t>
      </w:r>
      <w:r>
        <w:rPr>
          <w:rFonts w:ascii="Calibri" w:hAnsi="Calibri"/>
          <w:b/>
          <w:sz w:val="22"/>
        </w:rPr>
        <w:t xml:space="preserve"> La Seccion 5.6.3 demuestra que el reordenamiento que produce SVNWA </w:t>
      </w:r>
      <w:r>
        <w:rPr>
          <w:rFonts w:ascii="Calibri" w:hAnsi="Calibri"/>
          <w:b w:val="0"/>
          <w:i w:val="0"/>
          <w:sz w:val="22"/>
        </w:rPr>
        <w:t>no lo puede reproducir** ninguna de las tres alternativas (fuzzy clasica colapsa I-F, intuitionistic exige T+F≤1 que nuestros datos violan, probabilidad requiere likelihoods que no existen para tres de las cuatro dimensiones). La Seccion 6.5 lo discute explicitamente.</w:t>
      </w:r>
    </w:p>
    <w:p>
      <w:pPr>
        <w:pStyle w:val="ListBullet"/>
      </w:pPr>
      <w:r>
        <w:rPr>
          <w:rFonts w:ascii="Calibri" w:hAnsi="Calibri"/>
          <w:b/>
          <w:sz w:val="22"/>
        </w:rPr>
        <w:t>"El ecosistema citacional es cerrado y autorreferencial".</w:t>
      </w:r>
      <w:r>
        <w:rPr>
          <w:rFonts w:ascii="Calibri" w:hAnsi="Calibri"/>
          <w:sz w:val="22"/>
        </w:rPr>
        <w:t xml:space="preserve"> La</w:t>
      </w:r>
    </w:p>
    <w:p>
      <w:pPr>
        <w:spacing w:after="120"/>
        <w:jc w:val="both"/>
      </w:pPr>
      <w:r>
        <w:rPr>
          <w:rFonts w:ascii="Calibri" w:hAnsi="Calibri"/>
          <w:b w:val="0"/>
          <w:i w:val="0"/>
          <w:sz w:val="22"/>
        </w:rPr>
        <w:t>Seccion 4.4 lo confirma empiricamente (NSS+NCML = 17.2% de citas detectadas) y la Seccion 7 propone quince recomendaciones editoriales concretas para mitigarlo. No minimizamos la critica; la absorbemos como agenda.</w:t>
      </w:r>
    </w:p>
    <w:p>
      <w:pPr>
        <w:spacing w:after="120"/>
        <w:jc w:val="both"/>
      </w:pPr>
      <w:r>
        <w:rPr>
          <w:rFonts w:ascii="Calibri" w:hAnsi="Calibri"/>
          <w:b w:val="0"/>
          <w:i w:val="0"/>
          <w:sz w:val="22"/>
        </w:rPr>
        <w:t xml:space="preserve">En terminos simples: en vez de defendernos de Woodall, </w:t>
      </w:r>
      <w:r>
        <w:rPr>
          <w:rFonts w:ascii="Calibri" w:hAnsi="Calibri"/>
          <w:b/>
          <w:sz w:val="22"/>
        </w:rPr>
        <w:t>le damos la razon donde la tiene y demostramos con un experimento que ademas existe un uso de neutrosofia donde sus tres componentes son irreductibles</w:t>
      </w:r>
      <w:r>
        <w:rPr>
          <w:rFonts w:ascii="Calibri" w:hAnsi="Calibri"/>
          <w:b w:val="0"/>
          <w:i w:val="0"/>
          <w:sz w:val="22"/>
        </w:rPr>
        <w:t>. Creo que ese framing es mas eficaz que cualquier defensa frontal — convierte a Woodall en interlocutor en vez de adversario.</w:t>
      </w:r>
    </w:p>
    <w:p>
      <w:pPr>
        <w:spacing w:after="120"/>
        <w:jc w:val="left"/>
      </w:pPr>
      <w:r>
        <w:rPr>
          <w:rFonts w:ascii="Calibri" w:hAnsi="Calibri"/>
          <w:b/>
          <w:i w:val="0"/>
          <w:sz w:val="24"/>
        </w:rPr>
        <w:t>3. Hallazgos sobre la difusion de la neutrosofia via NCML</w:t>
      </w:r>
    </w:p>
    <w:p>
      <w:pPr>
        <w:spacing w:after="120"/>
        <w:jc w:val="both"/>
      </w:pPr>
      <w:r>
        <w:rPr>
          <w:rFonts w:ascii="Calibri" w:hAnsi="Calibri"/>
          <w:b w:val="0"/>
          <w:i w:val="0"/>
          <w:sz w:val="22"/>
        </w:rPr>
        <w:t>Mas alla de lo metodologico, la retrospectiva produjo varios resultados que muestran que NCML ha cumplido su mision de difundir la neutrosofia como herramienta de investigacion aplicada. Destaco los cinco mas relevantes:</w:t>
      </w:r>
    </w:p>
    <w:p>
      <w:pPr>
        <w:pStyle w:val="ListBullet"/>
      </w:pPr>
      <w:r>
        <w:rPr>
          <w:rFonts w:ascii="Calibri" w:hAnsi="Calibri"/>
          <w:b/>
          <w:sz w:val="22"/>
        </w:rPr>
        <w:t>1.363 autores unicos</w:t>
      </w:r>
      <w:r>
        <w:rPr>
          <w:rFonts w:ascii="Calibri" w:hAnsi="Calibri"/>
          <w:sz w:val="22"/>
        </w:rPr>
        <w:t xml:space="preserve"> han publicado en NCML en siete anos, con</w:t>
      </w:r>
    </w:p>
    <w:p>
      <w:pPr>
        <w:spacing w:after="120"/>
        <w:jc w:val="both"/>
      </w:pPr>
      <w:r>
        <w:rPr>
          <w:rFonts w:ascii="Calibri" w:hAnsi="Calibri"/>
          <w:b w:val="0"/>
          <w:i w:val="0"/>
          <w:sz w:val="22"/>
        </w:rPr>
        <w:t xml:space="preserve">349 autores nuevos solo en 2025. La mayoria son investigadores que </w:t>
      </w:r>
      <w:r>
        <w:rPr>
          <w:rFonts w:ascii="Calibri" w:hAnsi="Calibri"/>
          <w:i/>
          <w:sz w:val="22"/>
        </w:rPr>
        <w:t>aprendieron</w:t>
      </w:r>
      <w:r>
        <w:rPr>
          <w:rFonts w:ascii="Calibri" w:hAnsi="Calibri"/>
          <w:b w:val="0"/>
          <w:i w:val="0"/>
          <w:sz w:val="22"/>
        </w:rPr>
        <w:t xml:space="preserve"> neutrosofia para su trabajo; solo una minoria proviene de tu escuela directa. La revista ha funcionado como puerta de entrada al metodo.</w:t>
      </w:r>
    </w:p>
    <w:p>
      <w:pPr>
        <w:pStyle w:val="ListBullet"/>
      </w:pPr>
      <w:r>
        <w:rPr>
          <w:rFonts w:ascii="Calibri" w:hAnsi="Calibri"/>
          <w:b/>
          <w:sz w:val="22"/>
        </w:rPr>
        <w:t>La agenda tematica se diversifico a 24 topicos distintos</w:t>
      </w:r>
    </w:p>
    <w:p>
      <w:pPr>
        <w:spacing w:after="120"/>
        <w:jc w:val="both"/>
      </w:pPr>
      <w:r>
        <w:rPr>
          <w:rFonts w:ascii="Calibri" w:hAnsi="Calibri"/>
          <w:b w:val="0"/>
          <w:i w:val="0"/>
          <w:sz w:val="22"/>
        </w:rPr>
        <w:t>cubriendo derecho, medicina clinica, educacion, ingenieria, sostenibilidad municipal y teoria pura. Neutrosofia paso de ser una rama logica especializada a ser una caja de herramientas para tesis de grado en seis paises iberoamericanos.</w:t>
      </w:r>
    </w:p>
    <w:p>
      <w:pPr>
        <w:pStyle w:val="ListBullet"/>
      </w:pPr>
      <w:r>
        <w:rPr>
          <w:rFonts w:ascii="Calibri" w:hAnsi="Calibri"/>
          <w:sz w:val="22"/>
        </w:rPr>
        <w:t>**Tres revistas cubanas no-neutrosoficas entraron al nucleo Bradford</w:t>
      </w:r>
    </w:p>
    <w:p>
      <w:pPr>
        <w:spacing w:after="120"/>
        <w:jc w:val="both"/>
      </w:pPr>
      <w:r>
        <w:rPr>
          <w:rFonts w:ascii="Calibri" w:hAnsi="Calibri"/>
          <w:b w:val="0"/>
          <w:i w:val="0"/>
          <w:sz w:val="22"/>
        </w:rPr>
        <w:t>de citaciones** (Universidad y Sociedad, Serie Cientifica UCI, Revista Conrado). Son publicaciones de educacion e informatica sin afiliacion con NSIA, y citan a NCML regularmente — evidencia directa de que la neutrosofia cruzo el limite del ecosistema original hacia la literatura cubana en sentido amplio.</w:t>
      </w:r>
    </w:p>
    <w:p>
      <w:pPr>
        <w:pStyle w:val="ListBullet"/>
      </w:pPr>
      <w:r>
        <w:rPr>
          <w:rFonts w:ascii="Calibri" w:hAnsi="Calibri"/>
          <w:b/>
          <w:sz w:val="22"/>
        </w:rPr>
        <w:t>La comunidad C29 de la red de coautoria</w:t>
      </w:r>
      <w:r>
        <w:rPr>
          <w:rFonts w:ascii="Calibri" w:hAnsi="Calibri"/>
          <w:sz w:val="22"/>
        </w:rPr>
        <w:t xml:space="preserve"> (tu nucleo teorico, 9</w:t>
      </w:r>
    </w:p>
    <w:p>
      <w:pPr>
        <w:spacing w:after="120"/>
        <w:jc w:val="both"/>
      </w:pPr>
      <w:r>
        <w:rPr>
          <w:rFonts w:ascii="Calibri" w:hAnsi="Calibri"/>
          <w:b w:val="0"/>
          <w:i w:val="0"/>
          <w:sz w:val="22"/>
        </w:rPr>
        <w:t>miembros con 61 articulos combinados) es la que tiene mas productividad por autor (6.8 vs 4.1 del cluster ecuatoriano mas grande). El ranking SVNWA de la Seccion 5.6 confirma que los autores con foco teorico suben fuertemente cuando se consideran dimensiones mas alla del volumen — en otras palabras, tu escuela sigue siendo el centro de gravedad intelectual de la revista aunque proporcionalmente publique menos articulos que las escuelas aplicadas.</w:t>
      </w:r>
    </w:p>
    <w:p>
      <w:pPr>
        <w:pStyle w:val="ListBullet"/>
      </w:pPr>
      <w:r>
        <w:rPr>
          <w:rFonts w:ascii="Calibri" w:hAnsi="Calibri"/>
          <w:b/>
          <w:sz w:val="22"/>
        </w:rPr>
        <w:t>h5-index de NCML en Google Scholar Metrics = 10</w:t>
      </w:r>
      <w:r>
        <w:rPr>
          <w:rFonts w:ascii="Calibri" w:hAnsi="Calibri"/>
          <w:sz w:val="22"/>
        </w:rPr>
        <w:t>, con</w:t>
      </w:r>
    </w:p>
    <w:p>
      <w:pPr>
        <w:spacing w:after="120"/>
        <w:jc w:val="both"/>
      </w:pPr>
      <w:r>
        <w:rPr>
          <w:rFonts w:ascii="Calibri" w:hAnsi="Calibri"/>
          <w:b w:val="0"/>
          <w:i w:val="0"/>
          <w:sz w:val="22"/>
        </w:rPr>
        <w:t>h5-mediana = 25, que en comparacion con NSS (h5 = 57) e IJNS (h5 = 31) posiciona a NCML como la mas joven de las tres hermanas pero ya con impacto medible, no marginal. La discrepancia con OpenAlex (h = 1) es el hallazgo operativo del paper: el impacto esta ahi, solo que los indices commerciales no lo ven completo.</w:t>
      </w:r>
    </w:p>
    <w:p>
      <w:pPr>
        <w:spacing w:after="120"/>
        <w:jc w:val="left"/>
      </w:pPr>
      <w:r>
        <w:rPr>
          <w:rFonts w:ascii="Calibri" w:hAnsi="Calibri"/>
          <w:b/>
          <w:i w:val="0"/>
          <w:sz w:val="24"/>
        </w:rPr>
        <w:t>4. Diez pasos que propongo para seguir impulsando NCML</w:t>
      </w:r>
    </w:p>
    <w:p>
      <w:pPr>
        <w:spacing w:after="120"/>
        <w:jc w:val="both"/>
      </w:pPr>
      <w:r>
        <w:rPr>
          <w:rFonts w:ascii="Calibri" w:hAnsi="Calibri"/>
          <w:b w:val="0"/>
          <w:i w:val="0"/>
          <w:sz w:val="22"/>
        </w:rPr>
        <w:t>La Seccion 7 del paper enumera quince recomendaciones editoriales detalladas. De esas, quisiera pedir tu acompanamiento especifico en las que tu posicion hace diferencia directa. Las ordeno de mayor a menor peso:</w:t>
      </w:r>
    </w:p>
    <w:p>
      <w:pPr>
        <w:pStyle w:val="ListNumber"/>
      </w:pPr>
      <w:r>
        <w:rPr>
          <w:rFonts w:ascii="Calibri" w:hAnsi="Calibri"/>
          <w:b/>
          <w:sz w:val="22"/>
        </w:rPr>
        <w:t>Liderar la diversificacion internacional del Editorial Board.</w:t>
      </w:r>
    </w:p>
    <w:p>
      <w:pPr>
        <w:spacing w:after="120"/>
        <w:jc w:val="both"/>
      </w:pPr>
      <w:r>
        <w:rPr>
          <w:rFonts w:ascii="Calibri" w:hAnsi="Calibri"/>
          <w:b w:val="0"/>
          <w:i w:val="0"/>
          <w:sz w:val="22"/>
        </w:rPr>
        <w:t>Tu red directa (University of New Mexico + colaboradores en Europa del Este, Asia y Norteamerica) es la palanca mas efectiva para cumplir el objetivo de 40% no iberoamericanos al cabo de 18 meses. Es el requisito bloqueante para Scopus.</w:t>
      </w:r>
    </w:p>
    <w:p>
      <w:pPr>
        <w:pStyle w:val="ListNumber"/>
      </w:pPr>
      <w:r>
        <w:rPr>
          <w:rFonts w:ascii="Calibri" w:hAnsi="Calibri"/>
          <w:b/>
          <w:sz w:val="22"/>
        </w:rPr>
        <w:t>Invitar explicitamente a 5-10 revisores externos al ecosistema</w:t>
      </w:r>
    </w:p>
    <w:p>
      <w:pPr>
        <w:spacing w:after="120"/>
        <w:jc w:val="both"/>
      </w:pPr>
      <w:r>
        <w:rPr>
          <w:rFonts w:ascii="Calibri" w:hAnsi="Calibri"/>
          <w:b w:val="0"/>
          <w:i w:val="0"/>
          <w:sz w:val="22"/>
        </w:rPr>
        <w:t>(especialistas en fuzzy clasica, Bayesian MCDM, statistical process control). Tu rol como EiC de NSS te da acceso a investigadores que a mi me serian dificiles de alcanzar. El paper propone que cada articulo metodologico pase por al menos uno de estos revisores — responde directamente al tercer punto de Woodall.</w:t>
      </w:r>
    </w:p>
    <w:p>
      <w:pPr>
        <w:pStyle w:val="ListNumber"/>
      </w:pPr>
      <w:r>
        <w:rPr>
          <w:rFonts w:ascii="Calibri" w:hAnsi="Calibri"/>
          <w:sz w:val="22"/>
        </w:rPr>
        <w:t>**Coeditar un numero especial sobre *Neutrosophy vs Fuzzy vs</w:t>
      </w:r>
    </w:p>
    <w:p>
      <w:pPr>
        <w:spacing w:after="120"/>
        <w:jc w:val="both"/>
      </w:pPr>
      <w:r>
        <w:rPr>
          <w:rFonts w:ascii="Calibri" w:hAnsi="Calibri"/>
          <w:b w:val="0"/>
          <w:i w:val="0"/>
          <w:sz w:val="22"/>
        </w:rPr>
        <w:t>Bayesian: Methodological Comparisons***. Es el antidoto exacto contra la critica "falta comparacion con alternativas". Si te animas, yo armo la call for papers y tu eliges al Guest Editor externo.</w:t>
      </w:r>
    </w:p>
    <w:p>
      <w:pPr>
        <w:pStyle w:val="ListNumber"/>
      </w:pPr>
      <w:r>
        <w:rPr>
          <w:rFonts w:ascii="Calibri" w:hAnsi="Calibri"/>
          <w:sz w:val="22"/>
        </w:rPr>
        <w:t>**Reservar 15-20 paginas por volumen para teoria neutrosofica de</w:t>
      </w:r>
    </w:p>
    <w:p>
      <w:pPr>
        <w:spacing w:after="120"/>
        <w:jc w:val="both"/>
      </w:pPr>
      <w:r>
        <w:rPr>
          <w:rFonts w:ascii="Calibri" w:hAnsi="Calibri"/>
          <w:b w:val="0"/>
          <w:i w:val="0"/>
          <w:sz w:val="22"/>
        </w:rPr>
        <w:t>fondo.** El paper muestra que el topico T7 (tu nucleo teorico) cayo -9.0 pp en la composicion de NCML entre 2018-2020 y 2023-2025. La revista necesita tus articulos teoricos para no drenarse en aplicaciones.</w:t>
      </w:r>
    </w:p>
    <w:p>
      <w:pPr>
        <w:pStyle w:val="ListNumber"/>
      </w:pPr>
      <w:r>
        <w:rPr>
          <w:rFonts w:ascii="Calibri" w:hAnsi="Calibri"/>
          <w:b/>
          <w:sz w:val="22"/>
        </w:rPr>
        <w:t>Revisar la version final del manuscrito</w:t>
      </w:r>
      <w:r>
        <w:rPr>
          <w:rFonts w:ascii="Calibri" w:hAnsi="Calibri"/>
          <w:sz w:val="22"/>
        </w:rPr>
        <w:t xml:space="preserve"> antes del envio. Tu</w:t>
      </w:r>
    </w:p>
    <w:p>
      <w:pPr>
        <w:spacing w:after="120"/>
        <w:jc w:val="both"/>
      </w:pPr>
      <w:r>
        <w:rPr>
          <w:rFonts w:ascii="Calibri" w:hAnsi="Calibri"/>
          <w:b w:val="0"/>
          <w:i w:val="0"/>
          <w:sz w:val="22"/>
        </w:rPr>
        <w:t>lectura es la unica garantia de que el tratamiento teorico de neutrosofia este correcto y de que el tono del dialogo con Woodall sea defendible.</w:t>
      </w:r>
    </w:p>
    <w:p>
      <w:pPr>
        <w:pStyle w:val="ListNumber"/>
      </w:pPr>
      <w:r>
        <w:rPr>
          <w:rFonts w:ascii="Calibri" w:hAnsi="Calibri"/>
          <w:b/>
          <w:sz w:val="22"/>
        </w:rPr>
        <w:t>Autorizar el uso del nombre NSIA Publishing</w:t>
      </w:r>
      <w:r>
        <w:rPr>
          <w:rFonts w:ascii="Calibri" w:hAnsi="Calibri"/>
          <w:sz w:val="22"/>
        </w:rPr>
        <w:t xml:space="preserve"> para la solicitud</w:t>
      </w:r>
    </w:p>
    <w:p>
      <w:pPr>
        <w:spacing w:after="120"/>
        <w:jc w:val="both"/>
      </w:pPr>
      <w:r>
        <w:rPr>
          <w:rFonts w:ascii="Calibri" w:hAnsi="Calibri"/>
          <w:b w:val="0"/>
          <w:i w:val="0"/>
          <w:sz w:val="22"/>
        </w:rPr>
        <w:t>de ISSN electronico propio de NCML. Sin ISSN seguimos bloqueados para DOAJ, Latindex y REDIB (punto R1 del paper).</w:t>
      </w:r>
    </w:p>
    <w:p>
      <w:pPr>
        <w:pStyle w:val="ListNumber"/>
      </w:pPr>
      <w:r>
        <w:rPr>
          <w:rFonts w:ascii="Calibri" w:hAnsi="Calibri"/>
          <w:b/>
          <w:sz w:val="22"/>
        </w:rPr>
        <w:t>Co-firmar una carta de presentacion a Scopus CSAB</w:t>
      </w:r>
      <w:r>
        <w:rPr>
          <w:rFonts w:ascii="Calibri" w:hAnsi="Calibri"/>
          <w:sz w:val="22"/>
        </w:rPr>
        <w:t xml:space="preserve"> cuando el</w:t>
      </w:r>
    </w:p>
    <w:p>
      <w:pPr>
        <w:spacing w:after="120"/>
        <w:jc w:val="both"/>
      </w:pPr>
      <w:r>
        <w:rPr>
          <w:rFonts w:ascii="Calibri" w:hAnsi="Calibri"/>
          <w:b w:val="0"/>
          <w:i w:val="0"/>
          <w:sz w:val="22"/>
        </w:rPr>
        <w:t>resto de requisitos editoriales esten completos (~18-24 meses de trabajo). Tu trayectoria y h-index dan credibilidad al envio.</w:t>
      </w:r>
    </w:p>
    <w:p>
      <w:pPr>
        <w:pStyle w:val="ListNumber"/>
      </w:pPr>
      <w:r>
        <w:rPr>
          <w:rFonts w:ascii="Calibri" w:hAnsi="Calibri"/>
          <w:b/>
          <w:sz w:val="22"/>
        </w:rPr>
        <w:t>Proponer que NSS y NCML adopten formalmente COPE</w:t>
      </w:r>
      <w:r>
        <w:rPr>
          <w:rFonts w:ascii="Calibri" w:hAnsi="Calibri"/>
          <w:sz w:val="22"/>
        </w:rPr>
        <w:t xml:space="preserve"> (Committee on</w:t>
      </w:r>
    </w:p>
    <w:p>
      <w:pPr>
        <w:spacing w:after="120"/>
        <w:jc w:val="both"/>
      </w:pPr>
      <w:r>
        <w:rPr>
          <w:rFonts w:ascii="Calibri" w:hAnsi="Calibri"/>
          <w:b w:val="0"/>
          <w:i w:val="0"/>
          <w:sz w:val="22"/>
        </w:rPr>
        <w:t>Publication Ethics) simultaneamente. Senal barata y de alto impacto para la indexacion.</w:t>
      </w:r>
    </w:p>
    <w:p>
      <w:pPr>
        <w:pStyle w:val="ListNumber"/>
      </w:pPr>
      <w:r>
        <w:rPr>
          <w:rFonts w:ascii="Calibri" w:hAnsi="Calibri"/>
          <w:sz w:val="22"/>
        </w:rPr>
        <w:t>**Presentar la retrospectiva + framework en el proximo congreso</w:t>
      </w:r>
    </w:p>
    <w:p>
      <w:pPr>
        <w:spacing w:after="120"/>
        <w:jc w:val="both"/>
      </w:pPr>
      <w:r>
        <w:rPr>
          <w:rFonts w:ascii="Calibri" w:hAnsi="Calibri"/>
          <w:b w:val="0"/>
          <w:i w:val="0"/>
          <w:sz w:val="22"/>
        </w:rPr>
        <w:t>NSIA**. Una charla conjunta seria la mejor forma de comunicar el mensaje y recibir feedback temprano antes del envio formal a una revista Q2 externa (estoy pensando Symmetry o Soft Computing si queres que despues armemos un segundo paper derivado).</w:t>
      </w:r>
    </w:p>
    <w:p>
      <w:pPr>
        <w:pStyle w:val="ListNumber"/>
      </w:pPr>
      <w:r>
        <w:rPr>
          <w:rFonts w:ascii="Calibri" w:hAnsi="Calibri"/>
          <w:b/>
          <w:sz w:val="22"/>
        </w:rPr>
        <w:t>Escribir una respuesta formal a Woodall et al. (2025)</w:t>
      </w:r>
      <w:r>
        <w:rPr>
          <w:rFonts w:ascii="Calibri" w:hAnsi="Calibri"/>
          <w:sz w:val="22"/>
        </w:rPr>
        <w:t xml:space="preserve"> — no</w:t>
      </w:r>
    </w:p>
    <w:p>
      <w:pPr>
        <w:spacing w:after="120"/>
        <w:jc w:val="both"/>
      </w:pPr>
      <w:r>
        <w:rPr>
          <w:rFonts w:ascii="Calibri" w:hAnsi="Calibri"/>
          <w:b w:val="0"/>
          <w:i w:val="0"/>
          <w:sz w:val="22"/>
        </w:rPr>
        <w:t xml:space="preserve">como critica a ellos, sino como "methodological note" reconociendo los puntos validos y mostrando el ejemplo del presente paper como uso no-decorativo de neutrosofia. Podriamos coordinarla via </w:t>
      </w:r>
      <w:r>
        <w:rPr>
          <w:rFonts w:ascii="Calibri" w:hAnsi="Calibri"/>
          <w:i/>
          <w:sz w:val="22"/>
        </w:rPr>
        <w:t>Quality Engineering</w:t>
      </w:r>
      <w:r>
        <w:rPr>
          <w:rFonts w:ascii="Calibri" w:hAnsi="Calibri"/>
          <w:b w:val="0"/>
          <w:i w:val="0"/>
          <w:sz w:val="22"/>
        </w:rPr>
        <w:t xml:space="preserve"> o </w:t>
      </w:r>
      <w:r>
        <w:rPr>
          <w:rFonts w:ascii="Calibri" w:hAnsi="Calibri"/>
          <w:i/>
          <w:sz w:val="22"/>
        </w:rPr>
        <w:t>International Journal of Neutrosophic Science</w:t>
      </w:r>
      <w:r>
        <w:rPr>
          <w:rFonts w:ascii="Calibri" w:hAnsi="Calibri"/>
          <w:b w:val="0"/>
          <w:i w:val="0"/>
          <w:sz w:val="22"/>
        </w:rPr>
        <w:t>. Te propongo que vos lleves esa voz.</w:t>
      </w:r>
    </w:p>
    <w:p>
      <w:pPr>
        <w:spacing w:after="120"/>
        <w:jc w:val="left"/>
      </w:pPr>
      <w:r>
        <w:rPr>
          <w:rFonts w:ascii="Calibri" w:hAnsi="Calibri"/>
          <w:b/>
          <w:i w:val="0"/>
          <w:sz w:val="24"/>
        </w:rPr>
        <w:t>5. Calendario propuesto</w:t>
      </w:r>
    </w:p>
    <w:p>
      <w:pPr>
        <w:pStyle w:val="ListBullet"/>
      </w:pPr>
      <w:r>
        <w:rPr>
          <w:rFonts w:ascii="Calibri" w:hAnsi="Calibri"/>
          <w:b/>
          <w:sz w:val="22"/>
        </w:rPr>
        <w:t>Esta semana</w:t>
      </w:r>
      <w:r>
        <w:rPr>
          <w:rFonts w:ascii="Calibri" w:hAnsi="Calibri"/>
          <w:sz w:val="22"/>
        </w:rPr>
        <w:t>: lectura del manuscrito combinado y comentarios.</w:t>
      </w:r>
    </w:p>
    <w:p>
      <w:pPr>
        <w:pStyle w:val="ListBullet"/>
      </w:pPr>
      <w:r>
        <w:rPr>
          <w:rFonts w:ascii="Calibri" w:hAnsi="Calibri"/>
          <w:b/>
          <w:sz w:val="22"/>
        </w:rPr>
        <w:t>Proximas 2 semanas</w:t>
      </w:r>
      <w:r>
        <w:rPr>
          <w:rFonts w:ascii="Calibri" w:hAnsi="Calibri"/>
          <w:sz w:val="22"/>
        </w:rPr>
        <w:t>: incorporo tus cambios, Yismandry validacion</w:t>
      </w:r>
    </w:p>
    <w:p>
      <w:pPr>
        <w:spacing w:after="120"/>
        <w:jc w:val="both"/>
      </w:pPr>
      <w:r>
        <w:rPr>
          <w:rFonts w:ascii="Calibri" w:hAnsi="Calibri"/>
          <w:b w:val="0"/>
          <w:i w:val="0"/>
          <w:sz w:val="22"/>
        </w:rPr>
        <w:t>final, nos ponemos de acuerdo sobre revista destino (mi voto: enviarlo primero a NCML como retrospectiva editorial con COI declarado, y un segundo paper derivado a Symmetry o IJNS).</w:t>
      </w:r>
    </w:p>
    <w:p>
      <w:pPr>
        <w:pStyle w:val="ListBullet"/>
      </w:pPr>
      <w:r>
        <w:rPr>
          <w:rFonts w:ascii="Calibri" w:hAnsi="Calibri"/>
          <w:b/>
          <w:sz w:val="22"/>
        </w:rPr>
        <w:t>Mes 1-2</w:t>
      </w:r>
      <w:r>
        <w:rPr>
          <w:rFonts w:ascii="Calibri" w:hAnsi="Calibri"/>
          <w:sz w:val="22"/>
        </w:rPr>
        <w:t>: envio, gestion de peer review externo.</w:t>
      </w:r>
    </w:p>
    <w:p>
      <w:pPr>
        <w:pStyle w:val="ListBullet"/>
      </w:pPr>
      <w:r>
        <w:rPr>
          <w:rFonts w:ascii="Calibri" w:hAnsi="Calibri"/>
          <w:b/>
          <w:sz w:val="22"/>
        </w:rPr>
        <w:t>Mes 3-6</w:t>
      </w:r>
      <w:r>
        <w:rPr>
          <w:rFonts w:ascii="Calibri" w:hAnsi="Calibri"/>
          <w:sz w:val="22"/>
        </w:rPr>
        <w:t>: empezamos a ejecutar los 10 puntos de arriba en</w:t>
      </w:r>
    </w:p>
    <w:p>
      <w:pPr>
        <w:spacing w:after="120"/>
        <w:jc w:val="both"/>
      </w:pPr>
      <w:r>
        <w:rPr>
          <w:rFonts w:ascii="Calibri" w:hAnsi="Calibri"/>
          <w:b w:val="0"/>
          <w:i w:val="0"/>
          <w:sz w:val="22"/>
        </w:rPr>
        <w:t>paralelo.</w:t>
      </w:r>
    </w:p>
    <w:p>
      <w:pPr>
        <w:spacing w:after="120"/>
        <w:jc w:val="both"/>
      </w:pPr>
      <w:r>
        <w:rPr>
          <w:rFonts w:ascii="Calibri" w:hAnsi="Calibri"/>
          <w:b w:val="0"/>
          <w:i w:val="0"/>
          <w:sz w:val="22"/>
        </w:rPr>
        <w:t>Te adjunto el docx. El repositorio GitHub esta publico y actualizado (commit `b8f628f`). Cualquier revisor puede clonar y reproducir los resultados en ~30 minutos. Si queres, te paso acceso para que veas el codigo directo.</w:t>
      </w:r>
    </w:p>
    <w:p>
      <w:pPr>
        <w:spacing w:after="120"/>
        <w:jc w:val="both"/>
      </w:pPr>
      <w:r>
        <w:rPr>
          <w:rFonts w:ascii="Calibri" w:hAnsi="Calibri"/>
          <w:b w:val="0"/>
          <w:i w:val="0"/>
          <w:sz w:val="22"/>
        </w:rPr>
        <w:t>Quedo atento a tus comentarios. Si preferis una llamada antes de leer con calma, decime horario y me adapto.</w:t>
      </w:r>
    </w:p>
    <w:p>
      <w:pPr>
        <w:spacing w:after="120"/>
        <w:jc w:val="both"/>
      </w:pPr>
      <w:r>
        <w:rPr>
          <w:rFonts w:ascii="Calibri" w:hAnsi="Calibri"/>
          <w:b w:val="0"/>
          <w:i w:val="0"/>
          <w:sz w:val="22"/>
        </w:rPr>
        <w:t>Un fuerte abrazo,</w:t>
      </w:r>
    </w:p>
    <w:p>
      <w:pPr>
        <w:spacing w:after="120"/>
        <w:jc w:val="both"/>
      </w:pPr>
      <w:r>
        <w:rPr>
          <w:rFonts w:ascii="Calibri" w:hAnsi="Calibri"/>
          <w:b w:val="0"/>
          <w:i w:val="0"/>
          <w:sz w:val="22"/>
        </w:rPr>
        <w:t>Maikel Leyva Vazquez Editor-in-Chief, Neutrosophic Computing and Machine Learning Universidad Bolivariana del Ecuador / Universidad de Guayaquil mleyvaz@gmail.com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