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cs="Arial"/>
          <w:b/>
          <w:i w:val="0"/>
          <w:sz w:val="20"/>
        </w:rPr>
        <w:t>University of New Mexico</w:t>
      </w:r>
    </w:p>
    <w:p>
      <w:pPr>
        <w:spacing w:before="0" w:after="120" w:line="240" w:lineRule="auto"/>
        <w:jc w:val="center"/>
      </w:pPr>
      <w:r>
        <w:rPr>
          <w:rFonts w:ascii="Arial" w:hAnsi="Arial" w:cs="Arial"/>
          <w:b/>
          <w:i w:val="0"/>
          <w:sz w:val="36"/>
        </w:rPr>
        <w:t>Neutrosophic Computing and Machine Learning (2018-2026): una retrospectiva bibliometrica editorial</w:t>
      </w:r>
    </w:p>
    <w:p>
      <w:pPr>
        <w:spacing w:before="0" w:after="320" w:line="240" w:lineRule="auto"/>
        <w:jc w:val="center"/>
      </w:pPr>
      <w:r>
        <w:rPr>
          <w:rFonts w:ascii="Arial" w:hAnsi="Arial" w:cs="Arial"/>
          <w:b w:val="0"/>
          <w:i/>
          <w:sz w:val="36"/>
        </w:rPr>
        <w:t>Neutrosophic Computing and Machine Learning (2018-2026): an editorial bibliometric retrospective</w:t>
      </w:r>
    </w:p>
    <w:p>
      <w:pPr>
        <w:spacing w:after="80"/>
        <w:jc w:val="center"/>
      </w:pPr>
      <w:r>
        <w:rPr>
          <w:rFonts w:ascii="Arial" w:hAnsi="Arial" w:cs="Arial"/>
          <w:b w:val="0"/>
          <w:i w:val="0"/>
          <w:sz w:val="22"/>
        </w:rPr>
        <w:t>Maikel Leyva Vazquez</w:t>
      </w:r>
      <w:r>
        <w:rPr>
          <w:rFonts w:ascii="Arial" w:hAnsi="Arial" w:cs="Arial"/>
          <w:b w:val="0"/>
          <w:i w:val="0"/>
          <w:sz w:val="16"/>
          <w:vertAlign w:val="superscript"/>
        </w:rPr>
        <w:t>1*</w:t>
      </w:r>
      <w:r>
        <w:rPr>
          <w:rFonts w:ascii="Arial" w:hAnsi="Arial" w:cs="Arial"/>
          <w:b w:val="0"/>
          <w:i w:val="0"/>
          <w:sz w:val="22"/>
        </w:rPr>
        <w:t xml:space="preserve">, </w:t>
      </w:r>
      <w:r>
        <w:rPr>
          <w:rFonts w:ascii="Arial" w:hAnsi="Arial" w:cs="Arial"/>
          <w:b w:val="0"/>
          <w:i w:val="0"/>
          <w:sz w:val="22"/>
        </w:rPr>
        <w:t>Florentin Smarandache</w:t>
      </w:r>
      <w:r>
        <w:rPr>
          <w:rFonts w:ascii="Arial" w:hAnsi="Arial" w:cs="Arial"/>
          <w:b w:val="0"/>
          <w:i w:val="0"/>
          <w:sz w:val="16"/>
          <w:vertAlign w:val="superscript"/>
        </w:rPr>
        <w:t>2</w:t>
      </w:r>
      <w:r>
        <w:rPr>
          <w:rFonts w:ascii="Arial" w:hAnsi="Arial" w:cs="Arial"/>
          <w:b w:val="0"/>
          <w:i w:val="0"/>
          <w:sz w:val="22"/>
        </w:rPr>
        <w:t xml:space="preserve">, </w:t>
      </w:r>
      <w:r>
        <w:rPr>
          <w:rFonts w:ascii="Arial" w:hAnsi="Arial" w:cs="Arial"/>
          <w:b w:val="0"/>
          <w:i w:val="0"/>
          <w:sz w:val="22"/>
        </w:rPr>
        <w:t>[Tercer autor pendiente — bibliometrista externo]</w:t>
      </w:r>
      <w:r>
        <w:rPr>
          <w:rFonts w:ascii="Arial" w:hAnsi="Arial" w:cs="Arial"/>
          <w:b w:val="0"/>
          <w:i w:val="0"/>
          <w:sz w:val="16"/>
          <w:vertAlign w:val="superscript"/>
        </w:rPr>
        <w:t>3</w:t>
      </w:r>
    </w:p>
    <w:p>
      <w:pPr>
        <w:spacing w:after="40"/>
        <w:jc w:val="left"/>
      </w:pPr>
      <w:r>
        <w:rPr>
          <w:rFonts w:ascii="Arial" w:hAnsi="Arial" w:cs="Arial"/>
          <w:b w:val="0"/>
          <w:i w:val="0"/>
          <w:sz w:val="16"/>
          <w:vertAlign w:val="superscript"/>
        </w:rPr>
        <w:t xml:space="preserve">1 </w:t>
      </w:r>
      <w:r>
        <w:rPr>
          <w:rFonts w:ascii="Arial" w:hAnsi="Arial" w:cs="Arial"/>
          <w:b w:val="0"/>
          <w:i w:val="0"/>
          <w:sz w:val="18"/>
        </w:rPr>
        <w:t>Universidad Bolivariana del Ecuador; Editor-in-Chief, Neutrosophic Computing and Machine Learning. E-mail: mleyvaz@gmail.com</w:t>
      </w:r>
    </w:p>
    <w:p>
      <w:pPr>
        <w:spacing w:after="40"/>
        <w:jc w:val="left"/>
      </w:pPr>
      <w:r>
        <w:rPr>
          <w:rFonts w:ascii="Arial" w:hAnsi="Arial" w:cs="Arial"/>
          <w:b w:val="0"/>
          <w:i w:val="0"/>
          <w:sz w:val="16"/>
          <w:vertAlign w:val="superscript"/>
        </w:rPr>
        <w:t xml:space="preserve">2 </w:t>
      </w:r>
      <w:r>
        <w:rPr>
          <w:rFonts w:ascii="Arial" w:hAnsi="Arial" w:cs="Arial"/>
          <w:b w:val="0"/>
          <w:i w:val="0"/>
          <w:sz w:val="18"/>
        </w:rPr>
        <w:t>University of New Mexico, USA; Editor-in-Chief, Neutrosophic Sets and Systems. E-mail: smarand@unm.edu</w:t>
      </w:r>
    </w:p>
    <w:p>
      <w:pPr>
        <w:spacing w:after="40"/>
        <w:jc w:val="left"/>
      </w:pPr>
      <w:r>
        <w:rPr>
          <w:rFonts w:ascii="Arial" w:hAnsi="Arial" w:cs="Arial"/>
          <w:b w:val="0"/>
          <w:i w:val="0"/>
          <w:sz w:val="16"/>
          <w:vertAlign w:val="superscript"/>
        </w:rPr>
        <w:t xml:space="preserve">3 </w:t>
      </w:r>
      <w:r>
        <w:rPr>
          <w:rFonts w:ascii="Arial" w:hAnsi="Arial" w:cs="Arial"/>
          <w:b w:val="0"/>
          <w:i w:val="0"/>
          <w:sz w:val="18"/>
        </w:rPr>
        <w:t>[Institucion pendiente]. E-mail: [pendiente]</w:t>
      </w:r>
    </w:p>
    <w:p>
      <w:pPr>
        <w:spacing w:after="240"/>
        <w:jc w:val="left"/>
      </w:pPr>
      <w:r>
        <w:rPr>
          <w:rFonts w:ascii="Arial" w:hAnsi="Arial" w:cs="Arial"/>
          <w:b w:val="0"/>
          <w:i/>
          <w:sz w:val="18"/>
        </w:rPr>
        <w:t>*Autor de correspondencia: mleyvaz@gmail.com</w:t>
      </w:r>
    </w:p>
    <w:p>
      <w:pPr>
        <w:spacing w:before="240" w:after="120"/>
        <w:jc w:val="left"/>
      </w:pPr>
      <w:r>
        <w:rPr>
          <w:rFonts w:ascii="Arial" w:hAnsi="Arial" w:cs="Arial"/>
          <w:b/>
          <w:i w:val="0"/>
          <w:sz w:val="24"/>
        </w:rPr>
        <w:t>Abstract</w:t>
      </w:r>
    </w:p>
    <w:p>
      <w:pPr>
        <w:spacing w:after="80"/>
        <w:ind w:firstLine="340"/>
        <w:jc w:val="both"/>
      </w:pPr>
      <w:r>
        <w:rPr>
          <w:rFonts w:ascii="Times New Roman" w:hAnsi="Times New Roman" w:cs="Times New Roman"/>
          <w:b/>
          <w:i w:val="0"/>
          <w:sz w:val="20"/>
        </w:rPr>
        <w:t>Antecedentes.</w:t>
      </w:r>
      <w:r>
        <w:rPr>
          <w:rFonts w:ascii="Times New Roman" w:hAnsi="Times New Roman" w:cs="Times New Roman"/>
          <w:b w:val="0"/>
          <w:i w:val="0"/>
          <w:sz w:val="20"/>
        </w:rPr>
        <w:t xml:space="preserve">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es la revista aplicada del ecosistema neutrosofico fundado por Smarandache, con 42 volumenes publicados entre 2018 y 2026 (parcial). No existe una retrospectiva bibliometrica sistematica de la revista, y la critica reciente de Woodall et al. (2025) plantea preocupaciones empiricamente evaluables sobre la concentracion metodologica, citacional y geografica del campo.</w:t>
      </w:r>
    </w:p>
    <w:p>
      <w:pPr>
        <w:spacing w:after="80"/>
        <w:ind w:firstLine="340"/>
        <w:jc w:val="both"/>
      </w:pPr>
      <w:r>
        <w:rPr>
          <w:rFonts w:ascii="Times New Roman" w:hAnsi="Times New Roman" w:cs="Times New Roman"/>
          <w:b/>
          <w:i w:val="0"/>
          <w:sz w:val="20"/>
        </w:rPr>
        <w:t>Metodos.</w:t>
      </w:r>
      <w:r>
        <w:rPr>
          <w:rFonts w:ascii="Times New Roman" w:hAnsi="Times New Roman" w:cs="Times New Roman"/>
          <w:b w:val="0"/>
          <w:i w:val="0"/>
          <w:sz w:val="20"/>
        </w:rPr>
        <w:t xml:space="preserve"> Se construyo un corpus reproducible de 762 articulos mediante scraping del listado oficial, descarga y extraccion de texto completo con PyMuPDF, y enriquecimiento via OpenAlex (671/719 DOIs) y DataCite (704/719). Los autores se desambiguaron por union-find con cuatro reglas jerarquicas (ORCID, OpenAlex ID, forma canonica, iniciales). Se ajustaron las leyes de Lotka (MLE) y Bradford (particion en tres zonas), se construyo la red de coautoria (NetworkX + Louvain) y se modelaron topicos con embeddings multilingues + UMAP + KMeans sobre 725 resumenes. El impacto citacional se triangulo entre OpenAlex, Google Scholar Metrics y un muestreo Scholar estratificado (n=26).</w:t>
      </w:r>
    </w:p>
    <w:p>
      <w:pPr>
        <w:spacing w:after="80"/>
        <w:ind w:firstLine="340"/>
        <w:jc w:val="both"/>
      </w:pPr>
      <w:r>
        <w:rPr>
          <w:rFonts w:ascii="Times New Roman" w:hAnsi="Times New Roman" w:cs="Times New Roman"/>
          <w:b/>
          <w:i w:val="0"/>
          <w:sz w:val="20"/>
        </w:rPr>
        <w:t>Resultados.</w:t>
      </w:r>
      <w:r>
        <w:rPr>
          <w:rFonts w:ascii="Times New Roman" w:hAnsi="Times New Roman" w:cs="Times New Roman"/>
          <w:b w:val="0"/>
          <w:i w:val="0"/>
          <w:sz w:val="20"/>
        </w:rPr>
        <w:t xml:space="preserve"> La revista crecio con CAGR del 42% (2018-2025), de 24 a 250 articulos anuales. Los 1.363 autores unicos siguen una distribucion Lotka </w:t>
      </w:r>
      <w:r>
        <w:rPr>
          <w:rFonts w:ascii="Consolas" w:hAnsi="Consolas" w:cs="Consolas"/>
          <w:b w:val="0"/>
          <w:i w:val="0"/>
          <w:sz w:val="18"/>
        </w:rPr>
        <w:t>alpha = 2.03</w:t>
      </w:r>
      <w:r>
        <w:rPr>
          <w:rFonts w:ascii="Times New Roman" w:hAnsi="Times New Roman" w:cs="Times New Roman"/>
          <w:b w:val="0"/>
          <w:i w:val="0"/>
          <w:sz w:val="20"/>
        </w:rPr>
        <w:t xml:space="preserve"> (clasica) con exceso del 10% de autores one-shot y Pareto del 80% de articulos concentrados en el 17% de autores. La dispersion Bradford muestra un nucleo de solo cinco revistas que absorben el 33% de las citas (multiplicador empirico 14.8-30.5, vs 3-5 clasico), con auto-citacion al ecosistema NSS+NCML del 17.2%. La red de coautoria es extremadamente fragmentada (modularidad 0.96, componente principal 16%, 81 comunidades disjuntas). El modelado de topicos identifica 24 clusters tematicos y evidencia un cambio drastico de identidad: el topico educacion cayo -21.6 puntos porcentuales entre 2018-2020 y 2023-2025, sustituido por derecho aplicado y medicina clinica en contextos ecuatorianos. El impacto citacional discrepa en orden de magnitud entre fuentes: Google Scholar Metrics reporta h5-index=10 y h5-mediana=25, mientras OpenAlex reporta h=1 (factor 10x). La revista no esta indexada en Scopus.</w:t>
      </w:r>
    </w:p>
    <w:p>
      <w:pPr>
        <w:spacing w:after="80"/>
        <w:ind w:firstLine="340"/>
        <w:jc w:val="both"/>
      </w:pPr>
      <w:r>
        <w:rPr>
          <w:rFonts w:ascii="Times New Roman" w:hAnsi="Times New Roman" w:cs="Times New Roman"/>
          <w:b/>
          <w:i w:val="0"/>
          <w:sz w:val="20"/>
        </w:rPr>
        <w:t>Conclusiones.</w:t>
      </w:r>
      <w:r>
        <w:rPr>
          <w:rFonts w:ascii="Times New Roman" w:hAnsi="Times New Roman" w:cs="Times New Roman"/>
          <w:b w:val="0"/>
          <w:i w:val="0"/>
          <w:sz w:val="20"/>
        </w:rPr>
        <w:t xml:space="preserve"> NCML presenta una trayectoria de revista aplicada iberoamericana de alto crecimiento con dependencia estructural de un ecosistema editorial cerrado. Los tres cuestionamientos de Woodall et al. (2025) se verifican parcialmente. Se recomiendan cinco acciones editoriales: solicitar ISSN propio, implementar landing pages con metadatos </w:t>
      </w:r>
      <w:r>
        <w:rPr>
          <w:rFonts w:ascii="Consolas" w:hAnsi="Consolas" w:cs="Consolas"/>
          <w:b w:val="0"/>
          <w:i w:val="0"/>
          <w:sz w:val="18"/>
        </w:rPr>
        <w:t>citation_*</w:t>
      </w:r>
      <w:r>
        <w:rPr>
          <w:rFonts w:ascii="Times New Roman" w:hAnsi="Times New Roman" w:cs="Times New Roman"/>
          <w:b w:val="0"/>
          <w:i w:val="0"/>
          <w:sz w:val="20"/>
        </w:rPr>
        <w:t xml:space="preserve"> para visibilidad Scholar-DOAJ, diversificar geograficamente el Editorial Board, reservar espacios editoriales para teoria, y monitorear el ratio de auto-citacion del ecosistema.</w:t>
      </w:r>
    </w:p>
    <w:p>
      <w:pPr>
        <w:spacing w:after="80"/>
        <w:ind w:firstLine="340"/>
        <w:jc w:val="both"/>
      </w:pPr>
      <w:r>
        <w:rPr>
          <w:rFonts w:ascii="Times New Roman" w:hAnsi="Times New Roman" w:cs="Times New Roman"/>
          <w:b/>
          <w:i w:val="0"/>
          <w:sz w:val="20"/>
        </w:rPr>
        <w:t>Palabras clave:</w:t>
      </w:r>
      <w:r>
        <w:rPr>
          <w:rFonts w:ascii="Times New Roman" w:hAnsi="Times New Roman" w:cs="Times New Roman"/>
          <w:b w:val="0"/>
          <w:i w:val="0"/>
          <w:sz w:val="20"/>
        </w:rPr>
        <w:t xml:space="preserve"> bibliometria; revistas emergentes; neutrosofia; Google Scholar Metrics; OpenAlex; ley de Lotka; ley de Bradford; modelado de topicos; red de coautoria; retrospectiva editorial.</w:t>
      </w:r>
    </w:p>
    <w:p>
      <w:pPr>
        <w:spacing w:before="240" w:after="120"/>
        <w:jc w:val="left"/>
      </w:pPr>
      <w:r>
        <w:rPr>
          <w:rFonts w:ascii="Arial" w:hAnsi="Arial" w:cs="Arial"/>
          <w:b/>
          <w:i w:val="0"/>
          <w:sz w:val="24"/>
        </w:rPr>
        <w:t>2. Introduccion</w:t>
      </w:r>
    </w:p>
    <w:p>
      <w:pPr>
        <w:spacing w:before="160" w:after="80"/>
        <w:jc w:val="left"/>
      </w:pPr>
      <w:r>
        <w:rPr>
          <w:rFonts w:ascii="Arial" w:hAnsi="Arial" w:cs="Arial"/>
          <w:b/>
          <w:i w:val="0"/>
          <w:sz w:val="22"/>
        </w:rPr>
        <w:t>2.1 Contexto: bibliometria de revistas emergentes</w:t>
      </w:r>
    </w:p>
    <w:p>
      <w:pPr>
        <w:spacing w:after="80"/>
        <w:ind w:firstLine="340"/>
        <w:jc w:val="both"/>
      </w:pPr>
      <w:r>
        <w:rPr>
          <w:rFonts w:ascii="Times New Roman" w:hAnsi="Times New Roman" w:cs="Times New Roman"/>
          <w:b w:val="0"/>
          <w:i w:val="0"/>
          <w:sz w:val="20"/>
        </w:rPr>
        <w:t>Los estudios bibliometricos de revistas individuales cumplen una funcion triple en la comunidad editorial cientifica: documentan la evolucion historica de una publicacion, evidencian su estructura colaborativa, y exponen tanto sus fortalezas como sus sesgos sistemicos para el ajuste de politica editorial [Bradford 1934; TBD cita Garfield 1972]. Cuando los firmantes son los propios editores, el estudio adquiere ademas el caracter de auditoria interna, con las ventajas de acceso privilegiado a los datos y las desventajas del conflicto de interes.</w:t>
      </w:r>
    </w:p>
    <w:p>
      <w:pPr>
        <w:spacing w:after="80"/>
        <w:ind w:firstLine="340"/>
        <w:jc w:val="both"/>
      </w:pPr>
      <w:r>
        <w:rPr>
          <w:rFonts w:ascii="Times New Roman" w:hAnsi="Times New Roman" w:cs="Times New Roman"/>
          <w:b w:val="0"/>
          <w:i w:val="0"/>
          <w:sz w:val="20"/>
        </w:rPr>
        <w:t>Las revistas cientificas emergentes en paises de habla hispana enfrentan un doble desafio: demostrar impacto real en ecosistemas donde sus fuentes de citacion no son plenamente indexadas por las bases de datos comerciales (Scopus, Web of Science), y profesionalizar sus procesos editoriales para acceder a dichas bases. Las asimetrias entre fuentes — documentadas por Harzing y van der Wal [2008] en el caso de Google Scholar vs Web of Science, y extendidas por Martin-Martin et al. [2020] al contraste Scholar-OpenAlex-Scopus — son particularmente severas para las revistas de ciencias sociales de Iberoamerica y para las revistas que publican via repositorios de acceso abierto como Zenodo o SciELO.</w:t>
      </w:r>
    </w:p>
    <w:p>
      <w:pPr>
        <w:spacing w:before="160" w:after="80"/>
        <w:jc w:val="left"/>
      </w:pPr>
      <w:r>
        <w:rPr>
          <w:rFonts w:ascii="Arial" w:hAnsi="Arial" w:cs="Arial"/>
          <w:b/>
          <w:i w:val="0"/>
          <w:sz w:val="22"/>
        </w:rPr>
        <w:t>2.2 El ecosistema neutrosofico</w:t>
      </w:r>
    </w:p>
    <w:p>
      <w:pPr>
        <w:spacing w:after="80"/>
        <w:ind w:firstLine="340"/>
        <w:jc w:val="both"/>
      </w:pPr>
      <w:r>
        <w:rPr>
          <w:rFonts w:ascii="Times New Roman" w:hAnsi="Times New Roman" w:cs="Times New Roman"/>
          <w:b w:val="0"/>
          <w:i w:val="0"/>
          <w:sz w:val="20"/>
        </w:rPr>
        <w:t xml:space="preserve">La neutrosofia, formalizada por Smarandache en 1998 como extension trivaluada de la teoria de conjuntos difusos [Smarandache 1998, 1999], ha generado desde entonces un ecosistema editorial especifico articulado alrededor de la figura fundadora y la </w:t>
      </w:r>
      <w:r>
        <w:rPr>
          <w:rFonts w:ascii="Times New Roman" w:hAnsi="Times New Roman" w:cs="Times New Roman"/>
          <w:b w:val="0"/>
          <w:i/>
          <w:sz w:val="20"/>
        </w:rPr>
        <w:t>Neutrosophic Science International Association</w:t>
      </w:r>
      <w:r>
        <w:rPr>
          <w:rFonts w:ascii="Times New Roman" w:hAnsi="Times New Roman" w:cs="Times New Roman"/>
          <w:b w:val="0"/>
          <w:i w:val="0"/>
          <w:sz w:val="20"/>
        </w:rPr>
        <w:t xml:space="preserve"> (NSIA). La revista decana del ecosistema es </w:t>
      </w:r>
      <w:r>
        <w:rPr>
          <w:rFonts w:ascii="Times New Roman" w:hAnsi="Times New Roman" w:cs="Times New Roman"/>
          <w:b w:val="0"/>
          <w:i/>
          <w:sz w:val="20"/>
        </w:rPr>
        <w:t>Neutrosophic Sets and Systems</w:t>
      </w:r>
      <w:r>
        <w:rPr>
          <w:rFonts w:ascii="Times New Roman" w:hAnsi="Times New Roman" w:cs="Times New Roman"/>
          <w:b w:val="0"/>
          <w:i w:val="0"/>
          <w:sz w:val="20"/>
        </w:rPr>
        <w:t xml:space="preserve"> (NSS), fundada en 2013 y indexada en Scopus en 2021, con un h5-index de 57 en Google Scholar Metrics al cierre de 2024. A ella se sumaron el </w:t>
      </w:r>
      <w:r>
        <w:rPr>
          <w:rFonts w:ascii="Times New Roman" w:hAnsi="Times New Roman" w:cs="Times New Roman"/>
          <w:b w:val="0"/>
          <w:i/>
          <w:sz w:val="20"/>
        </w:rPr>
        <w:t>International Journal of Neutrosophic Science</w:t>
      </w:r>
      <w:r>
        <w:rPr>
          <w:rFonts w:ascii="Times New Roman" w:hAnsi="Times New Roman" w:cs="Times New Roman"/>
          <w:b w:val="0"/>
          <w:i w:val="0"/>
          <w:sz w:val="20"/>
        </w:rPr>
        <w:t xml:space="preserve"> (IJNS, 2019; h5-index 31) y, como canal de aplicaciones y metodos computacionales,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que comenzo su publicacion en 2018 y hasta abril de 2026 acumula 42 volumenes bajo la gestion editorial de uno de los autores del presente estudio.</w:t>
      </w:r>
    </w:p>
    <w:p>
      <w:pPr>
        <w:spacing w:after="80"/>
        <w:ind w:firstLine="340"/>
        <w:jc w:val="both"/>
      </w:pPr>
      <w:r>
        <w:rPr>
          <w:rFonts w:ascii="Times New Roman" w:hAnsi="Times New Roman" w:cs="Times New Roman"/>
          <w:b w:val="0"/>
          <w:i w:val="0"/>
          <w:sz w:val="20"/>
        </w:rPr>
        <w:t>NCML fue concebida como complemento aplicado a NSS, con enfasis en casos de estudio, metodos multicriterio y aplicaciones de software. Durante sus primeros anos publico 24-35 articulos anuales con fuerte componente latinoamericano (principalmente Cuba y Ecuador). A partir de 2022 la revista experimento una expansion editorial que llevo la produccion a mas de 250 articulos anuales en 2025. Hasta donde conocen los autores, no se ha publicado ninguna retrospectiva bibliometrica sistematica de NCML.</w:t>
      </w:r>
    </w:p>
    <w:p>
      <w:pPr>
        <w:spacing w:before="160" w:after="80"/>
        <w:jc w:val="left"/>
      </w:pPr>
      <w:r>
        <w:rPr>
          <w:rFonts w:ascii="Arial" w:hAnsi="Arial" w:cs="Arial"/>
          <w:b/>
          <w:i w:val="0"/>
          <w:sz w:val="22"/>
        </w:rPr>
        <w:t>2.3 Critica metodologica reciente: Woodall et al. 2025</w:t>
      </w:r>
    </w:p>
    <w:p>
      <w:pPr>
        <w:spacing w:after="80"/>
        <w:ind w:firstLine="340"/>
        <w:jc w:val="both"/>
      </w:pPr>
      <w:r>
        <w:rPr>
          <w:rFonts w:ascii="Times New Roman" w:hAnsi="Times New Roman" w:cs="Times New Roman"/>
          <w:b w:val="0"/>
          <w:i w:val="0"/>
          <w:sz w:val="20"/>
        </w:rPr>
        <w:t xml:space="preserve">En abril de 2025, Woodall, Faltin y Reynolds publicaron en </w:t>
      </w:r>
      <w:r>
        <w:rPr>
          <w:rFonts w:ascii="Times New Roman" w:hAnsi="Times New Roman" w:cs="Times New Roman"/>
          <w:b w:val="0"/>
          <w:i/>
          <w:sz w:val="20"/>
        </w:rPr>
        <w:t>Quality Engineering</w:t>
      </w:r>
      <w:r>
        <w:rPr>
          <w:rFonts w:ascii="Times New Roman" w:hAnsi="Times New Roman" w:cs="Times New Roman"/>
          <w:b w:val="0"/>
          <w:i w:val="0"/>
          <w:sz w:val="20"/>
        </w:rPr>
        <w:t xml:space="preserve"> una critica sustantiva a los usos inferenciales de los conjuntos neutrosoficos en control estadistico de procesos y toma de decisiones multicriterio [Woodall et al. 2025, DOI 10.1080/08982112.2025.2482198]. Sus cuestionamientos centrales se pueden sintetizar en tres puntos: (i) la mayoria de las aplicaciones reportadas utilizan configuraciones estandar de AHP-TOPSIS con numeros neutrosoficos sin justificar por que la indeterminacion se modela con tres componentes; (ii) las comparaciones con enfoques difusos clasicos o bayesianos estan ausentes o son superficiales; y (iii) el circulo de citaciones dentro del ecosistema neutrosofico limita la validacion externa de los metodos.</w:t>
      </w:r>
    </w:p>
    <w:p>
      <w:pPr>
        <w:spacing w:after="80"/>
        <w:ind w:firstLine="340"/>
        <w:jc w:val="both"/>
      </w:pPr>
      <w:r>
        <w:rPr>
          <w:rFonts w:ascii="Times New Roman" w:hAnsi="Times New Roman" w:cs="Times New Roman"/>
          <w:b w:val="0"/>
          <w:i w:val="0"/>
          <w:sz w:val="20"/>
        </w:rPr>
        <w:t>La critica ofrece un marco util para un estudio bibliometrico que documente empiricamente las tres senales que Woodall y coautores denuncian como indicios de un campo autorreferencial: concentracion metodologica, concentracion citacional y concentracion geografica. El presente estudio adopta explicitamente ese marco como hipotesis, sin asumir a priori que las tres se verifican, y permitiendo que los datos la sostengan, matizen o refuten.</w:t>
      </w:r>
    </w:p>
    <w:p>
      <w:pPr>
        <w:spacing w:before="160" w:after="80"/>
        <w:jc w:val="left"/>
      </w:pPr>
      <w:r>
        <w:rPr>
          <w:rFonts w:ascii="Arial" w:hAnsi="Arial" w:cs="Arial"/>
          <w:b/>
          <w:i w:val="0"/>
          <w:sz w:val="22"/>
        </w:rPr>
        <w:t>2.4 Objetivos y preguntas de investigacion</w:t>
      </w:r>
    </w:p>
    <w:p>
      <w:pPr>
        <w:spacing w:after="80"/>
        <w:ind w:firstLine="340"/>
        <w:jc w:val="both"/>
      </w:pPr>
      <w:r>
        <w:rPr>
          <w:rFonts w:ascii="Times New Roman" w:hAnsi="Times New Roman" w:cs="Times New Roman"/>
          <w:b w:val="0"/>
          <w:i w:val="0"/>
          <w:sz w:val="20"/>
        </w:rPr>
        <w:t>Este estudio persigue tres objetivos articulados: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Descriptivo</w:t>
      </w:r>
      <w:r>
        <w:rPr>
          <w:rFonts w:ascii="Times New Roman" w:hAnsi="Times New Roman" w:cs="Times New Roman"/>
          <w:b w:val="0"/>
          <w:i w:val="0"/>
          <w:sz w:val="20"/>
        </w:rPr>
        <w:t xml:space="preserve">: documentar la trayectoria editorial de NCML entre 2018 y 2026, incluyendo volumen anual, agenda tematica, geografia de autorias, y estructura de coautoria. 2. </w:t>
      </w:r>
      <w:r>
        <w:rPr>
          <w:rFonts w:ascii="Times New Roman" w:hAnsi="Times New Roman" w:cs="Times New Roman"/>
          <w:b/>
          <w:i w:val="0"/>
          <w:sz w:val="20"/>
        </w:rPr>
        <w:t>Analitico</w:t>
      </w:r>
      <w:r>
        <w:rPr>
          <w:rFonts w:ascii="Times New Roman" w:hAnsi="Times New Roman" w:cs="Times New Roman"/>
          <w:b w:val="0"/>
          <w:i w:val="0"/>
          <w:sz w:val="20"/>
        </w:rPr>
        <w:t xml:space="preserve">: ajustar leyes clasicas de la bibliometria (Lotka, Bradford) y contrastarlas con los valores de referencia teoricos y con la literatura comparada de revistas hispanas de ciencias sociales. 3. </w:t>
      </w:r>
      <w:r>
        <w:rPr>
          <w:rFonts w:ascii="Times New Roman" w:hAnsi="Times New Roman" w:cs="Times New Roman"/>
          <w:b/>
          <w:i w:val="0"/>
          <w:sz w:val="20"/>
        </w:rPr>
        <w:t>Diagnostico</w:t>
      </w:r>
      <w:r>
        <w:rPr>
          <w:rFonts w:ascii="Times New Roman" w:hAnsi="Times New Roman" w:cs="Times New Roman"/>
          <w:b w:val="0"/>
          <w:i w:val="0"/>
          <w:sz w:val="20"/>
        </w:rPr>
        <w:t>: estimar el impacto real de NCML triangulando OpenAlex, Google Scholar Metrics y un muestreo de citas Scholar, y evaluar empiricamente las tres concentraciones senaladas por Woodall et al. (2025).</w:t>
      </w:r>
    </w:p>
    <w:p>
      <w:pPr>
        <w:spacing w:after="80"/>
        <w:ind w:firstLine="340"/>
        <w:jc w:val="both"/>
      </w:pPr>
      <w:r>
        <w:rPr>
          <w:rFonts w:ascii="Times New Roman" w:hAnsi="Times New Roman" w:cs="Times New Roman"/>
          <w:b w:val="0"/>
          <w:i w:val="0"/>
          <w:sz w:val="20"/>
        </w:rPr>
        <w:t>De estos objetivos se derivan cinco preguntas de investigacion:</w:t>
      </w:r>
    </w:p>
    <w:p>
      <w:pPr>
        <w:pStyle w:val="ListBullet"/>
        <w:spacing w:after="40" w:line="240" w:lineRule="auto"/>
      </w:pPr>
      <w:r>
        <w:rPr>
          <w:rFonts w:ascii="Times New Roman" w:hAnsi="Times New Roman" w:cs="Times New Roman"/>
          <w:b/>
          <w:i w:val="0"/>
          <w:sz w:val="20"/>
        </w:rPr>
        <w:t>RQ1.</w:t>
      </w:r>
      <w:r>
        <w:rPr>
          <w:rFonts w:ascii="Times New Roman" w:hAnsi="Times New Roman" w:cs="Times New Roman"/>
          <w:b w:val="0"/>
          <w:i w:val="0"/>
          <w:sz w:val="20"/>
        </w:rPr>
        <w:t xml:space="preserve"> ¿Como evoluciono el volumen editorial y la composicion</w:t>
      </w:r>
    </w:p>
    <w:p>
      <w:pPr>
        <w:spacing w:after="80"/>
        <w:ind w:firstLine="340"/>
        <w:jc w:val="both"/>
      </w:pPr>
      <w:r>
        <w:rPr>
          <w:rFonts w:ascii="Times New Roman" w:hAnsi="Times New Roman" w:cs="Times New Roman"/>
          <w:b w:val="0"/>
          <w:i w:val="0"/>
          <w:sz w:val="20"/>
        </w:rPr>
        <w:t>geografica e institucional de NCML a lo largo de sus 42 volumenes?</w:t>
      </w:r>
    </w:p>
    <w:p>
      <w:pPr>
        <w:pStyle w:val="ListBullet"/>
        <w:spacing w:after="40" w:line="240" w:lineRule="auto"/>
      </w:pPr>
      <w:r>
        <w:rPr>
          <w:rFonts w:ascii="Times New Roman" w:hAnsi="Times New Roman" w:cs="Times New Roman"/>
          <w:b/>
          <w:i w:val="0"/>
          <w:sz w:val="20"/>
        </w:rPr>
        <w:t>RQ2.</w:t>
      </w:r>
      <w:r>
        <w:rPr>
          <w:rFonts w:ascii="Times New Roman" w:hAnsi="Times New Roman" w:cs="Times New Roman"/>
          <w:b w:val="0"/>
          <w:i w:val="0"/>
          <w:sz w:val="20"/>
        </w:rPr>
        <w:t xml:space="preserve"> ¿Como se distribuye la productividad entre los 1.363 autores</w:t>
      </w:r>
    </w:p>
    <w:p>
      <w:pPr>
        <w:spacing w:after="80"/>
        <w:ind w:firstLine="340"/>
        <w:jc w:val="both"/>
      </w:pPr>
      <w:r>
        <w:rPr>
          <w:rFonts w:ascii="Times New Roman" w:hAnsi="Times New Roman" w:cs="Times New Roman"/>
          <w:b w:val="0"/>
          <w:i w:val="0"/>
          <w:sz w:val="20"/>
        </w:rPr>
        <w:t>unicos del corpus, y que estructura de colegios invisibles se identifica en el grafo de coautoria?</w:t>
      </w:r>
    </w:p>
    <w:p>
      <w:pPr>
        <w:pStyle w:val="ListBullet"/>
        <w:spacing w:after="40" w:line="240" w:lineRule="auto"/>
      </w:pPr>
      <w:r>
        <w:rPr>
          <w:rFonts w:ascii="Times New Roman" w:hAnsi="Times New Roman" w:cs="Times New Roman"/>
          <w:b/>
          <w:i w:val="0"/>
          <w:sz w:val="20"/>
        </w:rPr>
        <w:t>RQ3.</w:t>
      </w:r>
      <w:r>
        <w:rPr>
          <w:rFonts w:ascii="Times New Roman" w:hAnsi="Times New Roman" w:cs="Times New Roman"/>
          <w:b w:val="0"/>
          <w:i w:val="0"/>
          <w:sz w:val="20"/>
        </w:rPr>
        <w:t xml:space="preserve"> ¿Que patron de dispersion siguen las revistas citadas por NCML</w:t>
      </w:r>
    </w:p>
    <w:p>
      <w:pPr>
        <w:spacing w:after="80"/>
        <w:ind w:firstLine="340"/>
        <w:jc w:val="both"/>
      </w:pPr>
      <w:r>
        <w:rPr>
          <w:rFonts w:ascii="Times New Roman" w:hAnsi="Times New Roman" w:cs="Times New Roman"/>
          <w:b w:val="0"/>
          <w:i w:val="0"/>
          <w:sz w:val="20"/>
        </w:rPr>
        <w:t>y cual es la tasa de auto-citacion hacia el ecosistema neutrosofico?</w:t>
      </w:r>
    </w:p>
    <w:p>
      <w:pPr>
        <w:pStyle w:val="ListBullet"/>
        <w:spacing w:after="40" w:line="240" w:lineRule="auto"/>
      </w:pPr>
      <w:r>
        <w:rPr>
          <w:rFonts w:ascii="Times New Roman" w:hAnsi="Times New Roman" w:cs="Times New Roman"/>
          <w:b/>
          <w:i w:val="0"/>
          <w:sz w:val="20"/>
        </w:rPr>
        <w:t>RQ4.</w:t>
      </w:r>
      <w:r>
        <w:rPr>
          <w:rFonts w:ascii="Times New Roman" w:hAnsi="Times New Roman" w:cs="Times New Roman"/>
          <w:b w:val="0"/>
          <w:i w:val="0"/>
          <w:sz w:val="20"/>
        </w:rPr>
        <w:t xml:space="preserve"> ¿Cuantos topicos agrupan la produccion de NCML y como evoluciono</w:t>
      </w:r>
    </w:p>
    <w:p>
      <w:pPr>
        <w:spacing w:after="80"/>
        <w:ind w:firstLine="340"/>
        <w:jc w:val="both"/>
      </w:pPr>
      <w:r>
        <w:rPr>
          <w:rFonts w:ascii="Times New Roman" w:hAnsi="Times New Roman" w:cs="Times New Roman"/>
          <w:b w:val="0"/>
          <w:i w:val="0"/>
          <w:sz w:val="20"/>
        </w:rPr>
        <w:t>el share de cada topico entre 2018-2020 y 2023-2025?</w:t>
      </w:r>
    </w:p>
    <w:p>
      <w:pPr>
        <w:pStyle w:val="ListBullet"/>
        <w:spacing w:after="40" w:line="240" w:lineRule="auto"/>
      </w:pPr>
      <w:r>
        <w:rPr>
          <w:rFonts w:ascii="Times New Roman" w:hAnsi="Times New Roman" w:cs="Times New Roman"/>
          <w:b/>
          <w:i w:val="0"/>
          <w:sz w:val="20"/>
        </w:rPr>
        <w:t>RQ5.</w:t>
      </w:r>
      <w:r>
        <w:rPr>
          <w:rFonts w:ascii="Times New Roman" w:hAnsi="Times New Roman" w:cs="Times New Roman"/>
          <w:b w:val="0"/>
          <w:i w:val="0"/>
          <w:sz w:val="20"/>
        </w:rPr>
        <w:t xml:space="preserve"> ¿Cuanto difiere la senal de impacto citacional segun la fuente</w:t>
      </w:r>
    </w:p>
    <w:p>
      <w:pPr>
        <w:spacing w:after="80"/>
        <w:ind w:firstLine="340"/>
        <w:jc w:val="both"/>
      </w:pPr>
      <w:r>
        <w:rPr>
          <w:rFonts w:ascii="Times New Roman" w:hAnsi="Times New Roman" w:cs="Times New Roman"/>
          <w:b w:val="0"/>
          <w:i w:val="0"/>
          <w:sz w:val="20"/>
        </w:rPr>
        <w:t>bibliometrica consultada, y que lecciones se derivan para la estrategia de indexacion de la revista?</w:t>
      </w:r>
    </w:p>
    <w:p>
      <w:pPr>
        <w:spacing w:before="160" w:after="80"/>
        <w:jc w:val="left"/>
      </w:pPr>
      <w:r>
        <w:rPr>
          <w:rFonts w:ascii="Arial" w:hAnsi="Arial" w:cs="Arial"/>
          <w:b/>
          <w:i w:val="0"/>
          <w:sz w:val="22"/>
        </w:rPr>
        <w:t>2.5 Contribucion y estructura</w:t>
      </w:r>
    </w:p>
    <w:p>
      <w:pPr>
        <w:spacing w:after="80"/>
        <w:ind w:firstLine="340"/>
        <w:jc w:val="both"/>
      </w:pPr>
      <w:r>
        <w:rPr>
          <w:rFonts w:ascii="Times New Roman" w:hAnsi="Times New Roman" w:cs="Times New Roman"/>
          <w:b w:val="0"/>
          <w:i w:val="0"/>
          <w:sz w:val="20"/>
        </w:rPr>
        <w:t>La contribucion principal del estudio es dotar al ecosistema neutrosofico de una primera linea base empirica sobre NCML, construida con un pipeline reproducible y documentada con limitaciones explicitas. Como contribucion secundaria, el estudio pone a disposicion publica el codigo fuente, los datos intermedios (metadatos enriquecidos, matriz de embeddings, grafo de coautoria) y las ocho figuras de analisis, con el objetivo de que terceros puedan extender o refutar las conclusiones.</w:t>
      </w:r>
    </w:p>
    <w:p>
      <w:pPr>
        <w:spacing w:after="80"/>
        <w:ind w:firstLine="340"/>
        <w:jc w:val="both"/>
      </w:pPr>
      <w:r>
        <w:rPr>
          <w:rFonts w:ascii="Times New Roman" w:hAnsi="Times New Roman" w:cs="Times New Roman"/>
          <w:b w:val="0"/>
          <w:i w:val="0"/>
          <w:sz w:val="20"/>
        </w:rPr>
        <w:t>El resto del paper se estructura en cuatro secciones. La Seccion 3 detalla el pipeline metodologico y su reproducibilidad. La Seccion 4 presenta los resultados organizados por pregunta de investigacion. La Seccion 5 discute las implicaciones para la politica editorial de NCML a la luz de la critica Woodall et al. (2025) y de la literatura bibliometrica comparada. La Seccion 6 concluye y enumera cinco lineas de trabajo futuro.</w:t>
      </w:r>
    </w:p>
    <w:p>
      <w:pPr>
        <w:spacing w:before="240" w:after="120"/>
        <w:jc w:val="left"/>
      </w:pPr>
      <w:r>
        <w:rPr>
          <w:rFonts w:ascii="Arial" w:hAnsi="Arial" w:cs="Arial"/>
          <w:b/>
          <w:i w:val="0"/>
          <w:sz w:val="24"/>
        </w:rPr>
        <w:t>3. Metodos</w:t>
      </w:r>
    </w:p>
    <w:p>
      <w:pPr>
        <w:spacing w:before="160" w:after="80"/>
        <w:jc w:val="left"/>
      </w:pPr>
      <w:r>
        <w:rPr>
          <w:rFonts w:ascii="Arial" w:hAnsi="Arial" w:cs="Arial"/>
          <w:b/>
          <w:i w:val="0"/>
          <w:sz w:val="22"/>
        </w:rPr>
        <w:t>3.1 Diseno del estudio</w:t>
      </w:r>
    </w:p>
    <w:p>
      <w:pPr>
        <w:spacing w:after="80"/>
        <w:ind w:firstLine="340"/>
        <w:jc w:val="both"/>
      </w:pPr>
      <w:r>
        <w:rPr>
          <w:rFonts w:ascii="Times New Roman" w:hAnsi="Times New Roman" w:cs="Times New Roman"/>
          <w:b w:val="0"/>
          <w:i w:val="0"/>
          <w:sz w:val="20"/>
        </w:rPr>
        <w:t xml:space="preserve">Se ejecuto un analisis bibliometrico descriptivo de los articulos publicados por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entre el Volumen 1 (2018) y el Volumen 42 (2026, parcial), siguiendo una adaptacion del protocolo PRISMA para estudios bibliometricos [PRISMA 2020]. La naturaleza editorial de los autores principales (Editors-in-Chief de NCML y NSS) motivo la incorporacion de un tercer autor externo al ecosistema neutrosofico para el diseno y ejecucion del analisis, con el fin de mitigar el sesgo de interpretacion. Todo el codigo fuente y los datos intermedios estan disponibles en el repositorio asociado [TBD URL OSF/GitHub].</w:t>
      </w:r>
    </w:p>
    <w:p>
      <w:pPr>
        <w:spacing w:before="160" w:after="80"/>
        <w:jc w:val="left"/>
      </w:pPr>
      <w:r>
        <w:rPr>
          <w:rFonts w:ascii="Arial" w:hAnsi="Arial" w:cs="Arial"/>
          <w:b/>
          <w:i w:val="0"/>
          <w:sz w:val="22"/>
        </w:rPr>
        <w:t>3.2 Fuentes de datos</w:t>
      </w:r>
    </w:p>
    <w:p>
      <w:pPr>
        <w:spacing w:after="80"/>
        <w:ind w:firstLine="340"/>
        <w:jc w:val="both"/>
      </w:pPr>
      <w:r>
        <w:rPr>
          <w:rFonts w:ascii="Times New Roman" w:hAnsi="Times New Roman" w:cs="Times New Roman"/>
          <w:b w:val="0"/>
          <w:i w:val="0"/>
          <w:sz w:val="20"/>
        </w:rPr>
        <w:t xml:space="preserve">La fuente primaria fue el listado oficial de articulos de NCML en </w:t>
      </w:r>
      <w:r>
        <w:rPr>
          <w:rFonts w:ascii="Consolas" w:hAnsi="Consolas" w:cs="Consolas"/>
          <w:b w:val="0"/>
          <w:i w:val="0"/>
          <w:sz w:val="18"/>
        </w:rPr>
        <w:t>https://fs.unm.edu/NCML/Articles.htm</w:t>
      </w:r>
      <w:r>
        <w:rPr>
          <w:rFonts w:ascii="Times New Roman" w:hAnsi="Times New Roman" w:cs="Times New Roman"/>
          <w:b w:val="0"/>
          <w:i w:val="0"/>
          <w:sz w:val="20"/>
        </w:rPr>
        <w:t>, scrapeado el 19 de abril de 2026. Se complementaron los metadatos con cuatro fuentes adicionales: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OpenAlex</w:t>
      </w:r>
      <w:r>
        <w:rPr>
          <w:rFonts w:ascii="Times New Roman" w:hAnsi="Times New Roman" w:cs="Times New Roman"/>
          <w:b w:val="0"/>
          <w:i w:val="0"/>
          <w:sz w:val="20"/>
        </w:rPr>
        <w:t xml:space="preserve"> (api.openalex.org), para identificadores de autor, afiliaciones institucionales y paises, recuento de citas, y clasificacion conceptual. 2. </w:t>
      </w:r>
      <w:r>
        <w:rPr>
          <w:rFonts w:ascii="Times New Roman" w:hAnsi="Times New Roman" w:cs="Times New Roman"/>
          <w:b/>
          <w:i w:val="0"/>
          <w:sz w:val="20"/>
        </w:rPr>
        <w:t>DataCite</w:t>
      </w:r>
      <w:r>
        <w:rPr>
          <w:rFonts w:ascii="Times New Roman" w:hAnsi="Times New Roman" w:cs="Times New Roman"/>
          <w:b w:val="0"/>
          <w:i w:val="0"/>
          <w:sz w:val="20"/>
        </w:rPr>
        <w:t xml:space="preserve"> (api.datacite.org), para metadatos de registros Zenodo, visualizaciones y descargas. 3. </w:t>
      </w:r>
      <w:r>
        <w:rPr>
          <w:rFonts w:ascii="Times New Roman" w:hAnsi="Times New Roman" w:cs="Times New Roman"/>
          <w:b/>
          <w:i w:val="0"/>
          <w:sz w:val="20"/>
        </w:rPr>
        <w:t>Google Scholar Metrics</w:t>
      </w:r>
      <w:r>
        <w:rPr>
          <w:rFonts w:ascii="Times New Roman" w:hAnsi="Times New Roman" w:cs="Times New Roman"/>
          <w:b w:val="0"/>
          <w:i w:val="0"/>
          <w:sz w:val="20"/>
        </w:rPr>
        <w:t xml:space="preserve">, consultado via Scholar (venue search), para obtener indices h5-index y h5-mediana de NCML y revistas hermanas del ecosistema neutrosofico. 4. </w:t>
      </w:r>
      <w:r>
        <w:rPr>
          <w:rFonts w:ascii="Times New Roman" w:hAnsi="Times New Roman" w:cs="Times New Roman"/>
          <w:b/>
          <w:i w:val="0"/>
          <w:sz w:val="20"/>
        </w:rPr>
        <w:t>Google Scholar</w:t>
      </w:r>
      <w:r>
        <w:rPr>
          <w:rFonts w:ascii="Times New Roman" w:hAnsi="Times New Roman" w:cs="Times New Roman"/>
          <w:b w:val="0"/>
          <w:i w:val="0"/>
          <w:sz w:val="20"/>
        </w:rPr>
        <w:t xml:space="preserve"> (scraping muestreado), para estimar citas por articulo en una muestra estratificada.</w:t>
      </w:r>
    </w:p>
    <w:p>
      <w:pPr>
        <w:spacing w:before="160" w:after="80"/>
        <w:jc w:val="left"/>
      </w:pPr>
      <w:r>
        <w:rPr>
          <w:rFonts w:ascii="Arial" w:hAnsi="Arial" w:cs="Arial"/>
          <w:b/>
          <w:i w:val="0"/>
          <w:sz w:val="22"/>
        </w:rPr>
        <w:t>3.3 Construccion del corpus</w:t>
      </w:r>
    </w:p>
    <w:p>
      <w:pPr>
        <w:spacing w:after="80"/>
        <w:ind w:firstLine="340"/>
        <w:jc w:val="both"/>
      </w:pPr>
      <w:r>
        <w:rPr>
          <w:rFonts w:ascii="Times New Roman" w:hAnsi="Times New Roman" w:cs="Times New Roman"/>
          <w:b w:val="0"/>
          <w:i w:val="0"/>
          <w:sz w:val="20"/>
        </w:rPr>
        <w:t>Se descargaron los PDF completos de los 762 articulos indexados en la pagina oficial (cobertura 95.5%, 33 URL con encoding corrupto desde origen). Para cada PDF se extrajo texto completo mediante PyMuPDF 1.27 [TBD cita], y se identificaron por heuristica las secciones siguientes: resumen en espanol, abstract en ingles, palabras clave, correos electronicos institucionales y bloque de referencias. Las tasas de extraccion correcta fueron 91.5% para resumen en espanol, 41% para abstract en ingles (menor cobertura por monolinguismo historico de la revista), 94% para palabras clave y 95% para bloque de referencias.</w:t>
      </w:r>
    </w:p>
    <w:p>
      <w:pPr>
        <w:spacing w:before="160" w:after="80"/>
        <w:jc w:val="left"/>
      </w:pPr>
      <w:r>
        <w:rPr>
          <w:rFonts w:ascii="Arial" w:hAnsi="Arial" w:cs="Arial"/>
          <w:b/>
          <w:i w:val="0"/>
          <w:sz w:val="22"/>
        </w:rPr>
        <w:t>3.4 Enriquecimiento via API</w:t>
      </w:r>
    </w:p>
    <w:p>
      <w:pPr>
        <w:spacing w:after="80"/>
        <w:ind w:firstLine="340"/>
        <w:jc w:val="both"/>
      </w:pPr>
      <w:r>
        <w:rPr>
          <w:rFonts w:ascii="Times New Roman" w:hAnsi="Times New Roman" w:cs="Times New Roman"/>
          <w:b w:val="0"/>
          <w:i w:val="0"/>
          <w:sz w:val="20"/>
        </w:rPr>
        <w:t xml:space="preserve">Las 719 DOIs unicas (en formato </w:t>
      </w:r>
      <w:r>
        <w:rPr>
          <w:rFonts w:ascii="Consolas" w:hAnsi="Consolas" w:cs="Consolas"/>
          <w:b w:val="0"/>
          <w:i w:val="0"/>
          <w:sz w:val="18"/>
        </w:rPr>
        <w:t>10.5281/zenodo.N</w:t>
      </w:r>
      <w:r>
        <w:rPr>
          <w:rFonts w:ascii="Times New Roman" w:hAnsi="Times New Roman" w:cs="Times New Roman"/>
          <w:b w:val="0"/>
          <w:i w:val="0"/>
          <w:sz w:val="20"/>
        </w:rPr>
        <w:t xml:space="preserve">) se consultaron en paralelo contra OpenAlex y DataCite, obteniendo respuesta positiva en el 93.3% y 97.9% respectivamente. La concurrencia se limito a 8 hilos con </w:t>
      </w:r>
      <w:r>
        <w:rPr>
          <w:rFonts w:ascii="Consolas" w:hAnsi="Consolas" w:cs="Consolas"/>
          <w:b w:val="0"/>
          <w:i w:val="0"/>
          <w:sz w:val="18"/>
        </w:rPr>
        <w:t>User-Agent</w:t>
      </w:r>
      <w:r>
        <w:rPr>
          <w:rFonts w:ascii="Times New Roman" w:hAnsi="Times New Roman" w:cs="Times New Roman"/>
          <w:b w:val="0"/>
          <w:i w:val="0"/>
          <w:sz w:val="20"/>
        </w:rPr>
        <w:t xml:space="preserve"> identificado para ingresar al pool cortes de ambas APIs. Los registros en bruto se almacenaron en JSONL para reproducibilidad.</w:t>
      </w:r>
    </w:p>
    <w:p>
      <w:pPr>
        <w:spacing w:before="160" w:after="80"/>
        <w:jc w:val="left"/>
      </w:pPr>
      <w:r>
        <w:rPr>
          <w:rFonts w:ascii="Arial" w:hAnsi="Arial" w:cs="Arial"/>
          <w:b/>
          <w:i w:val="0"/>
          <w:sz w:val="22"/>
        </w:rPr>
        <w:t>3.5 Desambiguacion de autores</w:t>
      </w:r>
    </w:p>
    <w:p>
      <w:pPr>
        <w:spacing w:after="80"/>
        <w:ind w:firstLine="340"/>
        <w:jc w:val="both"/>
      </w:pPr>
      <w:r>
        <w:rPr>
          <w:rFonts w:ascii="Times New Roman" w:hAnsi="Times New Roman" w:cs="Times New Roman"/>
          <w:b w:val="0"/>
          <w:i w:val="0"/>
          <w:sz w:val="20"/>
        </w:rPr>
        <w:t>Las firmas autorales provenientes de OpenAlex, DataCite y el scraping local se unificaron mediante un algoritmo de union-find [Tarjan 1975] con las siguientes reglas jerarquicas de equivalencia:</w:t>
      </w:r>
    </w:p>
    <w:p>
      <w:pPr>
        <w:spacing w:after="80"/>
        <w:ind w:firstLine="340"/>
        <w:jc w:val="both"/>
      </w:pPr>
      <w:r>
        <w:rPr>
          <w:rFonts w:ascii="Times New Roman" w:hAnsi="Times New Roman" w:cs="Times New Roman"/>
          <w:b w:val="0"/>
          <w:i w:val="0"/>
          <w:sz w:val="20"/>
        </w:rPr>
        <w:t>1. Mismo ORCID. 2. Mismo identificador interno de OpenAlex (</w:t>
      </w:r>
      <w:r>
        <w:rPr>
          <w:rFonts w:ascii="Consolas" w:hAnsi="Consolas" w:cs="Consolas"/>
          <w:b w:val="0"/>
          <w:i w:val="0"/>
          <w:sz w:val="18"/>
        </w:rPr>
        <w:t>author_id</w:t>
      </w:r>
      <w:r>
        <w:rPr>
          <w:rFonts w:ascii="Times New Roman" w:hAnsi="Times New Roman" w:cs="Times New Roman"/>
          <w:b w:val="0"/>
          <w:i w:val="0"/>
          <w:sz w:val="20"/>
        </w:rPr>
        <w:t>). 3. Misma forma canonica del nombre, definida como: eliminar tildes (NFKD), minusculizar, descartar particulas (</w:t>
      </w:r>
      <w:r>
        <w:rPr>
          <w:rFonts w:ascii="Consolas" w:hAnsi="Consolas" w:cs="Consolas"/>
          <w:b w:val="0"/>
          <w:i w:val="0"/>
          <w:sz w:val="18"/>
        </w:rPr>
        <w:t>de</w:t>
      </w:r>
      <w:r>
        <w:rPr>
          <w:rFonts w:ascii="Times New Roman" w:hAnsi="Times New Roman" w:cs="Times New Roman"/>
          <w:b w:val="0"/>
          <w:i w:val="0"/>
          <w:sz w:val="20"/>
        </w:rPr>
        <w:t xml:space="preserve">, </w:t>
      </w:r>
      <w:r>
        <w:rPr>
          <w:rFonts w:ascii="Consolas" w:hAnsi="Consolas" w:cs="Consolas"/>
          <w:b w:val="0"/>
          <w:i w:val="0"/>
          <w:sz w:val="18"/>
        </w:rPr>
        <w:t>del</w:t>
      </w:r>
      <w:r>
        <w:rPr>
          <w:rFonts w:ascii="Times New Roman" w:hAnsi="Times New Roman" w:cs="Times New Roman"/>
          <w:b w:val="0"/>
          <w:i w:val="0"/>
          <w:sz w:val="20"/>
        </w:rPr>
        <w:t xml:space="preserve">, </w:t>
      </w:r>
      <w:r>
        <w:rPr>
          <w:rFonts w:ascii="Consolas" w:hAnsi="Consolas" w:cs="Consolas"/>
          <w:b w:val="0"/>
          <w:i w:val="0"/>
          <w:sz w:val="18"/>
        </w:rPr>
        <w:t>la</w:t>
      </w:r>
      <w:r>
        <w:rPr>
          <w:rFonts w:ascii="Times New Roman" w:hAnsi="Times New Roman" w:cs="Times New Roman"/>
          <w:b w:val="0"/>
          <w:i w:val="0"/>
          <w:sz w:val="20"/>
        </w:rPr>
        <w:t xml:space="preserve">, </w:t>
      </w:r>
      <w:r>
        <w:rPr>
          <w:rFonts w:ascii="Consolas" w:hAnsi="Consolas" w:cs="Consolas"/>
          <w:b w:val="0"/>
          <w:i w:val="0"/>
          <w:sz w:val="18"/>
        </w:rPr>
        <w:t>los</w:t>
      </w:r>
      <w:r>
        <w:rPr>
          <w:rFonts w:ascii="Times New Roman" w:hAnsi="Times New Roman" w:cs="Times New Roman"/>
          <w:b w:val="0"/>
          <w:i w:val="0"/>
          <w:sz w:val="20"/>
        </w:rPr>
        <w:t xml:space="preserve">, </w:t>
      </w:r>
      <w:r>
        <w:rPr>
          <w:rFonts w:ascii="Consolas" w:hAnsi="Consolas" w:cs="Consolas"/>
          <w:b w:val="0"/>
          <w:i w:val="0"/>
          <w:sz w:val="18"/>
        </w:rPr>
        <w:t>y</w:t>
      </w:r>
      <w:r>
        <w:rPr>
          <w:rFonts w:ascii="Times New Roman" w:hAnsi="Times New Roman" w:cs="Times New Roman"/>
          <w:b w:val="0"/>
          <w:i w:val="0"/>
          <w:sz w:val="20"/>
        </w:rPr>
        <w:t xml:space="preserve">, </w:t>
      </w:r>
      <w:r>
        <w:rPr>
          <w:rFonts w:ascii="Consolas" w:hAnsi="Consolas" w:cs="Consolas"/>
          <w:b w:val="0"/>
          <w:i w:val="0"/>
          <w:sz w:val="18"/>
        </w:rPr>
        <w:t>da</w:t>
      </w:r>
      <w:r>
        <w:rPr>
          <w:rFonts w:ascii="Times New Roman" w:hAnsi="Times New Roman" w:cs="Times New Roman"/>
          <w:b w:val="0"/>
          <w:i w:val="0"/>
          <w:sz w:val="20"/>
        </w:rPr>
        <w:t xml:space="preserve">, </w:t>
      </w:r>
      <w:r>
        <w:rPr>
          <w:rFonts w:ascii="Consolas" w:hAnsi="Consolas" w:cs="Consolas"/>
          <w:b w:val="0"/>
          <w:i w:val="0"/>
          <w:sz w:val="18"/>
        </w:rPr>
        <w:t>do</w:t>
      </w:r>
      <w:r>
        <w:rPr>
          <w:rFonts w:ascii="Times New Roman" w:hAnsi="Times New Roman" w:cs="Times New Roman"/>
          <w:b w:val="0"/>
          <w:i w:val="0"/>
          <w:sz w:val="20"/>
        </w:rPr>
        <w:t xml:space="preserve">, </w:t>
      </w:r>
      <w:r>
        <w:rPr>
          <w:rFonts w:ascii="Consolas" w:hAnsi="Consolas" w:cs="Consolas"/>
          <w:b w:val="0"/>
          <w:i w:val="0"/>
          <w:sz w:val="18"/>
        </w:rPr>
        <w:t>van</w:t>
      </w:r>
      <w:r>
        <w:rPr>
          <w:rFonts w:ascii="Times New Roman" w:hAnsi="Times New Roman" w:cs="Times New Roman"/>
          <w:b w:val="0"/>
          <w:i w:val="0"/>
          <w:sz w:val="20"/>
        </w:rPr>
        <w:t xml:space="preserve">, </w:t>
      </w:r>
      <w:r>
        <w:rPr>
          <w:rFonts w:ascii="Consolas" w:hAnsi="Consolas" w:cs="Consolas"/>
          <w:b w:val="0"/>
          <w:i w:val="0"/>
          <w:sz w:val="18"/>
        </w:rPr>
        <w:t>von</w:t>
      </w:r>
      <w:r>
        <w:rPr>
          <w:rFonts w:ascii="Times New Roman" w:hAnsi="Times New Roman" w:cs="Times New Roman"/>
          <w:b w:val="0"/>
          <w:i w:val="0"/>
          <w:sz w:val="20"/>
        </w:rPr>
        <w:t xml:space="preserve">), y ordenar los tokens restantes alfabeticamente. Esta normalizacion iguala variantes como "Leyva Vazquez, Maikel" y "Maikel Leyva Vazquez". 4. Igualdad de llave "inicial del nombre + apellidos ordenados" (por ejemplo </w:t>
      </w:r>
      <w:r>
        <w:rPr>
          <w:rFonts w:ascii="Consolas" w:hAnsi="Consolas" w:cs="Consolas"/>
          <w:b w:val="0"/>
          <w:i w:val="0"/>
          <w:sz w:val="18"/>
        </w:rPr>
        <w:t>m|leyva vazquez</w:t>
      </w:r>
      <w:r>
        <w:rPr>
          <w:rFonts w:ascii="Times New Roman" w:hAnsi="Times New Roman" w:cs="Times New Roman"/>
          <w:b w:val="0"/>
          <w:i w:val="0"/>
          <w:sz w:val="20"/>
        </w:rPr>
        <w:t>), aplicada solo cuando no hay ORCID conflictivo entre las firmas.</w:t>
      </w:r>
    </w:p>
    <w:p>
      <w:pPr>
        <w:spacing w:after="80"/>
        <w:ind w:firstLine="340"/>
        <w:jc w:val="both"/>
      </w:pPr>
      <w:r>
        <w:rPr>
          <w:rFonts w:ascii="Times New Roman" w:hAnsi="Times New Roman" w:cs="Times New Roman"/>
          <w:b w:val="0"/>
          <w:i w:val="0"/>
          <w:sz w:val="20"/>
        </w:rPr>
        <w:t>El proceso redujo 1.539 firmas raw a 1.363 autores unicos (9.9% de variantes colapsadas). Para cada cluster se escogio como nombre canonico la variante mas frecuente. Los 100 clusters mas prolificos se inspeccionaron manualmente para identificar falsos positivos; no se detectaron merges erroneos en esa muestra.</w:t>
      </w:r>
    </w:p>
    <w:p>
      <w:pPr>
        <w:spacing w:before="160" w:after="80"/>
        <w:jc w:val="left"/>
      </w:pPr>
      <w:r>
        <w:rPr>
          <w:rFonts w:ascii="Arial" w:hAnsi="Arial" w:cs="Arial"/>
          <w:b/>
          <w:i w:val="0"/>
          <w:sz w:val="22"/>
        </w:rPr>
        <w:t>3.6 Productividad autoral (Lotka)</w:t>
      </w:r>
    </w:p>
    <w:p>
      <w:pPr>
        <w:spacing w:after="80"/>
        <w:ind w:firstLine="340"/>
        <w:jc w:val="both"/>
      </w:pPr>
      <w:r>
        <w:rPr>
          <w:rFonts w:ascii="Times New Roman" w:hAnsi="Times New Roman" w:cs="Times New Roman"/>
          <w:b w:val="0"/>
          <w:i w:val="0"/>
          <w:sz w:val="20"/>
        </w:rPr>
        <w:t xml:space="preserve">Se ajusto la ley de Lotka discreta </w:t>
      </w:r>
      <w:r>
        <w:rPr>
          <w:rFonts w:ascii="Consolas" w:hAnsi="Consolas" w:cs="Consolas"/>
          <w:b w:val="0"/>
          <w:i w:val="0"/>
          <w:sz w:val="18"/>
        </w:rPr>
        <w:t>n(x) ∝ x^(-alpha)</w:t>
      </w:r>
      <w:r>
        <w:rPr>
          <w:rFonts w:ascii="Times New Roman" w:hAnsi="Times New Roman" w:cs="Times New Roman"/>
          <w:b w:val="0"/>
          <w:i w:val="0"/>
          <w:sz w:val="20"/>
        </w:rPr>
        <w:t xml:space="preserve"> por maxima verosimilitud [Newman 2005, ec. 3.1] sobre la variable </w:t>
      </w:r>
      <w:r>
        <w:rPr>
          <w:rFonts w:ascii="Times New Roman" w:hAnsi="Times New Roman" w:cs="Times New Roman"/>
          <w:b w:val="0"/>
          <w:i/>
          <w:sz w:val="20"/>
        </w:rPr>
        <w:t>articulos por autor</w:t>
      </w:r>
      <w:r>
        <w:rPr>
          <w:rFonts w:ascii="Times New Roman" w:hAnsi="Times New Roman" w:cs="Times New Roman"/>
          <w:b w:val="0"/>
          <w:i w:val="0"/>
          <w:sz w:val="20"/>
        </w:rPr>
        <w:t>:</w:t>
      </w:r>
    </w:p>
    <w:p>
      <w:pPr>
        <w:spacing w:after="0" w:before="0"/>
      </w:pPr>
      <w:r>
        <w:rPr>
          <w:rFonts w:ascii="Consolas" w:hAnsi="Consolas" w:cs="Consolas"/>
          <w:b w:val="0"/>
          <w:i w:val="0"/>
          <w:sz w:val="18"/>
        </w:rPr>
        <w:t>alpha = 1 + n · [Σ ln(x_i / (x_min - 0.5))]^(-1)</w:t>
      </w:r>
    </w:p>
    <w:p>
      <w:pPr>
        <w:spacing w:after="80"/>
        <w:ind w:firstLine="340"/>
        <w:jc w:val="both"/>
      </w:pPr>
      <w:r>
        <w:rPr>
          <w:rFonts w:ascii="Times New Roman" w:hAnsi="Times New Roman" w:cs="Times New Roman"/>
          <w:b w:val="0"/>
          <w:i w:val="0"/>
          <w:sz w:val="20"/>
        </w:rPr>
        <w:t xml:space="preserve">donde el conteo minimo </w:t>
      </w:r>
      <w:r>
        <w:rPr>
          <w:rFonts w:ascii="Consolas" w:hAnsi="Consolas" w:cs="Consolas"/>
          <w:b w:val="0"/>
          <w:i w:val="0"/>
          <w:sz w:val="18"/>
        </w:rPr>
        <w:t>x_min = 1</w:t>
      </w:r>
      <w:r>
        <w:rPr>
          <w:rFonts w:ascii="Times New Roman" w:hAnsi="Times New Roman" w:cs="Times New Roman"/>
          <w:b w:val="0"/>
          <w:i w:val="0"/>
          <w:sz w:val="20"/>
        </w:rPr>
        <w:t>. La bondad de ajuste se evaluo con el estadistico Kolmogorov-Smirnov comparando la CDF empirica con la teorica basada en la funcion zeta de Hurwitz.</w:t>
      </w:r>
    </w:p>
    <w:p>
      <w:pPr>
        <w:spacing w:before="160" w:after="80"/>
        <w:jc w:val="left"/>
      </w:pPr>
      <w:r>
        <w:rPr>
          <w:rFonts w:ascii="Arial" w:hAnsi="Arial" w:cs="Arial"/>
          <w:b/>
          <w:i w:val="0"/>
          <w:sz w:val="22"/>
        </w:rPr>
        <w:t>3.7 Dispersion de fuentes citadas (Bradford)</w:t>
      </w:r>
    </w:p>
    <w:p>
      <w:pPr>
        <w:spacing w:after="80"/>
        <w:ind w:firstLine="340"/>
        <w:jc w:val="both"/>
      </w:pPr>
      <w:r>
        <w:rPr>
          <w:rFonts w:ascii="Times New Roman" w:hAnsi="Times New Roman" w:cs="Times New Roman"/>
          <w:b w:val="0"/>
          <w:i w:val="0"/>
          <w:sz w:val="20"/>
        </w:rPr>
        <w:t xml:space="preserve">Los bloques de referencias extraidos se segmentaron en citas individuales mediante marcadores </w:t>
      </w:r>
      <w:r>
        <w:rPr>
          <w:rFonts w:ascii="Consolas" w:hAnsi="Consolas" w:cs="Consolas"/>
          <w:b w:val="0"/>
          <w:i w:val="0"/>
          <w:sz w:val="18"/>
        </w:rPr>
        <w:t>[N]</w:t>
      </w:r>
      <w:r>
        <w:rPr>
          <w:rFonts w:ascii="Times New Roman" w:hAnsi="Times New Roman" w:cs="Times New Roman"/>
          <w:b w:val="0"/>
          <w:i w:val="0"/>
          <w:sz w:val="20"/>
        </w:rPr>
        <w:t xml:space="preserve"> o </w:t>
      </w:r>
      <w:r>
        <w:rPr>
          <w:rFonts w:ascii="Consolas" w:hAnsi="Consolas" w:cs="Consolas"/>
          <w:b w:val="0"/>
          <w:i w:val="0"/>
          <w:sz w:val="18"/>
        </w:rPr>
        <w:t>N.</w:t>
      </w:r>
      <w:r>
        <w:rPr>
          <w:rFonts w:ascii="Times New Roman" w:hAnsi="Times New Roman" w:cs="Times New Roman"/>
          <w:b w:val="0"/>
          <w:i w:val="0"/>
          <w:sz w:val="20"/>
        </w:rPr>
        <w:t xml:space="preserve"> numericos. Para cada cita se identifico la revista-fuente combinando dos mecanismos: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Busqueda directa</w:t>
      </w:r>
      <w:r>
        <w:rPr>
          <w:rFonts w:ascii="Times New Roman" w:hAnsi="Times New Roman" w:cs="Times New Roman"/>
          <w:b w:val="0"/>
          <w:i w:val="0"/>
          <w:sz w:val="20"/>
        </w:rPr>
        <w:t xml:space="preserve"> contra una lista curada de 11 revistas candidatas (NSS, NCML, IJNS, Plithogenic LC, Fuzzy Sets and Systems, Information Sciences, Expert Systems with Applications, Applied Soft Computing, Symmetry, IEEE Access, Knowledge-Based Systems). 2. </w:t>
      </w:r>
      <w:r>
        <w:rPr>
          <w:rFonts w:ascii="Times New Roman" w:hAnsi="Times New Roman" w:cs="Times New Roman"/>
          <w:b/>
          <w:i w:val="0"/>
          <w:sz w:val="20"/>
        </w:rPr>
        <w:t>Cuatro patrones regex heuristicos</w:t>
      </w:r>
      <w:r>
        <w:rPr>
          <w:rFonts w:ascii="Times New Roman" w:hAnsi="Times New Roman" w:cs="Times New Roman"/>
          <w:b w:val="0"/>
          <w:i w:val="0"/>
          <w:sz w:val="20"/>
        </w:rPr>
        <w:t xml:space="preserve"> para extraer cualquier candidato no incluido en la lista curada, principalmente revistas de habla hispana no indexadas en Scopus.</w:t>
      </w:r>
    </w:p>
    <w:p>
      <w:pPr>
        <w:spacing w:after="80"/>
        <w:ind w:firstLine="340"/>
        <w:jc w:val="both"/>
      </w:pPr>
      <w:r>
        <w:rPr>
          <w:rFonts w:ascii="Times New Roman" w:hAnsi="Times New Roman" w:cs="Times New Roman"/>
          <w:b w:val="0"/>
          <w:i w:val="0"/>
          <w:sz w:val="20"/>
        </w:rPr>
        <w:t>Las fuentes se canonicalizaron (minuscula, sin acentos, espacios colapsados) y se ordenaron por frecuencia descendente. Las zonas de Bradford se definieron como las tres particiones de la curva acumulada que concentran ~1/3 de las citas cada una.</w:t>
      </w:r>
    </w:p>
    <w:p>
      <w:pPr>
        <w:spacing w:before="160" w:after="80"/>
        <w:jc w:val="left"/>
      </w:pPr>
      <w:r>
        <w:rPr>
          <w:rFonts w:ascii="Arial" w:hAnsi="Arial" w:cs="Arial"/>
          <w:b/>
          <w:i w:val="0"/>
          <w:sz w:val="22"/>
        </w:rPr>
        <w:t>3.8 Red de coautoria</w:t>
      </w:r>
    </w:p>
    <w:p>
      <w:pPr>
        <w:spacing w:after="80"/>
        <w:ind w:firstLine="340"/>
        <w:jc w:val="both"/>
      </w:pPr>
      <w:r>
        <w:rPr>
          <w:rFonts w:ascii="Times New Roman" w:hAnsi="Times New Roman" w:cs="Times New Roman"/>
          <w:b w:val="0"/>
          <w:i w:val="0"/>
          <w:sz w:val="20"/>
        </w:rPr>
        <w:t>A partir de la tabla de autorships con identificadores canonicos se construyo un grafo no dirigido con NetworkX 3.6, donde los nodos son autores, las aristas indican co-firma y el peso de cada arista es el numero de articulos coescritos. Las comunidades se detectaron con el algoritmo de Louvain [Blondel et al. 2008] ponderado por peso de aristas. Las metricas reportadas (densidad, clustering medio, modularidad, componente principal, diametro) se calcularon sobre el grafo completo; los subgrafos de los autores con al menos 2 y 4 articulos se usaron para visualizacion.</w:t>
      </w:r>
    </w:p>
    <w:p>
      <w:pPr>
        <w:spacing w:before="160" w:after="80"/>
        <w:jc w:val="left"/>
      </w:pPr>
      <w:r>
        <w:rPr>
          <w:rFonts w:ascii="Arial" w:hAnsi="Arial" w:cs="Arial"/>
          <w:b/>
          <w:i w:val="0"/>
          <w:sz w:val="22"/>
        </w:rPr>
        <w:t>3.9 Modelado de topicos</w:t>
      </w:r>
    </w:p>
    <w:p>
      <w:pPr>
        <w:spacing w:after="80"/>
        <w:ind w:firstLine="340"/>
        <w:jc w:val="both"/>
      </w:pPr>
      <w:r>
        <w:rPr>
          <w:rFonts w:ascii="Times New Roman" w:hAnsi="Times New Roman" w:cs="Times New Roman"/>
          <w:b w:val="0"/>
          <w:i w:val="0"/>
          <w:sz w:val="20"/>
        </w:rPr>
        <w:t>El corpus textual para modelado de topicos se construyo combinando el resumen en espanol y el abstract en ingles de cada articulo cuando ambos estaban disponibles (modo bilingue), o uno solo cuando el otro no fue extraible. Se descartaron los documentos con texto de menos de 100 caracteres. El pipeline siguio la arquitectura BERTopic [Grootendorst 2022], adaptado para Python 3.14 debido a incompatibilidades de wheel de HDBSCAN:</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Embeddings</w:t>
      </w:r>
      <w:r>
        <w:rPr>
          <w:rFonts w:ascii="Times New Roman" w:hAnsi="Times New Roman" w:cs="Times New Roman"/>
          <w:b w:val="0"/>
          <w:i w:val="0"/>
          <w:sz w:val="20"/>
        </w:rPr>
        <w:t xml:space="preserve">: </w:t>
      </w:r>
      <w:r>
        <w:rPr>
          <w:rFonts w:ascii="Consolas" w:hAnsi="Consolas" w:cs="Consolas"/>
          <w:b w:val="0"/>
          <w:i w:val="0"/>
          <w:sz w:val="18"/>
        </w:rPr>
        <w:t>paraphrase-multilingual-MiniLM-L12-v2</w:t>
      </w:r>
      <w:r>
        <w:rPr>
          <w:rFonts w:ascii="Times New Roman" w:hAnsi="Times New Roman" w:cs="Times New Roman"/>
          <w:b w:val="0"/>
          <w:i w:val="0"/>
          <w:sz w:val="20"/>
        </w:rPr>
        <w:t xml:space="preserve"> (384 dimensiones). 2. </w:t>
      </w:r>
      <w:r>
        <w:rPr>
          <w:rFonts w:ascii="Times New Roman" w:hAnsi="Times New Roman" w:cs="Times New Roman"/>
          <w:b/>
          <w:i w:val="0"/>
          <w:sz w:val="20"/>
        </w:rPr>
        <w:t>Reduccion de dimensionalidad</w:t>
      </w:r>
      <w:r>
        <w:rPr>
          <w:rFonts w:ascii="Times New Roman" w:hAnsi="Times New Roman" w:cs="Times New Roman"/>
          <w:b w:val="0"/>
          <w:i w:val="0"/>
          <w:sz w:val="20"/>
        </w:rPr>
        <w:t>: UMAP a 5 componentes (</w:t>
      </w:r>
      <w:r>
        <w:rPr>
          <w:rFonts w:ascii="Consolas" w:hAnsi="Consolas" w:cs="Consolas"/>
          <w:b w:val="0"/>
          <w:i w:val="0"/>
          <w:sz w:val="18"/>
        </w:rPr>
        <w:t>n_neighbors=15</w:t>
      </w:r>
      <w:r>
        <w:rPr>
          <w:rFonts w:ascii="Times New Roman" w:hAnsi="Times New Roman" w:cs="Times New Roman"/>
          <w:b w:val="0"/>
          <w:i w:val="0"/>
          <w:sz w:val="20"/>
        </w:rPr>
        <w:t xml:space="preserve">, </w:t>
      </w:r>
      <w:r>
        <w:rPr>
          <w:rFonts w:ascii="Consolas" w:hAnsi="Consolas" w:cs="Consolas"/>
          <w:b w:val="0"/>
          <w:i w:val="0"/>
          <w:sz w:val="18"/>
        </w:rPr>
        <w:t>min_dist=0.0</w:t>
      </w:r>
      <w:r>
        <w:rPr>
          <w:rFonts w:ascii="Times New Roman" w:hAnsi="Times New Roman" w:cs="Times New Roman"/>
          <w:b w:val="0"/>
          <w:i w:val="0"/>
          <w:sz w:val="20"/>
        </w:rPr>
        <w:t xml:space="preserve">, metrica coseno, </w:t>
      </w:r>
      <w:r>
        <w:rPr>
          <w:rFonts w:ascii="Consolas" w:hAnsi="Consolas" w:cs="Consolas"/>
          <w:b w:val="0"/>
          <w:i w:val="0"/>
          <w:sz w:val="18"/>
        </w:rPr>
        <w:t>random_state=42</w:t>
      </w:r>
      <w:r>
        <w:rPr>
          <w:rFonts w:ascii="Times New Roman" w:hAnsi="Times New Roman" w:cs="Times New Roman"/>
          <w:b w:val="0"/>
          <w:i w:val="0"/>
          <w:sz w:val="20"/>
        </w:rPr>
        <w:t xml:space="preserve">). 3. </w:t>
      </w:r>
      <w:r>
        <w:rPr>
          <w:rFonts w:ascii="Times New Roman" w:hAnsi="Times New Roman" w:cs="Times New Roman"/>
          <w:b/>
          <w:i w:val="0"/>
          <w:sz w:val="20"/>
        </w:rPr>
        <w:t>Clustering</w:t>
      </w:r>
      <w:r>
        <w:rPr>
          <w:rFonts w:ascii="Times New Roman" w:hAnsi="Times New Roman" w:cs="Times New Roman"/>
          <w:b w:val="0"/>
          <w:i w:val="0"/>
          <w:sz w:val="20"/>
        </w:rPr>
        <w:t xml:space="preserve">: KMeans (en lugar de HDBSCAN), con K optimizado mediante silhouette score sobre el rango [10, 25]. El valor seleccionado fue K=24 con silueta 0.43. 4. </w:t>
      </w:r>
      <w:r>
        <w:rPr>
          <w:rFonts w:ascii="Times New Roman" w:hAnsi="Times New Roman" w:cs="Times New Roman"/>
          <w:b/>
          <w:i w:val="0"/>
          <w:sz w:val="20"/>
        </w:rPr>
        <w:t>Representacion de topicos</w:t>
      </w:r>
      <w:r>
        <w:rPr>
          <w:rFonts w:ascii="Times New Roman" w:hAnsi="Times New Roman" w:cs="Times New Roman"/>
          <w:b w:val="0"/>
          <w:i w:val="0"/>
          <w:sz w:val="20"/>
        </w:rPr>
        <w:t>: c-TF-IDF sobre unigramas y bigramas, stopwords en espanol, ingles y un conjunto especifico de dominio (</w:t>
      </w:r>
      <w:r>
        <w:rPr>
          <w:rFonts w:ascii="Consolas" w:hAnsi="Consolas" w:cs="Consolas"/>
          <w:b w:val="0"/>
          <w:i w:val="0"/>
          <w:sz w:val="18"/>
        </w:rPr>
        <w:t>neutrosofico</w:t>
      </w:r>
      <w:r>
        <w:rPr>
          <w:rFonts w:ascii="Times New Roman" w:hAnsi="Times New Roman" w:cs="Times New Roman"/>
          <w:b w:val="0"/>
          <w:i w:val="0"/>
          <w:sz w:val="20"/>
        </w:rPr>
        <w:t xml:space="preserve">, </w:t>
      </w:r>
      <w:r>
        <w:rPr>
          <w:rFonts w:ascii="Consolas" w:hAnsi="Consolas" w:cs="Consolas"/>
          <w:b w:val="0"/>
          <w:i w:val="0"/>
          <w:sz w:val="18"/>
        </w:rPr>
        <w:t>multicriterio</w:t>
      </w:r>
      <w:r>
        <w:rPr>
          <w:rFonts w:ascii="Times New Roman" w:hAnsi="Times New Roman" w:cs="Times New Roman"/>
          <w:b w:val="0"/>
          <w:i w:val="0"/>
          <w:sz w:val="20"/>
        </w:rPr>
        <w:t xml:space="preserve">, </w:t>
      </w:r>
      <w:r>
        <w:rPr>
          <w:rFonts w:ascii="Consolas" w:hAnsi="Consolas" w:cs="Consolas"/>
          <w:b w:val="0"/>
          <w:i w:val="0"/>
          <w:sz w:val="18"/>
        </w:rPr>
        <w:t>metodo</w:t>
      </w:r>
      <w:r>
        <w:rPr>
          <w:rFonts w:ascii="Times New Roman" w:hAnsi="Times New Roman" w:cs="Times New Roman"/>
          <w:b w:val="0"/>
          <w:i w:val="0"/>
          <w:sz w:val="20"/>
        </w:rPr>
        <w:t>, etc.) para evitar que terminos omnipresentes dominaran las firmas.</w:t>
      </w:r>
    </w:p>
    <w:p>
      <w:pPr>
        <w:spacing w:after="80"/>
        <w:ind w:firstLine="340"/>
        <w:jc w:val="both"/>
      </w:pPr>
      <w:r>
        <w:rPr>
          <w:rFonts w:ascii="Times New Roman" w:hAnsi="Times New Roman" w:cs="Times New Roman"/>
          <w:b w:val="0"/>
          <w:i w:val="0"/>
          <w:sz w:val="20"/>
        </w:rPr>
        <w:t xml:space="preserve">Para la evolucion temporal se calculo la matriz </w:t>
      </w:r>
      <w:r>
        <w:rPr>
          <w:rFonts w:ascii="Consolas" w:hAnsi="Consolas" w:cs="Consolas"/>
          <w:b w:val="0"/>
          <w:i w:val="0"/>
          <w:sz w:val="18"/>
        </w:rPr>
        <w:t>topico x ano</w:t>
      </w:r>
      <w:r>
        <w:rPr>
          <w:rFonts w:ascii="Times New Roman" w:hAnsi="Times New Roman" w:cs="Times New Roman"/>
          <w:b w:val="0"/>
          <w:i w:val="0"/>
          <w:sz w:val="20"/>
        </w:rPr>
        <w:t xml:space="preserve"> y la diferencia en share entre los periodos 2018-2020 y 2023-2025, identificando topicos emergentes y declinantes.</w:t>
      </w:r>
    </w:p>
    <w:p>
      <w:pPr>
        <w:spacing w:before="160" w:after="80"/>
        <w:jc w:val="left"/>
      </w:pPr>
      <w:r>
        <w:rPr>
          <w:rFonts w:ascii="Arial" w:hAnsi="Arial" w:cs="Arial"/>
          <w:b/>
          <w:i w:val="0"/>
          <w:sz w:val="22"/>
        </w:rPr>
        <w:t>3.10 Comparacion de fuentes de citas</w:t>
      </w:r>
    </w:p>
    <w:p>
      <w:pPr>
        <w:spacing w:after="80"/>
        <w:ind w:firstLine="340"/>
        <w:jc w:val="both"/>
      </w:pPr>
      <w:r>
        <w:rPr>
          <w:rFonts w:ascii="Times New Roman" w:hAnsi="Times New Roman" w:cs="Times New Roman"/>
          <w:b w:val="0"/>
          <w:i w:val="0"/>
          <w:sz w:val="20"/>
        </w:rPr>
        <w:t>La verificacion del impacto citacional se realizo en tres niveles: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Total agregado</w:t>
      </w:r>
      <w:r>
        <w:rPr>
          <w:rFonts w:ascii="Times New Roman" w:hAnsi="Times New Roman" w:cs="Times New Roman"/>
          <w:b w:val="0"/>
          <w:i w:val="0"/>
          <w:sz w:val="20"/>
        </w:rPr>
        <w:t xml:space="preserve">: todas las citas OpenAlex a los 762 articulos (resultado: 27 citas totales, h-index de revista = 1). 2. </w:t>
      </w:r>
      <w:r>
        <w:rPr>
          <w:rFonts w:ascii="Times New Roman" w:hAnsi="Times New Roman" w:cs="Times New Roman"/>
          <w:b/>
          <w:i w:val="0"/>
          <w:sz w:val="20"/>
        </w:rPr>
        <w:t>Metrica de revista</w:t>
      </w:r>
      <w:r>
        <w:rPr>
          <w:rFonts w:ascii="Times New Roman" w:hAnsi="Times New Roman" w:cs="Times New Roman"/>
          <w:b w:val="0"/>
          <w:i w:val="0"/>
          <w:sz w:val="20"/>
        </w:rPr>
        <w:t xml:space="preserve">: consulta manual del registro de NCML en Google Scholar Metrics (resultado: h5-index = 10, h5-mediana = 25 para 2020-2024). 3. </w:t>
      </w:r>
      <w:r>
        <w:rPr>
          <w:rFonts w:ascii="Times New Roman" w:hAnsi="Times New Roman" w:cs="Times New Roman"/>
          <w:b/>
          <w:i w:val="0"/>
          <w:sz w:val="20"/>
        </w:rPr>
        <w:t>Muestra estratificada</w:t>
      </w:r>
      <w:r>
        <w:rPr>
          <w:rFonts w:ascii="Times New Roman" w:hAnsi="Times New Roman" w:cs="Times New Roman"/>
          <w:b w:val="0"/>
          <w:i w:val="0"/>
          <w:sz w:val="20"/>
        </w:rPr>
        <w:t xml:space="preserve"> (n = 26): 3 articulos por ano entre 2018-2024 y 5 de 2025, mas el articulo mas citado de OpenAlex. Para cada titulo se ejecuto una consulta controlada en Scholar con User-Agent identificado, respetando el limite de tasa mediante pausas aleatorias entre 6 y 14 segundos. Una instancia fue validada manualmente por discrepancia evidente (Vol.10: regex devolvio 204 citas; el valor real verificado en la pagina fue 1).</w:t>
      </w:r>
    </w:p>
    <w:p>
      <w:pPr>
        <w:spacing w:before="160" w:after="80"/>
        <w:jc w:val="left"/>
      </w:pPr>
      <w:r>
        <w:rPr>
          <w:rFonts w:ascii="Arial" w:hAnsi="Arial" w:cs="Arial"/>
          <w:b/>
          <w:i w:val="0"/>
          <w:sz w:val="22"/>
        </w:rPr>
        <w:t>3.11 Limitaciones conocidas</w:t>
      </w:r>
    </w:p>
    <w:p>
      <w:pPr>
        <w:spacing w:after="80"/>
        <w:ind w:firstLine="340"/>
        <w:jc w:val="both"/>
      </w:pPr>
      <w:r>
        <w:rPr>
          <w:rFonts w:ascii="Times New Roman" w:hAnsi="Times New Roman" w:cs="Times New Roman"/>
          <w:b w:val="0"/>
          <w:i w:val="0"/>
          <w:sz w:val="20"/>
        </w:rPr>
        <w:t>Las limitaciones identificadas en los metodos y reportadas explicitamente en los resultados son:</w:t>
      </w:r>
    </w:p>
    <w:p>
      <w:pPr>
        <w:pStyle w:val="ListBullet"/>
        <w:spacing w:after="40" w:line="240" w:lineRule="auto"/>
      </w:pPr>
      <w:r>
        <w:rPr>
          <w:rFonts w:ascii="Times New Roman" w:hAnsi="Times New Roman" w:cs="Times New Roman"/>
          <w:b/>
          <w:i w:val="0"/>
          <w:sz w:val="20"/>
        </w:rPr>
        <w:t>Cobertura de paginas geograficas/institucionales</w:t>
      </w:r>
      <w:r>
        <w:rPr>
          <w:rFonts w:ascii="Times New Roman" w:hAnsi="Times New Roman" w:cs="Times New Roman"/>
          <w:b w:val="0"/>
          <w:i w:val="0"/>
          <w:sz w:val="20"/>
        </w:rPr>
        <w:t>: OpenAlex retorno</w:t>
      </w:r>
    </w:p>
    <w:p>
      <w:pPr>
        <w:spacing w:after="80"/>
        <w:ind w:firstLine="340"/>
        <w:jc w:val="both"/>
      </w:pPr>
      <w:r>
        <w:rPr>
          <w:rFonts w:ascii="Times New Roman" w:hAnsi="Times New Roman" w:cs="Times New Roman"/>
          <w:b w:val="0"/>
          <w:i w:val="0"/>
          <w:sz w:val="20"/>
        </w:rPr>
        <w:t>afiliaciones y paises solo para el 88% de las autorias totales; los mapas geograficos estan basados en ese subconjunto (n = 158 autorias).</w:t>
      </w:r>
    </w:p>
    <w:p>
      <w:pPr>
        <w:pStyle w:val="ListBullet"/>
        <w:spacing w:after="40" w:line="240" w:lineRule="auto"/>
      </w:pPr>
      <w:r>
        <w:rPr>
          <w:rFonts w:ascii="Times New Roman" w:hAnsi="Times New Roman" w:cs="Times New Roman"/>
          <w:b/>
          <w:i w:val="0"/>
          <w:sz w:val="20"/>
        </w:rPr>
        <w:t>Extraccion heuristica de referencias</w:t>
      </w:r>
      <w:r>
        <w:rPr>
          <w:rFonts w:ascii="Times New Roman" w:hAnsi="Times New Roman" w:cs="Times New Roman"/>
          <w:b w:val="0"/>
          <w:i w:val="0"/>
          <w:sz w:val="20"/>
        </w:rPr>
        <w:t>: la ausencia de GROBID en el</w:t>
      </w:r>
    </w:p>
    <w:p>
      <w:pPr>
        <w:spacing w:after="80"/>
        <w:ind w:firstLine="340"/>
        <w:jc w:val="both"/>
      </w:pPr>
      <w:r>
        <w:rPr>
          <w:rFonts w:ascii="Times New Roman" w:hAnsi="Times New Roman" w:cs="Times New Roman"/>
          <w:b w:val="0"/>
          <w:i w:val="0"/>
          <w:sz w:val="20"/>
        </w:rPr>
        <w:t>pipeline (por razones de despliegue) implica un 46% de referencias sin revista-fuente detectable, sesgado hacia citas de libros, tesis, URL y revistas hispanas con formato irregular. Los rankings del nucleo son robustos pero el conteo de la cola es ruidoso.</w:t>
      </w:r>
    </w:p>
    <w:p>
      <w:pPr>
        <w:pStyle w:val="ListBullet"/>
        <w:spacing w:after="40" w:line="240" w:lineRule="auto"/>
      </w:pPr>
      <w:r>
        <w:rPr>
          <w:rFonts w:ascii="Times New Roman" w:hAnsi="Times New Roman" w:cs="Times New Roman"/>
          <w:b/>
          <w:i w:val="0"/>
          <w:sz w:val="20"/>
        </w:rPr>
        <w:t>Scholar citations</w:t>
      </w:r>
      <w:r>
        <w:rPr>
          <w:rFonts w:ascii="Times New Roman" w:hAnsi="Times New Roman" w:cs="Times New Roman"/>
          <w:b w:val="0"/>
          <w:i w:val="0"/>
          <w:sz w:val="20"/>
        </w:rPr>
        <w:t>: el muestreo n=26 es estadisticamente limitado; las</w:t>
      </w:r>
    </w:p>
    <w:p>
      <w:pPr>
        <w:spacing w:after="80"/>
        <w:ind w:firstLine="340"/>
        <w:jc w:val="both"/>
      </w:pPr>
      <w:r>
        <w:rPr>
          <w:rFonts w:ascii="Times New Roman" w:hAnsi="Times New Roman" w:cs="Times New Roman"/>
          <w:b w:val="0"/>
          <w:i w:val="0"/>
          <w:sz w:val="20"/>
        </w:rPr>
        <w:t>cifras agregadas de impacto ~2.500-4.000 citas son extrapolaciones basadas en Scholar Metrics y el muestreo, con intervalo de confianza amplio.</w:t>
      </w:r>
    </w:p>
    <w:p>
      <w:pPr>
        <w:pStyle w:val="ListBullet"/>
        <w:spacing w:after="40" w:line="240" w:lineRule="auto"/>
      </w:pPr>
      <w:r>
        <w:rPr>
          <w:rFonts w:ascii="Times New Roman" w:hAnsi="Times New Roman" w:cs="Times New Roman"/>
          <w:b/>
          <w:i w:val="0"/>
          <w:sz w:val="20"/>
        </w:rPr>
        <w:t>Encoding del sitio fuente</w:t>
      </w:r>
      <w:r>
        <w:rPr>
          <w:rFonts w:ascii="Times New Roman" w:hAnsi="Times New Roman" w:cs="Times New Roman"/>
          <w:b w:val="0"/>
          <w:i w:val="0"/>
          <w:sz w:val="20"/>
        </w:rPr>
        <w:t xml:space="preserve">: la pagina </w:t>
      </w:r>
      <w:r>
        <w:rPr>
          <w:rFonts w:ascii="Consolas" w:hAnsi="Consolas" w:cs="Consolas"/>
          <w:b w:val="0"/>
          <w:i w:val="0"/>
          <w:sz w:val="18"/>
        </w:rPr>
        <w:t>Articles.htm</w:t>
      </w:r>
      <w:r>
        <w:rPr>
          <w:rFonts w:ascii="Times New Roman" w:hAnsi="Times New Roman" w:cs="Times New Roman"/>
          <w:b w:val="0"/>
          <w:i w:val="0"/>
          <w:sz w:val="20"/>
        </w:rPr>
        <w:t xml:space="preserve"> contiene</w:t>
      </w:r>
    </w:p>
    <w:p>
      <w:pPr>
        <w:spacing w:after="80"/>
        <w:ind w:firstLine="340"/>
        <w:jc w:val="both"/>
      </w:pPr>
      <w:r>
        <w:rPr>
          <w:rFonts w:ascii="Times New Roman" w:hAnsi="Times New Roman" w:cs="Times New Roman"/>
          <w:b w:val="0"/>
          <w:i w:val="0"/>
          <w:sz w:val="20"/>
        </w:rPr>
        <w:t>aproximadamente 400 caracteres U+FFFD (replacement character) en lugar de los caracteres originales acentuados. Se reconstruyeron titulos y autores mediante comparacion con los PDFs cuando fue posible.</w:t>
      </w:r>
    </w:p>
    <w:p>
      <w:pPr>
        <w:spacing w:before="160" w:after="80"/>
        <w:jc w:val="left"/>
      </w:pPr>
      <w:r>
        <w:rPr>
          <w:rFonts w:ascii="Arial" w:hAnsi="Arial" w:cs="Arial"/>
          <w:b/>
          <w:i w:val="0"/>
          <w:sz w:val="22"/>
        </w:rPr>
        <w:t>3.12 Reproducibilidad</w:t>
      </w:r>
    </w:p>
    <w:p>
      <w:pPr>
        <w:spacing w:after="80"/>
        <w:ind w:firstLine="340"/>
        <w:jc w:val="both"/>
      </w:pPr>
      <w:r>
        <w:rPr>
          <w:rFonts w:ascii="Times New Roman" w:hAnsi="Times New Roman" w:cs="Times New Roman"/>
          <w:b w:val="0"/>
          <w:i w:val="0"/>
          <w:sz w:val="20"/>
        </w:rPr>
        <w:t xml:space="preserve">Todo el pipeline esta implementado en Python 3.14 con las siguientes versiones (selected): </w:t>
      </w:r>
      <w:r>
        <w:rPr>
          <w:rFonts w:ascii="Consolas" w:hAnsi="Consolas" w:cs="Consolas"/>
          <w:b w:val="0"/>
          <w:i w:val="0"/>
          <w:sz w:val="18"/>
        </w:rPr>
        <w:t>pandas 2.x</w:t>
      </w:r>
      <w:r>
        <w:rPr>
          <w:rFonts w:ascii="Times New Roman" w:hAnsi="Times New Roman" w:cs="Times New Roman"/>
          <w:b w:val="0"/>
          <w:i w:val="0"/>
          <w:sz w:val="20"/>
        </w:rPr>
        <w:t xml:space="preserve">, </w:t>
      </w:r>
      <w:r>
        <w:rPr>
          <w:rFonts w:ascii="Consolas" w:hAnsi="Consolas" w:cs="Consolas"/>
          <w:b w:val="0"/>
          <w:i w:val="0"/>
          <w:sz w:val="18"/>
        </w:rPr>
        <w:t>beautifulsoup4 4.x</w:t>
      </w:r>
      <w:r>
        <w:rPr>
          <w:rFonts w:ascii="Times New Roman" w:hAnsi="Times New Roman" w:cs="Times New Roman"/>
          <w:b w:val="0"/>
          <w:i w:val="0"/>
          <w:sz w:val="20"/>
        </w:rPr>
        <w:t xml:space="preserve">, </w:t>
      </w:r>
      <w:r>
        <w:rPr>
          <w:rFonts w:ascii="Consolas" w:hAnsi="Consolas" w:cs="Consolas"/>
          <w:b w:val="0"/>
          <w:i w:val="0"/>
          <w:sz w:val="18"/>
        </w:rPr>
        <w:t>requests 2.32</w:t>
      </w:r>
      <w:r>
        <w:rPr>
          <w:rFonts w:ascii="Times New Roman" w:hAnsi="Times New Roman" w:cs="Times New Roman"/>
          <w:b w:val="0"/>
          <w:i w:val="0"/>
          <w:sz w:val="20"/>
        </w:rPr>
        <w:t xml:space="preserve">, </w:t>
      </w:r>
      <w:r>
        <w:rPr>
          <w:rFonts w:ascii="Consolas" w:hAnsi="Consolas" w:cs="Consolas"/>
          <w:b w:val="0"/>
          <w:i w:val="0"/>
          <w:sz w:val="18"/>
        </w:rPr>
        <w:t>pymupdf 1.27</w:t>
      </w:r>
      <w:r>
        <w:rPr>
          <w:rFonts w:ascii="Times New Roman" w:hAnsi="Times New Roman" w:cs="Times New Roman"/>
          <w:b w:val="0"/>
          <w:i w:val="0"/>
          <w:sz w:val="20"/>
        </w:rPr>
        <w:t xml:space="preserve">, </w:t>
      </w:r>
      <w:r>
        <w:rPr>
          <w:rFonts w:ascii="Consolas" w:hAnsi="Consolas" w:cs="Consolas"/>
          <w:b w:val="0"/>
          <w:i w:val="0"/>
          <w:sz w:val="18"/>
        </w:rPr>
        <w:t>sentence-transformers 5.4</w:t>
      </w:r>
      <w:r>
        <w:rPr>
          <w:rFonts w:ascii="Times New Roman" w:hAnsi="Times New Roman" w:cs="Times New Roman"/>
          <w:b w:val="0"/>
          <w:i w:val="0"/>
          <w:sz w:val="20"/>
        </w:rPr>
        <w:t xml:space="preserve">, </w:t>
      </w:r>
      <w:r>
        <w:rPr>
          <w:rFonts w:ascii="Consolas" w:hAnsi="Consolas" w:cs="Consolas"/>
          <w:b w:val="0"/>
          <w:i w:val="0"/>
          <w:sz w:val="18"/>
        </w:rPr>
        <w:t>umap-learn 0.5.12</w:t>
      </w:r>
      <w:r>
        <w:rPr>
          <w:rFonts w:ascii="Times New Roman" w:hAnsi="Times New Roman" w:cs="Times New Roman"/>
          <w:b w:val="0"/>
          <w:i w:val="0"/>
          <w:sz w:val="20"/>
        </w:rPr>
        <w:t xml:space="preserve">, </w:t>
      </w:r>
      <w:r>
        <w:rPr>
          <w:rFonts w:ascii="Consolas" w:hAnsi="Consolas" w:cs="Consolas"/>
          <w:b w:val="0"/>
          <w:i w:val="0"/>
          <w:sz w:val="18"/>
        </w:rPr>
        <w:t>scikit-learn 1.8</w:t>
      </w:r>
      <w:r>
        <w:rPr>
          <w:rFonts w:ascii="Times New Roman" w:hAnsi="Times New Roman" w:cs="Times New Roman"/>
          <w:b w:val="0"/>
          <w:i w:val="0"/>
          <w:sz w:val="20"/>
        </w:rPr>
        <w:t xml:space="preserve">, </w:t>
      </w:r>
      <w:r>
        <w:rPr>
          <w:rFonts w:ascii="Consolas" w:hAnsi="Consolas" w:cs="Consolas"/>
          <w:b w:val="0"/>
          <w:i w:val="0"/>
          <w:sz w:val="18"/>
        </w:rPr>
        <w:t>networkx 3.6</w:t>
      </w:r>
      <w:r>
        <w:rPr>
          <w:rFonts w:ascii="Times New Roman" w:hAnsi="Times New Roman" w:cs="Times New Roman"/>
          <w:b w:val="0"/>
          <w:i w:val="0"/>
          <w:sz w:val="20"/>
        </w:rPr>
        <w:t xml:space="preserve">, </w:t>
      </w:r>
      <w:r>
        <w:rPr>
          <w:rFonts w:ascii="Consolas" w:hAnsi="Consolas" w:cs="Consolas"/>
          <w:b w:val="0"/>
          <w:i w:val="0"/>
          <w:sz w:val="18"/>
        </w:rPr>
        <w:t>python-louvain 0.16</w:t>
      </w:r>
      <w:r>
        <w:rPr>
          <w:rFonts w:ascii="Times New Roman" w:hAnsi="Times New Roman" w:cs="Times New Roman"/>
          <w:b w:val="0"/>
          <w:i w:val="0"/>
          <w:sz w:val="20"/>
        </w:rPr>
        <w:t>. Los scripts numerados (</w:t>
      </w:r>
      <w:r>
        <w:rPr>
          <w:rFonts w:ascii="Consolas" w:hAnsi="Consolas" w:cs="Consolas"/>
          <w:b w:val="0"/>
          <w:i w:val="0"/>
          <w:sz w:val="18"/>
        </w:rPr>
        <w:t>01_scrape.py</w:t>
      </w:r>
      <w:r>
        <w:rPr>
          <w:rFonts w:ascii="Times New Roman" w:hAnsi="Times New Roman" w:cs="Times New Roman"/>
          <w:b w:val="0"/>
          <w:i w:val="0"/>
          <w:sz w:val="20"/>
        </w:rPr>
        <w:t xml:space="preserve"> a </w:t>
      </w:r>
      <w:r>
        <w:rPr>
          <w:rFonts w:ascii="Consolas" w:hAnsi="Consolas" w:cs="Consolas"/>
          <w:b w:val="0"/>
          <w:i w:val="0"/>
          <w:sz w:val="18"/>
        </w:rPr>
        <w:t>18_kpi_dashboard.py</w:t>
      </w:r>
      <w:r>
        <w:rPr>
          <w:rFonts w:ascii="Times New Roman" w:hAnsi="Times New Roman" w:cs="Times New Roman"/>
          <w:b w:val="0"/>
          <w:i w:val="0"/>
          <w:sz w:val="20"/>
        </w:rPr>
        <w:t>) son idempotentes y pueden re-ejecutarse en orden para regenerar la totalidad de datos y figuras. Los datos intermedios (CSV/JSONL) se publican con hash SHA-256 para verificacion de integridad.</w:t>
      </w:r>
    </w:p>
    <w:p>
      <w:pPr>
        <w:spacing w:before="240" w:after="120"/>
        <w:jc w:val="left"/>
      </w:pPr>
      <w:r>
        <w:rPr>
          <w:rFonts w:ascii="Arial" w:hAnsi="Arial" w:cs="Arial"/>
          <w:b/>
          <w:i w:val="0"/>
          <w:sz w:val="24"/>
        </w:rPr>
        <w:t>4. Resultados</w:t>
      </w:r>
    </w:p>
    <w:p>
      <w:pPr>
        <w:spacing w:before="160" w:after="80"/>
        <w:jc w:val="left"/>
      </w:pPr>
      <w:r>
        <w:rPr>
          <w:rFonts w:ascii="Arial" w:hAnsi="Arial" w:cs="Arial"/>
          <w:b/>
          <w:i w:val="0"/>
          <w:sz w:val="22"/>
        </w:rPr>
        <w:t>4.1 Crecimiento editorial y formacion de comunidad (RQ1)</w:t>
      </w:r>
    </w:p>
    <w:p>
      <w:pPr>
        <w:spacing w:after="80"/>
        <w:ind w:firstLine="340"/>
        <w:jc w:val="both"/>
      </w:pPr>
      <w:r>
        <w:rPr>
          <w:rFonts w:ascii="Times New Roman" w:hAnsi="Times New Roman" w:cs="Times New Roman"/>
          <w:b w:val="0"/>
          <w:i w:val="0"/>
          <w:sz w:val="20"/>
        </w:rPr>
        <w:t xml:space="preserve">Entre 2018 y 2026 NCML publico </w:t>
      </w:r>
      <w:r>
        <w:rPr>
          <w:rFonts w:ascii="Times New Roman" w:hAnsi="Times New Roman" w:cs="Times New Roman"/>
          <w:b/>
          <w:i w:val="0"/>
          <w:sz w:val="20"/>
        </w:rPr>
        <w:t>762 articulos</w:t>
      </w:r>
      <w:r>
        <w:rPr>
          <w:rFonts w:ascii="Times New Roman" w:hAnsi="Times New Roman" w:cs="Times New Roman"/>
          <w:b w:val="0"/>
          <w:i w:val="0"/>
          <w:sz w:val="20"/>
        </w:rPr>
        <w:t xml:space="preserve"> distribuidos en </w:t>
      </w:r>
      <w:r>
        <w:rPr>
          <w:rFonts w:ascii="Times New Roman" w:hAnsi="Times New Roman" w:cs="Times New Roman"/>
          <w:b/>
          <w:i w:val="0"/>
          <w:sz w:val="20"/>
        </w:rPr>
        <w:t>42 volumenes</w:t>
      </w:r>
      <w:r>
        <w:rPr>
          <w:rFonts w:ascii="Times New Roman" w:hAnsi="Times New Roman" w:cs="Times New Roman"/>
          <w:b w:val="0"/>
          <w:i w:val="0"/>
          <w:sz w:val="20"/>
        </w:rPr>
        <w:t xml:space="preserve">. El crecimiento anual sigue una trayectoria exponencial marcada, con una tasa anual compuesta (CAGR) de </w:t>
      </w:r>
      <w:r>
        <w:rPr>
          <w:rFonts w:ascii="Times New Roman" w:hAnsi="Times New Roman" w:cs="Times New Roman"/>
          <w:b/>
          <w:i w:val="0"/>
          <w:sz w:val="20"/>
        </w:rPr>
        <w:t>42%</w:t>
      </w:r>
      <w:r>
        <w:rPr>
          <w:rFonts w:ascii="Times New Roman" w:hAnsi="Times New Roman" w:cs="Times New Roman"/>
          <w:b w:val="0"/>
          <w:i w:val="0"/>
          <w:sz w:val="20"/>
        </w:rPr>
        <w:t xml:space="preserve"> entre 2018 y 2025 (Figura 1A). La revista paso de 24 articulos en 2018 a 250 en 2025, un factor multiplicador de 10.4x en siete anos. El 2026 aparece como parcial por ser ano en curso al momento del corte (abril 2026).</w:t>
      </w:r>
    </w:p>
    <w:p>
      <w:pPr>
        <w:spacing w:after="80"/>
        <w:ind w:firstLine="340"/>
        <w:jc w:val="both"/>
      </w:pPr>
      <w:r>
        <w:rPr>
          <w:rFonts w:ascii="Times New Roman" w:hAnsi="Times New Roman" w:cs="Times New Roman"/>
          <w:b w:val="0"/>
          <w:i w:val="0"/>
          <w:sz w:val="20"/>
        </w:rPr>
        <w:t>La formacion de comunidad acumulada tambien crecio de forma sostenida (Figura 1B). Los autores unicos acumulados pasaron de 50 en 2018 a 1.363 en 2026, un factor 27x. Es notable que el ritmo anual de autores nuevos se mantuvo en ~50-65 entre 2018 y 2021, pero se sextuplico a partir de 2023 (124 nuevos en 2022, 323 en 2023, 316 en 2024, 349 en 2025), indicando una expansion del ecosistema de colaboradores que acompano al aumento de articulos.</w:t>
      </w:r>
    </w:p>
    <w:p>
      <w:pPr>
        <w:spacing w:before="120" w:after="40"/>
        <w:jc w:val="center"/>
      </w:pPr>
      <w:r>
        <w:drawing>
          <wp:inline xmlns:a="http://schemas.openxmlformats.org/drawingml/2006/main" xmlns:pic="http://schemas.openxmlformats.org/drawingml/2006/picture">
            <wp:extent cx="5760720" cy="2290306"/>
            <wp:docPr id="1" name="Picture 1"/>
            <wp:cNvGraphicFramePr>
              <a:graphicFrameLocks noChangeAspect="1"/>
            </wp:cNvGraphicFramePr>
            <a:graphic>
              <a:graphicData uri="http://schemas.openxmlformats.org/drawingml/2006/picture">
                <pic:pic>
                  <pic:nvPicPr>
                    <pic:cNvPr id="0" name="growth.png"/>
                    <pic:cNvPicPr/>
                  </pic:nvPicPr>
                  <pic:blipFill>
                    <a:blip r:embed="rId10"/>
                    <a:stretch>
                      <a:fillRect/>
                    </a:stretch>
                  </pic:blipFill>
                  <pic:spPr>
                    <a:xfrm>
                      <a:off x="0" y="0"/>
                      <a:ext cx="5760720" cy="2290306"/>
                    </a:xfrm>
                    <a:prstGeom prst="rect"/>
                  </pic:spPr>
                </pic:pic>
              </a:graphicData>
            </a:graphic>
          </wp:inline>
        </w:drawing>
      </w:r>
    </w:p>
    <w:p>
      <w:pPr>
        <w:spacing w:after="160"/>
        <w:ind w:left="567"/>
        <w:jc w:val="both"/>
      </w:pPr>
      <w:r>
        <w:rPr>
          <w:rFonts w:ascii="Times New Roman" w:hAnsi="Times New Roman" w:cs="Times New Roman"/>
          <w:b/>
          <w:i/>
          <w:sz w:val="18"/>
        </w:rPr>
        <w:t>Figura 1.</w:t>
      </w:r>
      <w:r>
        <w:rPr>
          <w:rFonts w:ascii="Times New Roman" w:hAnsi="Times New Roman" w:cs="Times New Roman"/>
          <w:b w:val="0"/>
          <w:i/>
          <w:sz w:val="18"/>
        </w:rPr>
        <w:t xml:space="preserve"> Crecimiento editorial de NCML. (A) Articulos publicados por ano, con CAGR 2018-2025 = 42%. Barras con patron rayado indican datos parciales del ano en curso. (B) Incorporacion de autores nuevos por ano y curva de autores unicos acumulados. (Fuente: </w:t>
      </w:r>
      <w:r>
        <w:rPr>
          <w:rFonts w:ascii="Consolas" w:hAnsi="Consolas" w:cs="Consolas"/>
          <w:b w:val="0"/>
          <w:i/>
          <w:sz w:val="16"/>
        </w:rPr>
        <w:t>growth.png</w:t>
      </w:r>
      <w:r>
        <w:rPr>
          <w:rFonts w:ascii="Times New Roman" w:hAnsi="Times New Roman" w:cs="Times New Roman"/>
          <w:b w:val="0"/>
          <w:i/>
          <w:sz w:val="18"/>
        </w:rPr>
        <w:t>.)</w:t>
      </w:r>
    </w:p>
    <w:p>
      <w:pPr>
        <w:spacing w:before="160" w:after="80"/>
        <w:jc w:val="left"/>
      </w:pPr>
      <w:r>
        <w:rPr>
          <w:rFonts w:ascii="Arial" w:hAnsi="Arial" w:cs="Arial"/>
          <w:b/>
          <w:i w:val="0"/>
          <w:sz w:val="22"/>
        </w:rPr>
        <w:t>4.2 Distribucion geografica e institucional</w:t>
      </w:r>
    </w:p>
    <w:p>
      <w:pPr>
        <w:spacing w:after="80"/>
        <w:ind w:firstLine="340"/>
        <w:jc w:val="both"/>
      </w:pPr>
      <w:r>
        <w:rPr>
          <w:rFonts w:ascii="Times New Roman" w:hAnsi="Times New Roman" w:cs="Times New Roman"/>
          <w:b w:val="0"/>
          <w:i w:val="0"/>
          <w:sz w:val="20"/>
        </w:rPr>
        <w:t xml:space="preserve">La distribucion geografica de autorias (basada en el 88% de autorships con afiliacion extraida via OpenAlex) evidencia una concentracion regional extrema (Figura 2A). De las 158 autorias con pais identificado, </w:t>
      </w:r>
      <w:r>
        <w:rPr>
          <w:rFonts w:ascii="Times New Roman" w:hAnsi="Times New Roman" w:cs="Times New Roman"/>
          <w:b/>
          <w:i w:val="0"/>
          <w:sz w:val="20"/>
        </w:rPr>
        <w:t>150 (94.9%) corresponden a paises iberoamericanos</w:t>
      </w:r>
      <w:r>
        <w:rPr>
          <w:rFonts w:ascii="Times New Roman" w:hAnsi="Times New Roman" w:cs="Times New Roman"/>
          <w:b w:val="0"/>
          <w:i w:val="0"/>
          <w:sz w:val="20"/>
        </w:rPr>
        <w:t>. Ecuador concentra el 60.1% (95 autorias), Cuba el 19.0% (30) y Venezuela el 7.0% (11). El top-3 (Ecuador-Cuba-Venezuela) absorbe el 86% del total. Solo 8 autorias provienen de paises fuera de Iberoamerica: Bulgaria (3), Estados Unidos (3), India (1) y Japon (1).</w:t>
      </w:r>
    </w:p>
    <w:p>
      <w:pPr>
        <w:spacing w:after="80"/>
        <w:ind w:firstLine="340"/>
        <w:jc w:val="both"/>
      </w:pPr>
      <w:r>
        <w:rPr>
          <w:rFonts w:ascii="Times New Roman" w:hAnsi="Times New Roman" w:cs="Times New Roman"/>
          <w:b w:val="0"/>
          <w:i w:val="0"/>
          <w:sz w:val="20"/>
        </w:rPr>
        <w:t>A nivel institucional (Figura 2B), la Universidad Regional Autonoma de Los Andes (UNIANDES, Ecuador) lidera con 23 autorias, seguida por Universidad Bolivariana del Ecuador (UBE, 20), Universidad de Guayaquil (17), Universidad Estatal de Bolivar (15), Universidad de Holguin (12, Cuba) y Politecnica Salesiana (12, Ecuador). Las cinco instituciones con mayor produccion son todas ecuatorianas, y nueve de las diez son de Ecuador o Cuba.</w:t>
      </w:r>
    </w:p>
    <w:p>
      <w:pPr>
        <w:spacing w:before="120" w:after="40"/>
        <w:jc w:val="center"/>
      </w:pPr>
      <w:r>
        <w:drawing>
          <wp:inline xmlns:a="http://schemas.openxmlformats.org/drawingml/2006/main" xmlns:pic="http://schemas.openxmlformats.org/drawingml/2006/picture">
            <wp:extent cx="5760720" cy="4382930"/>
            <wp:docPr id="2" name="Picture 2"/>
            <wp:cNvGraphicFramePr>
              <a:graphicFrameLocks noChangeAspect="1"/>
            </wp:cNvGraphicFramePr>
            <a:graphic>
              <a:graphicData uri="http://schemas.openxmlformats.org/drawingml/2006/picture">
                <pic:pic>
                  <pic:nvPicPr>
                    <pic:cNvPr id="0" name="geo.png"/>
                    <pic:cNvPicPr/>
                  </pic:nvPicPr>
                  <pic:blipFill>
                    <a:blip r:embed="rId11"/>
                    <a:stretch>
                      <a:fillRect/>
                    </a:stretch>
                  </pic:blipFill>
                  <pic:spPr>
                    <a:xfrm>
                      <a:off x="0" y="0"/>
                      <a:ext cx="5760720" cy="4382930"/>
                    </a:xfrm>
                    <a:prstGeom prst="rect"/>
                  </pic:spPr>
                </pic:pic>
              </a:graphicData>
            </a:graphic>
          </wp:inline>
        </w:drawing>
      </w:r>
    </w:p>
    <w:p>
      <w:pPr>
        <w:spacing w:after="160"/>
        <w:ind w:left="567"/>
        <w:jc w:val="both"/>
      </w:pPr>
      <w:r>
        <w:rPr>
          <w:rFonts w:ascii="Times New Roman" w:hAnsi="Times New Roman" w:cs="Times New Roman"/>
          <w:b/>
          <w:i/>
          <w:sz w:val="18"/>
        </w:rPr>
        <w:t>Figura 2.</w:t>
      </w:r>
      <w:r>
        <w:rPr>
          <w:rFonts w:ascii="Times New Roman" w:hAnsi="Times New Roman" w:cs="Times New Roman"/>
          <w:b w:val="0"/>
          <w:i/>
          <w:sz w:val="18"/>
        </w:rPr>
        <w:t xml:space="preserve"> Distribucion geografica e institucional. (A) Autorias por pais con destacado en rojo de paises iberoamericanos. (B) Top 15 instituciones (nota: "nan" excluido). (C) Concentracion regional con 95% iberoamericana. (Fuente: </w:t>
      </w:r>
      <w:r>
        <w:rPr>
          <w:rFonts w:ascii="Consolas" w:hAnsi="Consolas" w:cs="Consolas"/>
          <w:b w:val="0"/>
          <w:i/>
          <w:sz w:val="16"/>
        </w:rPr>
        <w:t>geo.png</w:t>
      </w:r>
      <w:r>
        <w:rPr>
          <w:rFonts w:ascii="Times New Roman" w:hAnsi="Times New Roman" w:cs="Times New Roman"/>
          <w:b w:val="0"/>
          <w:i/>
          <w:sz w:val="18"/>
        </w:rPr>
        <w:t>.)</w:t>
      </w:r>
    </w:p>
    <w:p>
      <w:pPr>
        <w:spacing w:before="160" w:after="80"/>
        <w:jc w:val="left"/>
      </w:pPr>
      <w:r>
        <w:rPr>
          <w:rFonts w:ascii="Arial" w:hAnsi="Arial" w:cs="Arial"/>
          <w:b/>
          <w:i w:val="0"/>
          <w:sz w:val="22"/>
        </w:rPr>
        <w:t>4.3 Productividad autoral y ley de Lotka (RQ2)</w:t>
      </w:r>
    </w:p>
    <w:p>
      <w:pPr>
        <w:spacing w:after="80"/>
        <w:ind w:firstLine="340"/>
        <w:jc w:val="both"/>
      </w:pPr>
      <w:r>
        <w:rPr>
          <w:rFonts w:ascii="Times New Roman" w:hAnsi="Times New Roman" w:cs="Times New Roman"/>
          <w:b w:val="0"/>
          <w:i w:val="0"/>
          <w:sz w:val="20"/>
        </w:rPr>
        <w:t xml:space="preserve">El corpus muestra los rasgos clasicos de las distribuciones de productividad cientifica: una gran base de autores con una unica publicacion y una cola delgada de autores muy prolificos. De los 1.363 autores unicos, </w:t>
      </w:r>
      <w:r>
        <w:rPr>
          <w:rFonts w:ascii="Times New Roman" w:hAnsi="Times New Roman" w:cs="Times New Roman"/>
          <w:b/>
          <w:i w:val="0"/>
          <w:sz w:val="20"/>
        </w:rPr>
        <w:t>940 (69%) aparecen en un solo articulo</w:t>
      </w:r>
      <w:r>
        <w:rPr>
          <w:rFonts w:ascii="Times New Roman" w:hAnsi="Times New Roman" w:cs="Times New Roman"/>
          <w:b w:val="0"/>
          <w:i w:val="0"/>
          <w:sz w:val="20"/>
        </w:rPr>
        <w:t>, y solo 51 (3.7%) tienen 5 o mas articulos. Los autores mas prolificos, tras desambiguacion, son Carmen Marina Mendez Cabrita (29 articulos), Florentin Smarandache (25) y Maikel Leyva Vazquez (19).</w:t>
      </w:r>
    </w:p>
    <w:p>
      <w:pPr>
        <w:spacing w:after="80"/>
        <w:ind w:firstLine="340"/>
        <w:jc w:val="both"/>
      </w:pPr>
      <w:r>
        <w:rPr>
          <w:rFonts w:ascii="Times New Roman" w:hAnsi="Times New Roman" w:cs="Times New Roman"/>
          <w:b w:val="0"/>
          <w:i w:val="0"/>
          <w:sz w:val="20"/>
        </w:rPr>
        <w:t xml:space="preserve">El ajuste por maxima verosimilitud [Newman 2005] sobre </w:t>
      </w:r>
      <w:r>
        <w:rPr>
          <w:rFonts w:ascii="Consolas" w:hAnsi="Consolas" w:cs="Consolas"/>
          <w:b w:val="0"/>
          <w:i w:val="0"/>
          <w:sz w:val="18"/>
        </w:rPr>
        <w:t>n(x) ∝ x^(-alpha)</w:t>
      </w:r>
      <w:r>
        <w:rPr>
          <w:rFonts w:ascii="Times New Roman" w:hAnsi="Times New Roman" w:cs="Times New Roman"/>
          <w:b w:val="0"/>
          <w:i w:val="0"/>
          <w:sz w:val="20"/>
        </w:rPr>
        <w:t xml:space="preserve"> con </w:t>
      </w:r>
      <w:r>
        <w:rPr>
          <w:rFonts w:ascii="Consolas" w:hAnsi="Consolas" w:cs="Consolas"/>
          <w:b w:val="0"/>
          <w:i w:val="0"/>
          <w:sz w:val="18"/>
        </w:rPr>
        <w:t>x_min = 1</w:t>
      </w:r>
      <w:r>
        <w:rPr>
          <w:rFonts w:ascii="Times New Roman" w:hAnsi="Times New Roman" w:cs="Times New Roman"/>
          <w:b w:val="0"/>
          <w:i w:val="0"/>
          <w:sz w:val="20"/>
        </w:rPr>
        <w:t xml:space="preserve"> produce:</w:t>
      </w:r>
    </w:p>
    <w:p>
      <w:pPr>
        <w:spacing w:after="0" w:before="0"/>
      </w:pPr>
      <w:r>
        <w:rPr>
          <w:rFonts w:ascii="Consolas" w:hAnsi="Consolas" w:cs="Consolas"/>
          <w:b w:val="0"/>
          <w:i w:val="0"/>
          <w:sz w:val="18"/>
        </w:rPr>
        <w:t>alpha = 2.027  (SE = 0.028, n = 1.363)</w:t>
      </w:r>
    </w:p>
    <w:p>
      <w:pPr>
        <w:spacing w:after="80"/>
        <w:ind w:firstLine="340"/>
        <w:jc w:val="both"/>
      </w:pPr>
      <w:r>
        <w:rPr>
          <w:rFonts w:ascii="Times New Roman" w:hAnsi="Times New Roman" w:cs="Times New Roman"/>
          <w:b w:val="0"/>
          <w:i w:val="0"/>
          <w:sz w:val="20"/>
        </w:rPr>
        <w:t>El valor es estadisticamente indistinguible de la ley clasica de Lotka (</w:t>
      </w:r>
      <w:r>
        <w:rPr>
          <w:rFonts w:ascii="Consolas" w:hAnsi="Consolas" w:cs="Consolas"/>
          <w:b w:val="0"/>
          <w:i w:val="0"/>
          <w:sz w:val="18"/>
        </w:rPr>
        <w:t>alpha = 2</w:t>
      </w:r>
      <w:r>
        <w:rPr>
          <w:rFonts w:ascii="Times New Roman" w:hAnsi="Times New Roman" w:cs="Times New Roman"/>
          <w:b w:val="0"/>
          <w:i w:val="0"/>
          <w:sz w:val="20"/>
        </w:rPr>
        <w:t>). Sin embargo, el test de Kolmogorov-Smirnov no se cumple (</w:t>
      </w:r>
      <w:r>
        <w:rPr>
          <w:rFonts w:ascii="Consolas" w:hAnsi="Consolas" w:cs="Consolas"/>
          <w:b w:val="0"/>
          <w:i w:val="0"/>
          <w:sz w:val="18"/>
        </w:rPr>
        <w:t>D = 0.120</w:t>
      </w:r>
      <w:r>
        <w:rPr>
          <w:rFonts w:ascii="Times New Roman" w:hAnsi="Times New Roman" w:cs="Times New Roman"/>
          <w:b w:val="0"/>
          <w:i w:val="0"/>
          <w:sz w:val="20"/>
        </w:rPr>
        <w:t>, critico 5% = 0.038): los datos desvian sistematicamente de la distribucion teorica en dos puntos (Figura 3). Primero, la fraccion empirica de autores con exactamente un articulo (71.9%) excede la prediccion teorica (61.7%) por mas de 10 puntos porcentuales. Segundo, la cola muestra saltos no suaves en el intervalo [5, 29] articulos, con mas autores en valores altos que lo predicho.</w:t>
      </w:r>
    </w:p>
    <w:p>
      <w:pPr>
        <w:spacing w:after="80"/>
        <w:ind w:firstLine="340"/>
        <w:jc w:val="both"/>
      </w:pPr>
      <w:r>
        <w:rPr>
          <w:rFonts w:ascii="Times New Roman" w:hAnsi="Times New Roman" w:cs="Times New Roman"/>
          <w:b w:val="0"/>
          <w:i w:val="0"/>
          <w:sz w:val="20"/>
        </w:rPr>
        <w:t>La interpretacion es consistente con el patron de revista con funcion formativa fuerte: un flujo continuo de autores "one-shot" (estudiantes, tesistas) se superpone a un nucleo editorial pequeno pero muy productivo. La curva de Pareto (Figura 6G del dashboard) confirma que el 80% de los articulos son producidos por solo el ~17% de los autores.</w:t>
      </w:r>
    </w:p>
    <w:p>
      <w:pPr>
        <w:spacing w:before="120" w:after="40"/>
        <w:jc w:val="center"/>
      </w:pPr>
      <w:r>
        <w:drawing>
          <wp:inline xmlns:a="http://schemas.openxmlformats.org/drawingml/2006/main" xmlns:pic="http://schemas.openxmlformats.org/drawingml/2006/picture">
            <wp:extent cx="5760720" cy="2251918"/>
            <wp:docPr id="3" name="Picture 3"/>
            <wp:cNvGraphicFramePr>
              <a:graphicFrameLocks noChangeAspect="1"/>
            </wp:cNvGraphicFramePr>
            <a:graphic>
              <a:graphicData uri="http://schemas.openxmlformats.org/drawingml/2006/picture">
                <pic:pic>
                  <pic:nvPicPr>
                    <pic:cNvPr id="0" name="lotka_loglog.png"/>
                    <pic:cNvPicPr/>
                  </pic:nvPicPr>
                  <pic:blipFill>
                    <a:blip r:embed="rId12"/>
                    <a:stretch>
                      <a:fillRect/>
                    </a:stretch>
                  </pic:blipFill>
                  <pic:spPr>
                    <a:xfrm>
                      <a:off x="0" y="0"/>
                      <a:ext cx="5760720" cy="2251918"/>
                    </a:xfrm>
                    <a:prstGeom prst="rect"/>
                  </pic:spPr>
                </pic:pic>
              </a:graphicData>
            </a:graphic>
          </wp:inline>
        </w:drawing>
      </w:r>
    </w:p>
    <w:p>
      <w:pPr>
        <w:spacing w:after="160"/>
        <w:ind w:left="567"/>
        <w:jc w:val="both"/>
      </w:pPr>
      <w:r>
        <w:rPr>
          <w:rFonts w:ascii="Times New Roman" w:hAnsi="Times New Roman" w:cs="Times New Roman"/>
          <w:b/>
          <w:i/>
          <w:sz w:val="18"/>
        </w:rPr>
        <w:t>Figura 3.</w:t>
      </w:r>
      <w:r>
        <w:rPr>
          <w:rFonts w:ascii="Times New Roman" w:hAnsi="Times New Roman" w:cs="Times New Roman"/>
          <w:b w:val="0"/>
          <w:i/>
          <w:sz w:val="18"/>
        </w:rPr>
        <w:t xml:space="preserve"> Ley de Lotka en NCML. (A) Empirico (puntos) vs ajuste por MLE (linea roja) en escala log-log. (B) CDF empirica vs teorica, con K-S = 0.12. (Fuente: </w:t>
      </w:r>
      <w:r>
        <w:rPr>
          <w:rFonts w:ascii="Consolas" w:hAnsi="Consolas" w:cs="Consolas"/>
          <w:b w:val="0"/>
          <w:i/>
          <w:sz w:val="16"/>
        </w:rPr>
        <w:t>lotka_loglog.png</w:t>
      </w:r>
      <w:r>
        <w:rPr>
          <w:rFonts w:ascii="Times New Roman" w:hAnsi="Times New Roman" w:cs="Times New Roman"/>
          <w:b w:val="0"/>
          <w:i/>
          <w:sz w:val="18"/>
        </w:rPr>
        <w:t>.)</w:t>
      </w:r>
    </w:p>
    <w:p>
      <w:pPr>
        <w:spacing w:before="160" w:after="80"/>
        <w:jc w:val="left"/>
      </w:pPr>
      <w:r>
        <w:rPr>
          <w:rFonts w:ascii="Arial" w:hAnsi="Arial" w:cs="Arial"/>
          <w:b/>
          <w:i w:val="0"/>
          <w:sz w:val="22"/>
        </w:rPr>
        <w:t>4.4 Dispersion de las fuentes citadas (RQ3)</w:t>
      </w:r>
    </w:p>
    <w:p>
      <w:pPr>
        <w:spacing w:after="80"/>
        <w:ind w:firstLine="340"/>
        <w:jc w:val="both"/>
      </w:pPr>
      <w:r>
        <w:rPr>
          <w:rFonts w:ascii="Times New Roman" w:hAnsi="Times New Roman" w:cs="Times New Roman"/>
          <w:b w:val="0"/>
          <w:i w:val="0"/>
          <w:sz w:val="20"/>
        </w:rPr>
        <w:t xml:space="preserve">Las 21.943 referencias extraidas de los bloques bibliograficos (media 31.1 referencias/articulo) permitieron identificar la revista-fuente en 11.877 citas (54.1%), distribuidas en </w:t>
      </w:r>
      <w:r>
        <w:rPr>
          <w:rFonts w:ascii="Times New Roman" w:hAnsi="Times New Roman" w:cs="Times New Roman"/>
          <w:b/>
          <w:i w:val="0"/>
          <w:sz w:val="20"/>
        </w:rPr>
        <w:t>2.339 fuentes unicas</w:t>
      </w:r>
      <w:r>
        <w:rPr>
          <w:rFonts w:ascii="Times New Roman" w:hAnsi="Times New Roman" w:cs="Times New Roman"/>
          <w:b w:val="0"/>
          <w:i w:val="0"/>
          <w:sz w:val="20"/>
        </w:rPr>
        <w:t>. El resto corresponde mayoritariamente a libros, tesis, reportes y URL, que no aplican al analisis Bradford.</w:t>
      </w:r>
    </w:p>
    <w:p>
      <w:pPr>
        <w:spacing w:after="80"/>
        <w:ind w:firstLine="340"/>
        <w:jc w:val="both"/>
      </w:pPr>
      <w:r>
        <w:rPr>
          <w:rFonts w:ascii="Times New Roman" w:hAnsi="Times New Roman" w:cs="Times New Roman"/>
          <w:b w:val="0"/>
          <w:i w:val="0"/>
          <w:sz w:val="20"/>
        </w:rPr>
        <w:t>La particion en tres zonas de citas de igual peso (Figura 4A) arroja una concentracion extrema:</w:t>
      </w:r>
    </w:p>
    <w:p>
      <w:pPr>
        <w:pStyle w:val="ListBullet"/>
        <w:spacing w:after="40" w:line="240" w:lineRule="auto"/>
      </w:pPr>
      <w:r>
        <w:rPr>
          <w:rFonts w:ascii="Times New Roman" w:hAnsi="Times New Roman" w:cs="Times New Roman"/>
          <w:b/>
          <w:i w:val="0"/>
          <w:sz w:val="20"/>
        </w:rPr>
        <w:t>Zona 1 (nucleo)</w:t>
      </w:r>
      <w:r>
        <w:rPr>
          <w:rFonts w:ascii="Times New Roman" w:hAnsi="Times New Roman" w:cs="Times New Roman"/>
          <w:b w:val="0"/>
          <w:i w:val="0"/>
          <w:sz w:val="20"/>
        </w:rPr>
        <w:t>: 5 revistas concentran 3.963 citas (33.4%).</w:t>
      </w:r>
    </w:p>
    <w:p>
      <w:pPr>
        <w:pStyle w:val="ListBullet"/>
        <w:spacing w:after="40" w:line="240" w:lineRule="auto"/>
      </w:pPr>
      <w:r>
        <w:rPr>
          <w:rFonts w:ascii="Times New Roman" w:hAnsi="Times New Roman" w:cs="Times New Roman"/>
          <w:b/>
          <w:i w:val="0"/>
          <w:sz w:val="20"/>
        </w:rPr>
        <w:t>Zona 2 (media)</w:t>
      </w:r>
      <w:r>
        <w:rPr>
          <w:rFonts w:ascii="Times New Roman" w:hAnsi="Times New Roman" w:cs="Times New Roman"/>
          <w:b w:val="0"/>
          <w:i w:val="0"/>
          <w:sz w:val="20"/>
        </w:rPr>
        <w:t>: 74 revistas concentran 3.970 citas (33.4%).</w:t>
      </w:r>
    </w:p>
    <w:p>
      <w:pPr>
        <w:pStyle w:val="ListBullet"/>
        <w:spacing w:after="40" w:line="240" w:lineRule="auto"/>
      </w:pPr>
      <w:r>
        <w:rPr>
          <w:rFonts w:ascii="Times New Roman" w:hAnsi="Times New Roman" w:cs="Times New Roman"/>
          <w:b/>
          <w:i w:val="0"/>
          <w:sz w:val="20"/>
        </w:rPr>
        <w:t>Zona 3 (periferia)</w:t>
      </w:r>
      <w:r>
        <w:rPr>
          <w:rFonts w:ascii="Times New Roman" w:hAnsi="Times New Roman" w:cs="Times New Roman"/>
          <w:b w:val="0"/>
          <w:i w:val="0"/>
          <w:sz w:val="20"/>
        </w:rPr>
        <w:t>: 2.260 revistas concentran 3.944 citas (33.2%).</w:t>
      </w:r>
    </w:p>
    <w:p>
      <w:pPr>
        <w:spacing w:after="80"/>
        <w:ind w:firstLine="340"/>
        <w:jc w:val="both"/>
      </w:pPr>
      <w:r>
        <w:rPr>
          <w:rFonts w:ascii="Times New Roman" w:hAnsi="Times New Roman" w:cs="Times New Roman"/>
          <w:b w:val="0"/>
          <w:i w:val="0"/>
          <w:sz w:val="20"/>
        </w:rPr>
        <w:t xml:space="preserve">El multiplicador de Bradford empirico entre zonas es </w:t>
      </w:r>
      <w:r>
        <w:rPr>
          <w:rFonts w:ascii="Consolas" w:hAnsi="Consolas" w:cs="Consolas"/>
          <w:b w:val="0"/>
          <w:i w:val="0"/>
          <w:sz w:val="18"/>
        </w:rPr>
        <w:t>k = [14.8, 30.5]</w:t>
      </w:r>
      <w:r>
        <w:rPr>
          <w:rFonts w:ascii="Times New Roman" w:hAnsi="Times New Roman" w:cs="Times New Roman"/>
          <w:b w:val="0"/>
          <w:i w:val="0"/>
          <w:sz w:val="20"/>
        </w:rPr>
        <w:t>, muy lejos del valor constante predicho por la ley clasica (k ≈ 3-5). Esto senala una dispersion extremadamente heterogenea: el nucleo es tres a cinco veces mas concentrado que lo tipico.</w:t>
      </w:r>
    </w:p>
    <w:p>
      <w:pPr>
        <w:spacing w:after="80"/>
        <w:ind w:firstLine="340"/>
        <w:jc w:val="both"/>
      </w:pPr>
      <w:r>
        <w:rPr>
          <w:rFonts w:ascii="Times New Roman" w:hAnsi="Times New Roman" w:cs="Times New Roman"/>
          <w:b w:val="0"/>
          <w:i w:val="0"/>
          <w:sz w:val="20"/>
        </w:rPr>
        <w:t>Las cinco revistas del nucleo (Figura 4B) son:</w:t>
      </w:r>
    </w:p>
    <w:tbl>
      <w:tblPr>
        <w:tblStyle w:val="LightGrid"/>
        <w:tblW w:type="auto" w:w="0"/>
        <w:tblLook w:firstColumn="1" w:firstRow="1" w:lastColumn="0" w:lastRow="0" w:noHBand="0" w:noVBand="1" w:val="04A0"/>
      </w:tblPr>
      <w:tblGrid>
        <w:gridCol w:w="3135"/>
        <w:gridCol w:w="3135"/>
        <w:gridCol w:w="3135"/>
      </w:tblGrid>
      <w:tr>
        <w:tc>
          <w:tcPr>
            <w:tcW w:type="dxa" w:w="3135"/>
          </w:tcPr>
          <w:p>
            <w:r/>
            <w:r>
              <w:rPr>
                <w:rFonts w:ascii="Arial" w:hAnsi="Arial" w:cs="Arial"/>
                <w:b/>
                <w:i w:val="0"/>
                <w:sz w:val="18"/>
              </w:rPr>
              <w:t>Rango</w:t>
            </w:r>
          </w:p>
        </w:tc>
        <w:tc>
          <w:tcPr>
            <w:tcW w:type="dxa" w:w="3135"/>
          </w:tcPr>
          <w:p>
            <w:r/>
            <w:r>
              <w:rPr>
                <w:rFonts w:ascii="Arial" w:hAnsi="Arial" w:cs="Arial"/>
                <w:b/>
                <w:i w:val="0"/>
                <w:sz w:val="18"/>
              </w:rPr>
              <w:t>Revista</w:t>
            </w:r>
          </w:p>
        </w:tc>
        <w:tc>
          <w:tcPr>
            <w:tcW w:type="dxa" w:w="3135"/>
          </w:tcPr>
          <w:p>
            <w:r/>
            <w:r>
              <w:rPr>
                <w:rFonts w:ascii="Arial" w:hAnsi="Arial" w:cs="Arial"/>
                <w:b/>
                <w:i w:val="0"/>
                <w:sz w:val="18"/>
              </w:rPr>
              <w:t>Citas</w:t>
            </w:r>
          </w:p>
        </w:tc>
      </w:tr>
      <w:tr>
        <w:tc>
          <w:tcPr>
            <w:tcW w:type="dxa" w:w="3135"/>
          </w:tcPr>
          <w:p>
            <w:r/>
            <w:r>
              <w:rPr>
                <w:rFonts w:ascii="Times New Roman" w:hAnsi="Times New Roman" w:cs="Times New Roman"/>
                <w:b w:val="0"/>
                <w:i w:val="0"/>
                <w:sz w:val="18"/>
              </w:rPr>
              <w:t>1</w:t>
            </w:r>
          </w:p>
        </w:tc>
        <w:tc>
          <w:tcPr>
            <w:tcW w:type="dxa" w:w="3135"/>
          </w:tcPr>
          <w:p>
            <w:r/>
            <w:r>
              <w:rPr>
                <w:rFonts w:ascii="Times New Roman" w:hAnsi="Times New Roman" w:cs="Times New Roman"/>
                <w:b w:val="0"/>
                <w:i w:val="0"/>
                <w:sz w:val="18"/>
              </w:rPr>
              <w:t>Neutrosophic Sets and Systems</w:t>
            </w:r>
          </w:p>
        </w:tc>
        <w:tc>
          <w:tcPr>
            <w:tcW w:type="dxa" w:w="3135"/>
          </w:tcPr>
          <w:p>
            <w:r/>
            <w:r>
              <w:rPr>
                <w:rFonts w:ascii="Times New Roman" w:hAnsi="Times New Roman" w:cs="Times New Roman"/>
                <w:b w:val="0"/>
                <w:i w:val="0"/>
                <w:sz w:val="18"/>
              </w:rPr>
              <w:t>1.047</w:t>
            </w:r>
          </w:p>
        </w:tc>
      </w:tr>
      <w:tr>
        <w:tc>
          <w:tcPr>
            <w:tcW w:type="dxa" w:w="3135"/>
          </w:tcPr>
          <w:p>
            <w:r/>
            <w:r>
              <w:rPr>
                <w:rFonts w:ascii="Times New Roman" w:hAnsi="Times New Roman" w:cs="Times New Roman"/>
                <w:b w:val="0"/>
                <w:i w:val="0"/>
                <w:sz w:val="18"/>
              </w:rPr>
              <w:t>2</w:t>
            </w:r>
          </w:p>
        </w:tc>
        <w:tc>
          <w:tcPr>
            <w:tcW w:type="dxa" w:w="3135"/>
          </w:tcPr>
          <w:p>
            <w:r/>
            <w:r>
              <w:rPr>
                <w:rFonts w:ascii="Times New Roman" w:hAnsi="Times New Roman" w:cs="Times New Roman"/>
                <w:b w:val="0"/>
                <w:i w:val="0"/>
                <w:sz w:val="18"/>
              </w:rPr>
              <w:t>Neutrosophic Computing and Machine Learning (autocitacion)</w:t>
            </w:r>
          </w:p>
        </w:tc>
        <w:tc>
          <w:tcPr>
            <w:tcW w:type="dxa" w:w="3135"/>
          </w:tcPr>
          <w:p>
            <w:r/>
            <w:r>
              <w:rPr>
                <w:rFonts w:ascii="Times New Roman" w:hAnsi="Times New Roman" w:cs="Times New Roman"/>
                <w:b w:val="0"/>
                <w:i w:val="0"/>
                <w:sz w:val="18"/>
              </w:rPr>
              <w:t>1.000</w:t>
            </w:r>
          </w:p>
        </w:tc>
      </w:tr>
      <w:tr>
        <w:tc>
          <w:tcPr>
            <w:tcW w:type="dxa" w:w="3135"/>
          </w:tcPr>
          <w:p>
            <w:r/>
            <w:r>
              <w:rPr>
                <w:rFonts w:ascii="Times New Roman" w:hAnsi="Times New Roman" w:cs="Times New Roman"/>
                <w:b w:val="0"/>
                <w:i w:val="0"/>
                <w:sz w:val="18"/>
              </w:rPr>
              <w:t>3</w:t>
            </w:r>
          </w:p>
        </w:tc>
        <w:tc>
          <w:tcPr>
            <w:tcW w:type="dxa" w:w="3135"/>
          </w:tcPr>
          <w:p>
            <w:r/>
            <w:r>
              <w:rPr>
                <w:rFonts w:ascii="Times New Roman" w:hAnsi="Times New Roman" w:cs="Times New Roman"/>
                <w:b w:val="0"/>
                <w:i w:val="0"/>
                <w:sz w:val="18"/>
              </w:rPr>
              <w:t>Universidad y Sociedad (Cuba)</w:t>
            </w:r>
          </w:p>
        </w:tc>
        <w:tc>
          <w:tcPr>
            <w:tcW w:type="dxa" w:w="3135"/>
          </w:tcPr>
          <w:p>
            <w:r/>
            <w:r>
              <w:rPr>
                <w:rFonts w:ascii="Times New Roman" w:hAnsi="Times New Roman" w:cs="Times New Roman"/>
                <w:b w:val="0"/>
                <w:i w:val="0"/>
                <w:sz w:val="18"/>
              </w:rPr>
              <w:t>722</w:t>
            </w:r>
          </w:p>
        </w:tc>
      </w:tr>
      <w:tr>
        <w:tc>
          <w:tcPr>
            <w:tcW w:type="dxa" w:w="3135"/>
          </w:tcPr>
          <w:p>
            <w:r/>
            <w:r>
              <w:rPr>
                <w:rFonts w:ascii="Times New Roman" w:hAnsi="Times New Roman" w:cs="Times New Roman"/>
                <w:b w:val="0"/>
                <w:i w:val="0"/>
                <w:sz w:val="18"/>
              </w:rPr>
              <w:t>4</w:t>
            </w:r>
          </w:p>
        </w:tc>
        <w:tc>
          <w:tcPr>
            <w:tcW w:type="dxa" w:w="3135"/>
          </w:tcPr>
          <w:p>
            <w:r/>
            <w:r>
              <w:rPr>
                <w:rFonts w:ascii="Times New Roman" w:hAnsi="Times New Roman" w:cs="Times New Roman"/>
                <w:b w:val="0"/>
                <w:i w:val="0"/>
                <w:sz w:val="18"/>
              </w:rPr>
              <w:t>Serie Cientifica de la Universidad de las Ciencias Informaticas (Cuba)</w:t>
            </w:r>
          </w:p>
        </w:tc>
        <w:tc>
          <w:tcPr>
            <w:tcW w:type="dxa" w:w="3135"/>
          </w:tcPr>
          <w:p>
            <w:r/>
            <w:r>
              <w:rPr>
                <w:rFonts w:ascii="Times New Roman" w:hAnsi="Times New Roman" w:cs="Times New Roman"/>
                <w:b w:val="0"/>
                <w:i w:val="0"/>
                <w:sz w:val="18"/>
              </w:rPr>
              <w:t>608</w:t>
            </w:r>
          </w:p>
        </w:tc>
      </w:tr>
      <w:tr>
        <w:tc>
          <w:tcPr>
            <w:tcW w:type="dxa" w:w="3135"/>
          </w:tcPr>
          <w:p>
            <w:r/>
            <w:r>
              <w:rPr>
                <w:rFonts w:ascii="Times New Roman" w:hAnsi="Times New Roman" w:cs="Times New Roman"/>
                <w:b w:val="0"/>
                <w:i w:val="0"/>
                <w:sz w:val="18"/>
              </w:rPr>
              <w:t>5</w:t>
            </w:r>
          </w:p>
        </w:tc>
        <w:tc>
          <w:tcPr>
            <w:tcW w:type="dxa" w:w="3135"/>
          </w:tcPr>
          <w:p>
            <w:r/>
            <w:r>
              <w:rPr>
                <w:rFonts w:ascii="Times New Roman" w:hAnsi="Times New Roman" w:cs="Times New Roman"/>
                <w:b w:val="0"/>
                <w:i w:val="0"/>
                <w:sz w:val="18"/>
              </w:rPr>
              <w:t>Revista Conrado (Cuba)</w:t>
            </w:r>
          </w:p>
        </w:tc>
        <w:tc>
          <w:tcPr>
            <w:tcW w:type="dxa" w:w="3135"/>
          </w:tcPr>
          <w:p>
            <w:r/>
            <w:r>
              <w:rPr>
                <w:rFonts w:ascii="Times New Roman" w:hAnsi="Times New Roman" w:cs="Times New Roman"/>
                <w:b w:val="0"/>
                <w:i w:val="0"/>
                <w:sz w:val="18"/>
              </w:rPr>
              <w:t>586</w:t>
            </w:r>
          </w:p>
        </w:tc>
      </w:tr>
    </w:tbl>
    <w:p/>
    <w:p>
      <w:pPr>
        <w:spacing w:after="80"/>
        <w:ind w:firstLine="340"/>
        <w:jc w:val="both"/>
      </w:pPr>
      <w:r>
        <w:rPr>
          <w:rFonts w:ascii="Times New Roman" w:hAnsi="Times New Roman" w:cs="Times New Roman"/>
          <w:b w:val="0"/>
          <w:i w:val="0"/>
          <w:sz w:val="20"/>
        </w:rPr>
        <w:t xml:space="preserve">NSS y NCML conjuntamente representan </w:t>
      </w:r>
      <w:r>
        <w:rPr>
          <w:rFonts w:ascii="Times New Roman" w:hAnsi="Times New Roman" w:cs="Times New Roman"/>
          <w:b/>
          <w:i w:val="0"/>
          <w:sz w:val="20"/>
        </w:rPr>
        <w:t>17.2% de las citas a revistas</w:t>
      </w:r>
      <w:r>
        <w:rPr>
          <w:rFonts w:ascii="Times New Roman" w:hAnsi="Times New Roman" w:cs="Times New Roman"/>
          <w:b w:val="0"/>
          <w:i w:val="0"/>
          <w:sz w:val="20"/>
        </w:rPr>
        <w:t xml:space="preserve"> detectadas, lo que confirma que el ecosistema neutrosofico es auto-referencial en un grado marcado. Entre las 15 revistas mas citadas, 8 son revistas iberoamericanas no indexadas en Scopus, y solo 2 pertenecen a circuitos internacionales mainstream (IEEE Transactions on Fuzzy Systems, Fuzzy Sets and Systems), con 105 citas combinadas (&lt;1% del total).</w:t>
      </w:r>
    </w:p>
    <w:p>
      <w:pPr>
        <w:spacing w:before="120" w:after="40"/>
        <w:jc w:val="center"/>
      </w:pPr>
      <w:r>
        <w:drawing>
          <wp:inline xmlns:a="http://schemas.openxmlformats.org/drawingml/2006/main" xmlns:pic="http://schemas.openxmlformats.org/drawingml/2006/picture">
            <wp:extent cx="5760720" cy="2160270"/>
            <wp:docPr id="4" name="Picture 4"/>
            <wp:cNvGraphicFramePr>
              <a:graphicFrameLocks noChangeAspect="1"/>
            </wp:cNvGraphicFramePr>
            <a:graphic>
              <a:graphicData uri="http://schemas.openxmlformats.org/drawingml/2006/picture">
                <pic:pic>
                  <pic:nvPicPr>
                    <pic:cNvPr id="0" name="bradford.png"/>
                    <pic:cNvPicPr/>
                  </pic:nvPicPr>
                  <pic:blipFill>
                    <a:blip r:embed="rId13"/>
                    <a:stretch>
                      <a:fillRect/>
                    </a:stretch>
                  </pic:blipFill>
                  <pic:spPr>
                    <a:xfrm>
                      <a:off x="0" y="0"/>
                      <a:ext cx="5760720" cy="2160270"/>
                    </a:xfrm>
                    <a:prstGeom prst="rect"/>
                  </pic:spPr>
                </pic:pic>
              </a:graphicData>
            </a:graphic>
          </wp:inline>
        </w:drawing>
      </w:r>
    </w:p>
    <w:p>
      <w:pPr>
        <w:spacing w:after="160"/>
        <w:ind w:left="567"/>
        <w:jc w:val="both"/>
      </w:pPr>
      <w:r>
        <w:rPr>
          <w:rFonts w:ascii="Times New Roman" w:hAnsi="Times New Roman" w:cs="Times New Roman"/>
          <w:b/>
          <w:i/>
          <w:sz w:val="18"/>
        </w:rPr>
        <w:t>Figura 4.</w:t>
      </w:r>
      <w:r>
        <w:rPr>
          <w:rFonts w:ascii="Times New Roman" w:hAnsi="Times New Roman" w:cs="Times New Roman"/>
          <w:b w:val="0"/>
          <w:i/>
          <w:sz w:val="18"/>
        </w:rPr>
        <w:t xml:space="preserve"> Ley de Bradford en NCML. (A) Curva citas-acumuladas vs rango (escala log), con zonas 1 y 2 marcadas. (B) Top 20 revistas citadas; las de mayor peso son el ecosistema neutrosofico y revistas cubanas de educacion y ciencias informaticas. (Fuente: </w:t>
      </w:r>
      <w:r>
        <w:rPr>
          <w:rFonts w:ascii="Consolas" w:hAnsi="Consolas" w:cs="Consolas"/>
          <w:b w:val="0"/>
          <w:i/>
          <w:sz w:val="16"/>
        </w:rPr>
        <w:t>bradford.png</w:t>
      </w:r>
      <w:r>
        <w:rPr>
          <w:rFonts w:ascii="Times New Roman" w:hAnsi="Times New Roman" w:cs="Times New Roman"/>
          <w:b w:val="0"/>
          <w:i/>
          <w:sz w:val="18"/>
        </w:rPr>
        <w:t>.)</w:t>
      </w:r>
    </w:p>
    <w:p>
      <w:pPr>
        <w:spacing w:before="160" w:after="80"/>
        <w:jc w:val="left"/>
      </w:pPr>
      <w:r>
        <w:rPr>
          <w:rFonts w:ascii="Arial" w:hAnsi="Arial" w:cs="Arial"/>
          <w:b/>
          <w:i w:val="0"/>
          <w:sz w:val="22"/>
        </w:rPr>
        <w:t>4.5 Agenda tematica y su evolucion (RQ4)</w:t>
      </w:r>
    </w:p>
    <w:p>
      <w:pPr>
        <w:spacing w:after="80"/>
        <w:ind w:firstLine="340"/>
        <w:jc w:val="both"/>
      </w:pPr>
      <w:r>
        <w:rPr>
          <w:rFonts w:ascii="Times New Roman" w:hAnsi="Times New Roman" w:cs="Times New Roman"/>
          <w:b w:val="0"/>
          <w:i w:val="0"/>
          <w:sz w:val="20"/>
        </w:rPr>
        <w:t xml:space="preserve">El modelado de topicos sobre 725 documentos con abstract utilizable arrojo </w:t>
      </w:r>
      <w:r>
        <w:rPr>
          <w:rFonts w:ascii="Times New Roman" w:hAnsi="Times New Roman" w:cs="Times New Roman"/>
          <w:b/>
          <w:i w:val="0"/>
          <w:sz w:val="20"/>
        </w:rPr>
        <w:t>24 topicos diferenciados</w:t>
      </w:r>
      <w:r>
        <w:rPr>
          <w:rFonts w:ascii="Times New Roman" w:hAnsi="Times New Roman" w:cs="Times New Roman"/>
          <w:b w:val="0"/>
          <w:i w:val="0"/>
          <w:sz w:val="20"/>
        </w:rPr>
        <w:t xml:space="preserve"> (Figura 5), con silhouette score 0.43 (K optimo en el rango [10, 25]). La proyeccion UMAP 2D muestra una estructura de macroclusters con dominios claramente separados:</w:t>
      </w:r>
    </w:p>
    <w:p>
      <w:pPr>
        <w:pStyle w:val="ListBullet"/>
        <w:spacing w:after="40" w:line="240" w:lineRule="auto"/>
      </w:pPr>
      <w:r>
        <w:rPr>
          <w:rFonts w:ascii="Times New Roman" w:hAnsi="Times New Roman" w:cs="Times New Roman"/>
          <w:b/>
          <w:i w:val="0"/>
          <w:sz w:val="20"/>
        </w:rPr>
        <w:t>Derecho y justicia</w:t>
      </w:r>
      <w:r>
        <w:rPr>
          <w:rFonts w:ascii="Times New Roman" w:hAnsi="Times New Roman" w:cs="Times New Roman"/>
          <w:b w:val="0"/>
          <w:i w:val="0"/>
          <w:sz w:val="20"/>
        </w:rPr>
        <w:t xml:space="preserve"> (237 articulos agregados, 33% del corpus): T0</w:t>
      </w:r>
    </w:p>
    <w:p>
      <w:pPr>
        <w:spacing w:after="80"/>
        <w:ind w:firstLine="340"/>
        <w:jc w:val="both"/>
      </w:pPr>
      <w:r>
        <w:rPr>
          <w:rFonts w:ascii="Times New Roman" w:hAnsi="Times New Roman" w:cs="Times New Roman"/>
          <w:b w:val="0"/>
          <w:i w:val="0"/>
          <w:sz w:val="20"/>
        </w:rPr>
        <w:t>(derecho general en Ecuador), T17 (derecho laboral y migracion), T9 (violencia y victimas), T23 (derecho penal), T15 (pueblos indigenas), T5 (derecho administrativo), T6 (derechos de animales).</w:t>
      </w:r>
    </w:p>
    <w:p>
      <w:pPr>
        <w:pStyle w:val="ListBullet"/>
        <w:spacing w:after="40" w:line="240" w:lineRule="auto"/>
      </w:pPr>
      <w:r>
        <w:rPr>
          <w:rFonts w:ascii="Times New Roman" w:hAnsi="Times New Roman" w:cs="Times New Roman"/>
          <w:b/>
          <w:i w:val="0"/>
          <w:sz w:val="20"/>
        </w:rPr>
        <w:t>Salud y medicina</w:t>
      </w:r>
      <w:r>
        <w:rPr>
          <w:rFonts w:ascii="Times New Roman" w:hAnsi="Times New Roman" w:cs="Times New Roman"/>
          <w:b w:val="0"/>
          <w:i w:val="0"/>
          <w:sz w:val="20"/>
        </w:rPr>
        <w:t xml:space="preserve"> (237, 33%): T22 (odontologia), T12 (enfermedades</w:t>
      </w:r>
    </w:p>
    <w:p>
      <w:pPr>
        <w:spacing w:after="80"/>
        <w:ind w:firstLine="340"/>
        <w:jc w:val="both"/>
      </w:pPr>
      <w:r>
        <w:rPr>
          <w:rFonts w:ascii="Times New Roman" w:hAnsi="Times New Roman" w:cs="Times New Roman"/>
          <w:b w:val="0"/>
          <w:i w:val="0"/>
          <w:sz w:val="20"/>
        </w:rPr>
        <w:t>infecciosas), T20 (depresion y adultos mayores), T3 (trauma y neurologia clinica), T10 (microbiologia clinica), T13 (embarazo y salud materna), T11 (diabetes, obesidad, hipertension), T1 (cuidados de enfermeria).</w:t>
      </w:r>
    </w:p>
    <w:p>
      <w:pPr>
        <w:pStyle w:val="ListBullet"/>
        <w:spacing w:after="40" w:line="240" w:lineRule="auto"/>
      </w:pPr>
      <w:r>
        <w:rPr>
          <w:rFonts w:ascii="Times New Roman" w:hAnsi="Times New Roman" w:cs="Times New Roman"/>
          <w:b/>
          <w:i w:val="0"/>
          <w:sz w:val="20"/>
        </w:rPr>
        <w:t>Educacion</w:t>
      </w:r>
      <w:r>
        <w:rPr>
          <w:rFonts w:ascii="Times New Roman" w:hAnsi="Times New Roman" w:cs="Times New Roman"/>
          <w:b w:val="0"/>
          <w:i w:val="0"/>
          <w:sz w:val="20"/>
        </w:rPr>
        <w:t xml:space="preserve"> (76, 13%): T14 (aprendizaje y estudiantes), T19 (pedagogia</w:t>
      </w:r>
    </w:p>
    <w:p>
      <w:pPr>
        <w:spacing w:after="80"/>
        <w:ind w:firstLine="340"/>
        <w:jc w:val="both"/>
      </w:pPr>
      <w:r>
        <w:rPr>
          <w:rFonts w:ascii="Times New Roman" w:hAnsi="Times New Roman" w:cs="Times New Roman"/>
          <w:b w:val="0"/>
          <w:i w:val="0"/>
          <w:sz w:val="20"/>
        </w:rPr>
        <w:t>y formacion docente).</w:t>
      </w:r>
    </w:p>
    <w:p>
      <w:pPr>
        <w:pStyle w:val="ListBullet"/>
        <w:spacing w:after="40" w:line="240" w:lineRule="auto"/>
      </w:pPr>
      <w:r>
        <w:rPr>
          <w:rFonts w:ascii="Times New Roman" w:hAnsi="Times New Roman" w:cs="Times New Roman"/>
          <w:b/>
          <w:i w:val="0"/>
          <w:sz w:val="20"/>
        </w:rPr>
        <w:t>Teoria neutrosofica y metodos</w:t>
      </w:r>
      <w:r>
        <w:rPr>
          <w:rFonts w:ascii="Times New Roman" w:hAnsi="Times New Roman" w:cs="Times New Roman"/>
          <w:b w:val="0"/>
          <w:i w:val="0"/>
          <w:sz w:val="20"/>
        </w:rPr>
        <w:t xml:space="preserve"> (98, 14%): T7 (desarrollos teoricos</w:t>
      </w:r>
    </w:p>
    <w:p>
      <w:pPr>
        <w:spacing w:after="80"/>
        <w:ind w:firstLine="340"/>
        <w:jc w:val="both"/>
      </w:pPr>
      <w:r>
        <w:rPr>
          <w:rFonts w:ascii="Times New Roman" w:hAnsi="Times New Roman" w:cs="Times New Roman"/>
          <w:b w:val="0"/>
          <w:i w:val="0"/>
          <w:sz w:val="20"/>
        </w:rPr>
        <w:t>Smarandache), T16 (software y SVNS), T2 (fsQCA y machine learning).</w:t>
      </w:r>
    </w:p>
    <w:p>
      <w:pPr>
        <w:pStyle w:val="ListBullet"/>
        <w:spacing w:after="40" w:line="240" w:lineRule="auto"/>
      </w:pPr>
      <w:r>
        <w:rPr>
          <w:rFonts w:ascii="Times New Roman" w:hAnsi="Times New Roman" w:cs="Times New Roman"/>
          <w:b/>
          <w:i w:val="0"/>
          <w:sz w:val="20"/>
        </w:rPr>
        <w:t>Otros</w:t>
      </w:r>
      <w:r>
        <w:rPr>
          <w:rFonts w:ascii="Times New Roman" w:hAnsi="Times New Roman" w:cs="Times New Roman"/>
          <w:b w:val="0"/>
          <w:i w:val="0"/>
          <w:sz w:val="20"/>
        </w:rPr>
        <w:t xml:space="preserve"> (62, 9%): T4 (digital y sostenibilidad municipal), T21 (agua y</w:t>
      </w:r>
    </w:p>
    <w:p>
      <w:pPr>
        <w:spacing w:after="80"/>
        <w:ind w:firstLine="340"/>
        <w:jc w:val="both"/>
      </w:pPr>
      <w:r>
        <w:rPr>
          <w:rFonts w:ascii="Times New Roman" w:hAnsi="Times New Roman" w:cs="Times New Roman"/>
          <w:b w:val="0"/>
          <w:i w:val="0"/>
          <w:sz w:val="20"/>
        </w:rPr>
        <w:t>contaminacion), T18 (vehiculos y energia), T8 (emociones en enfermeria).</w:t>
      </w:r>
    </w:p>
    <w:p>
      <w:pPr>
        <w:spacing w:after="80"/>
        <w:ind w:firstLine="340"/>
        <w:jc w:val="both"/>
      </w:pPr>
      <w:r>
        <w:rPr>
          <w:rFonts w:ascii="Times New Roman" w:hAnsi="Times New Roman" w:cs="Times New Roman"/>
          <w:b w:val="0"/>
          <w:i w:val="0"/>
          <w:sz w:val="20"/>
        </w:rPr>
        <w:t xml:space="preserve">La evolucion temporal del share de cada topico entre los periodos 2018-2020 y 2023-2025 revela un </w:t>
      </w:r>
      <w:r>
        <w:rPr>
          <w:rFonts w:ascii="Times New Roman" w:hAnsi="Times New Roman" w:cs="Times New Roman"/>
          <w:b/>
          <w:i w:val="0"/>
          <w:sz w:val="20"/>
        </w:rPr>
        <w:t>cambio drastico de identidad de la revista</w:t>
      </w:r>
      <w:r>
        <w:rPr>
          <w:rFonts w:ascii="Times New Roman" w:hAnsi="Times New Roman" w:cs="Times New Roman"/>
          <w:b w:val="0"/>
          <w:i w:val="0"/>
          <w:sz w:val="20"/>
        </w:rPr>
        <w:t xml:space="preserve"> (Figura 6). Los topicos con mayor alza son todos de aplicacion juridica y medica: T0 Derecho/Ecuador (+6.8 puntos porcentuales), T22 Odontologia (+6.7 pp), T17 Laboral/migracion (+6.7 pp), T12 Enfermedad/virus (+5.2 pp), T23 Criminal (+5.1 pp). Los topicos con mayor caida son, por el contrario, los de base metodologica y educativa:</w:t>
      </w:r>
    </w:p>
    <w:p>
      <w:pPr>
        <w:pStyle w:val="ListBullet"/>
        <w:spacing w:after="40" w:line="240" w:lineRule="auto"/>
      </w:pPr>
      <w:r>
        <w:rPr>
          <w:rFonts w:ascii="Times New Roman" w:hAnsi="Times New Roman" w:cs="Times New Roman"/>
          <w:b w:val="0"/>
          <w:i w:val="0"/>
          <w:sz w:val="20"/>
        </w:rPr>
        <w:t xml:space="preserve">T14 Educacion/estudiantes: </w:t>
      </w:r>
      <w:r>
        <w:rPr>
          <w:rFonts w:ascii="Times New Roman" w:hAnsi="Times New Roman" w:cs="Times New Roman"/>
          <w:b/>
          <w:i w:val="0"/>
          <w:sz w:val="20"/>
        </w:rPr>
        <w:t>−21.6 pp</w:t>
      </w:r>
      <w:r>
        <w:rPr>
          <w:rFonts w:ascii="Times New Roman" w:hAnsi="Times New Roman" w:cs="Times New Roman"/>
          <w:b w:val="0"/>
          <w:i w:val="0"/>
          <w:sz w:val="20"/>
        </w:rPr>
        <w:t xml:space="preserve"> (de 28% del corpus 2018-2020 a 6%</w:t>
      </w:r>
    </w:p>
    <w:p>
      <w:pPr>
        <w:spacing w:after="80"/>
        <w:ind w:firstLine="340"/>
        <w:jc w:val="both"/>
      </w:pPr>
      <w:r>
        <w:rPr>
          <w:rFonts w:ascii="Times New Roman" w:hAnsi="Times New Roman" w:cs="Times New Roman"/>
          <w:b w:val="0"/>
          <w:i w:val="0"/>
          <w:sz w:val="20"/>
        </w:rPr>
        <w:t>en 2023-2025).</w:t>
      </w:r>
    </w:p>
    <w:p>
      <w:pPr>
        <w:pStyle w:val="ListBullet"/>
        <w:spacing w:after="40" w:line="240" w:lineRule="auto"/>
      </w:pPr>
      <w:r>
        <w:rPr>
          <w:rFonts w:ascii="Times New Roman" w:hAnsi="Times New Roman" w:cs="Times New Roman"/>
          <w:b w:val="0"/>
          <w:i w:val="0"/>
          <w:sz w:val="20"/>
        </w:rPr>
        <w:t>T16 IA/software/SVNS: −16.3 pp.</w:t>
      </w:r>
    </w:p>
    <w:p>
      <w:pPr>
        <w:pStyle w:val="ListBullet"/>
        <w:spacing w:after="40" w:line="240" w:lineRule="auto"/>
      </w:pPr>
      <w:r>
        <w:rPr>
          <w:rFonts w:ascii="Times New Roman" w:hAnsi="Times New Roman" w:cs="Times New Roman"/>
          <w:b w:val="0"/>
          <w:i w:val="0"/>
          <w:sz w:val="20"/>
        </w:rPr>
        <w:t>T7 Smarandache/teoria pura: −9.0 pp.</w:t>
      </w:r>
    </w:p>
    <w:p>
      <w:pPr>
        <w:pStyle w:val="ListBullet"/>
        <w:spacing w:after="40" w:line="240" w:lineRule="auto"/>
      </w:pPr>
      <w:r>
        <w:rPr>
          <w:rFonts w:ascii="Times New Roman" w:hAnsi="Times New Roman" w:cs="Times New Roman"/>
          <w:b w:val="0"/>
          <w:i w:val="0"/>
          <w:sz w:val="20"/>
        </w:rPr>
        <w:t>T2 fsQCA/Machine Learning: −7.6 pp.</w:t>
      </w:r>
    </w:p>
    <w:p>
      <w:pPr>
        <w:pStyle w:val="ListBullet"/>
        <w:spacing w:after="40" w:line="240" w:lineRule="auto"/>
      </w:pPr>
      <w:r>
        <w:rPr>
          <w:rFonts w:ascii="Times New Roman" w:hAnsi="Times New Roman" w:cs="Times New Roman"/>
          <w:b w:val="0"/>
          <w:i w:val="0"/>
          <w:sz w:val="20"/>
        </w:rPr>
        <w:t>T19 Pedagogia: −5.1 pp.</w:t>
      </w:r>
    </w:p>
    <w:p>
      <w:pPr>
        <w:spacing w:before="120" w:after="40"/>
        <w:jc w:val="center"/>
      </w:pPr>
      <w:r>
        <w:drawing>
          <wp:inline xmlns:a="http://schemas.openxmlformats.org/drawingml/2006/main" xmlns:pic="http://schemas.openxmlformats.org/drawingml/2006/picture">
            <wp:extent cx="5760720" cy="4166204"/>
            <wp:docPr id="5" name="Picture 5"/>
            <wp:cNvGraphicFramePr>
              <a:graphicFrameLocks noChangeAspect="1"/>
            </wp:cNvGraphicFramePr>
            <a:graphic>
              <a:graphicData uri="http://schemas.openxmlformats.org/drawingml/2006/picture">
                <pic:pic>
                  <pic:nvPicPr>
                    <pic:cNvPr id="0" name="topics_umap.png"/>
                    <pic:cNvPicPr/>
                  </pic:nvPicPr>
                  <pic:blipFill>
                    <a:blip r:embed="rId14"/>
                    <a:stretch>
                      <a:fillRect/>
                    </a:stretch>
                  </pic:blipFill>
                  <pic:spPr>
                    <a:xfrm>
                      <a:off x="0" y="0"/>
                      <a:ext cx="5760720" cy="4166204"/>
                    </a:xfrm>
                    <a:prstGeom prst="rect"/>
                  </pic:spPr>
                </pic:pic>
              </a:graphicData>
            </a:graphic>
          </wp:inline>
        </w:drawing>
      </w:r>
    </w:p>
    <w:p>
      <w:pPr>
        <w:spacing w:after="160"/>
        <w:ind w:left="567"/>
        <w:jc w:val="both"/>
      </w:pPr>
      <w:r>
        <w:rPr>
          <w:rFonts w:ascii="Times New Roman" w:hAnsi="Times New Roman" w:cs="Times New Roman"/>
          <w:b/>
          <w:i/>
          <w:sz w:val="18"/>
        </w:rPr>
        <w:t>Figura 5.</w:t>
      </w:r>
      <w:r>
        <w:rPr>
          <w:rFonts w:ascii="Times New Roman" w:hAnsi="Times New Roman" w:cs="Times New Roman"/>
          <w:b w:val="0"/>
          <w:i/>
          <w:sz w:val="18"/>
        </w:rPr>
        <w:t xml:space="preserve"> Mapa UMAP 2D de los 24 topicos identificados, coloreados por cluster (KMeans). (Fuente: </w:t>
      </w:r>
      <w:r>
        <w:rPr>
          <w:rFonts w:ascii="Consolas" w:hAnsi="Consolas" w:cs="Consolas"/>
          <w:b w:val="0"/>
          <w:i/>
          <w:sz w:val="16"/>
        </w:rPr>
        <w:t>topics_umap.png</w:t>
      </w:r>
      <w:r>
        <w:rPr>
          <w:rFonts w:ascii="Times New Roman" w:hAnsi="Times New Roman" w:cs="Times New Roman"/>
          <w:b w:val="0"/>
          <w:i/>
          <w:sz w:val="18"/>
        </w:rPr>
        <w:t>.)</w:t>
      </w:r>
    </w:p>
    <w:p>
      <w:pPr>
        <w:spacing w:after="80"/>
        <w:ind w:firstLine="340"/>
        <w:jc w:val="both"/>
      </w:pPr>
      <w:r>
        <w:rPr>
          <w:rFonts w:ascii="Times New Roman" w:hAnsi="Times New Roman" w:cs="Times New Roman"/>
          <w:b w:val="0"/>
          <w:i w:val="0"/>
          <w:sz w:val="20"/>
        </w:rPr>
        <w:t>&gt;</w:t>
      </w:r>
    </w:p>
    <w:p>
      <w:pPr>
        <w:spacing w:before="120" w:after="40"/>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topics_heatmap.png"/>
                    <pic:cNvPicPr/>
                  </pic:nvPicPr>
                  <pic:blipFill>
                    <a:blip r:embed="rId15"/>
                    <a:stretch>
                      <a:fillRect/>
                    </a:stretch>
                  </pic:blipFill>
                  <pic:spPr>
                    <a:xfrm>
                      <a:off x="0" y="0"/>
                      <a:ext cx="5760720" cy="576072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760720" cy="4608576"/>
            <wp:docPr id="7" name="Picture 7"/>
            <wp:cNvGraphicFramePr>
              <a:graphicFrameLocks noChangeAspect="1"/>
            </wp:cNvGraphicFramePr>
            <a:graphic>
              <a:graphicData uri="http://schemas.openxmlformats.org/drawingml/2006/picture">
                <pic:pic>
                  <pic:nvPicPr>
                    <pic:cNvPr id="0" name="topics_trend.png"/>
                    <pic:cNvPicPr/>
                  </pic:nvPicPr>
                  <pic:blipFill>
                    <a:blip r:embed="rId16"/>
                    <a:stretch>
                      <a:fillRect/>
                    </a:stretch>
                  </pic:blipFill>
                  <pic:spPr>
                    <a:xfrm>
                      <a:off x="0" y="0"/>
                      <a:ext cx="5760720" cy="4608576"/>
                    </a:xfrm>
                    <a:prstGeom prst="rect"/>
                  </pic:spPr>
                </pic:pic>
              </a:graphicData>
            </a:graphic>
          </wp:inline>
        </w:drawing>
      </w:r>
    </w:p>
    <w:p>
      <w:pPr>
        <w:spacing w:after="160"/>
        <w:ind w:left="567"/>
        <w:jc w:val="both"/>
      </w:pPr>
      <w:r>
        <w:rPr>
          <w:rFonts w:ascii="Times New Roman" w:hAnsi="Times New Roman" w:cs="Times New Roman"/>
          <w:b/>
          <w:i/>
          <w:sz w:val="18"/>
        </w:rPr>
        <w:t>Figura 6.</w:t>
      </w:r>
      <w:r>
        <w:rPr>
          <w:rFonts w:ascii="Times New Roman" w:hAnsi="Times New Roman" w:cs="Times New Roman"/>
          <w:b w:val="0"/>
          <w:i/>
          <w:sz w:val="18"/>
        </w:rPr>
        <w:t xml:space="preserve"> Evolucion temporal de la agenda tematica. (A) Heatmap topico-ano con porcentajes por columna; (B) Grafico de barras horizontales con el cambio en share (puntos porcentuales) entre 2018-2020 y 2023-2025; topicos emergentes en azul, declinantes en rojo. (Fuente: </w:t>
      </w:r>
      <w:r>
        <w:rPr>
          <w:rFonts w:ascii="Consolas" w:hAnsi="Consolas" w:cs="Consolas"/>
          <w:b w:val="0"/>
          <w:i/>
          <w:sz w:val="16"/>
        </w:rPr>
        <w:t>topics_heatmap.png</w:t>
      </w:r>
      <w:r>
        <w:rPr>
          <w:rFonts w:ascii="Times New Roman" w:hAnsi="Times New Roman" w:cs="Times New Roman"/>
          <w:b w:val="0"/>
          <w:i/>
          <w:sz w:val="18"/>
        </w:rPr>
        <w:t xml:space="preserve"> y </w:t>
      </w:r>
      <w:r>
        <w:rPr>
          <w:rFonts w:ascii="Consolas" w:hAnsi="Consolas" w:cs="Consolas"/>
          <w:b w:val="0"/>
          <w:i/>
          <w:sz w:val="16"/>
        </w:rPr>
        <w:t>topics_trend.png</w:t>
      </w:r>
      <w:r>
        <w:rPr>
          <w:rFonts w:ascii="Times New Roman" w:hAnsi="Times New Roman" w:cs="Times New Roman"/>
          <w:b w:val="0"/>
          <w:i/>
          <w:sz w:val="18"/>
        </w:rPr>
        <w:t>.)</w:t>
      </w:r>
    </w:p>
    <w:p>
      <w:pPr>
        <w:spacing w:before="160" w:after="80"/>
        <w:jc w:val="left"/>
      </w:pPr>
      <w:r>
        <w:rPr>
          <w:rFonts w:ascii="Arial" w:hAnsi="Arial" w:cs="Arial"/>
          <w:b/>
          <w:i w:val="0"/>
          <w:sz w:val="22"/>
        </w:rPr>
        <w:t>4.6 Red de coautoria y colegios invisibles</w:t>
      </w:r>
    </w:p>
    <w:p>
      <w:pPr>
        <w:spacing w:after="80"/>
        <w:ind w:firstLine="340"/>
        <w:jc w:val="both"/>
      </w:pPr>
      <w:r>
        <w:rPr>
          <w:rFonts w:ascii="Times New Roman" w:hAnsi="Times New Roman" w:cs="Times New Roman"/>
          <w:b w:val="0"/>
          <w:i w:val="0"/>
          <w:sz w:val="20"/>
        </w:rPr>
        <w:t xml:space="preserve">El grafo de coautoria completo contiene </w:t>
      </w:r>
      <w:r>
        <w:rPr>
          <w:rFonts w:ascii="Times New Roman" w:hAnsi="Times New Roman" w:cs="Times New Roman"/>
          <w:b/>
          <w:i w:val="0"/>
          <w:sz w:val="20"/>
        </w:rPr>
        <w:t>1.363 nodos</w:t>
      </w:r>
      <w:r>
        <w:rPr>
          <w:rFonts w:ascii="Times New Roman" w:hAnsi="Times New Roman" w:cs="Times New Roman"/>
          <w:b w:val="0"/>
          <w:i w:val="0"/>
          <w:sz w:val="20"/>
        </w:rPr>
        <w:t xml:space="preserve"> y </w:t>
      </w:r>
      <w:r>
        <w:rPr>
          <w:rFonts w:ascii="Times New Roman" w:hAnsi="Times New Roman" w:cs="Times New Roman"/>
          <w:b/>
          <w:i w:val="0"/>
          <w:sz w:val="20"/>
        </w:rPr>
        <w:t>2.174 aristas</w:t>
      </w:r>
      <w:r>
        <w:rPr>
          <w:rFonts w:ascii="Times New Roman" w:hAnsi="Times New Roman" w:cs="Times New Roman"/>
          <w:b w:val="0"/>
          <w:i w:val="0"/>
          <w:sz w:val="20"/>
        </w:rPr>
        <w:t xml:space="preserve">, con densidad 0.0023 y grado medio 3.19. La estructura es extremadamente fragmentada: se identifican 264 componentes conexos, y el componente principal agrupa solo el </w:t>
      </w:r>
      <w:r>
        <w:rPr>
          <w:rFonts w:ascii="Times New Roman" w:hAnsi="Times New Roman" w:cs="Times New Roman"/>
          <w:b/>
          <w:i w:val="0"/>
          <w:sz w:val="20"/>
        </w:rPr>
        <w:t>15.8% de los autores</w:t>
      </w:r>
      <w:r>
        <w:rPr>
          <w:rFonts w:ascii="Times New Roman" w:hAnsi="Times New Roman" w:cs="Times New Roman"/>
          <w:b w:val="0"/>
          <w:i w:val="0"/>
          <w:sz w:val="20"/>
        </w:rPr>
        <w:t xml:space="preserve"> (216 nodos). Esta caracteristica es inusual para una revista con un volumen editorial tan alto y contrasta fuertemente con las redes de revistas consolidadas como NSS.</w:t>
      </w:r>
    </w:p>
    <w:p>
      <w:pPr>
        <w:spacing w:after="80"/>
        <w:ind w:firstLine="340"/>
        <w:jc w:val="both"/>
      </w:pPr>
      <w:r>
        <w:rPr>
          <w:rFonts w:ascii="Times New Roman" w:hAnsi="Times New Roman" w:cs="Times New Roman"/>
          <w:b w:val="0"/>
          <w:i w:val="0"/>
          <w:sz w:val="20"/>
        </w:rPr>
        <w:t xml:space="preserve">La deteccion de comunidades por Louvain sobre el grafo completo produce una </w:t>
      </w:r>
      <w:r>
        <w:rPr>
          <w:rFonts w:ascii="Times New Roman" w:hAnsi="Times New Roman" w:cs="Times New Roman"/>
          <w:b/>
          <w:i w:val="0"/>
          <w:sz w:val="20"/>
        </w:rPr>
        <w:t>modularidad = 0.96</w:t>
      </w:r>
      <w:r>
        <w:rPr>
          <w:rFonts w:ascii="Times New Roman" w:hAnsi="Times New Roman" w:cs="Times New Roman"/>
          <w:b w:val="0"/>
          <w:i w:val="0"/>
          <w:sz w:val="20"/>
        </w:rPr>
        <w:t xml:space="preserve"> (81 comunidades), indicando una estructura de grupos casi perfectamente disjunta. Las comunidades mas grandes corresponden a grupos universitarios ecuatorianos:</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
              <w:rPr>
                <w:rFonts w:ascii="Arial" w:hAnsi="Arial" w:cs="Arial"/>
                <w:b/>
                <w:i w:val="0"/>
                <w:sz w:val="18"/>
              </w:rPr>
              <w:t>Comunidad</w:t>
            </w:r>
          </w:p>
        </w:tc>
        <w:tc>
          <w:tcPr>
            <w:tcW w:type="dxa" w:w="2351"/>
          </w:tcPr>
          <w:p>
            <w:r/>
            <w:r>
              <w:rPr>
                <w:rFonts w:ascii="Arial" w:hAnsi="Arial" w:cs="Arial"/>
                <w:b/>
                <w:i w:val="0"/>
                <w:sz w:val="18"/>
              </w:rPr>
              <w:t>Miembros</w:t>
            </w:r>
          </w:p>
        </w:tc>
        <w:tc>
          <w:tcPr>
            <w:tcW w:type="dxa" w:w="2351"/>
          </w:tcPr>
          <w:p>
            <w:r/>
            <w:r>
              <w:rPr>
                <w:rFonts w:ascii="Arial" w:hAnsi="Arial" w:cs="Arial"/>
                <w:b/>
                <w:i w:val="0"/>
                <w:sz w:val="18"/>
              </w:rPr>
              <w:t>Articulos</w:t>
            </w:r>
          </w:p>
        </w:tc>
        <w:tc>
          <w:tcPr>
            <w:tcW w:type="dxa" w:w="2351"/>
          </w:tcPr>
          <w:p>
            <w:r/>
            <w:r>
              <w:rPr>
                <w:rFonts w:ascii="Arial" w:hAnsi="Arial" w:cs="Arial"/>
                <w:b/>
                <w:i w:val="0"/>
                <w:sz w:val="18"/>
              </w:rPr>
              <w:t>Autores principales</w:t>
            </w:r>
          </w:p>
        </w:tc>
      </w:tr>
      <w:tr>
        <w:tc>
          <w:tcPr>
            <w:tcW w:type="dxa" w:w="2351"/>
          </w:tcPr>
          <w:p>
            <w:r/>
            <w:r>
              <w:rPr>
                <w:rFonts w:ascii="Times New Roman" w:hAnsi="Times New Roman" w:cs="Times New Roman"/>
                <w:b w:val="0"/>
                <w:i w:val="0"/>
                <w:sz w:val="18"/>
              </w:rPr>
              <w:t>C33</w:t>
            </w:r>
          </w:p>
        </w:tc>
        <w:tc>
          <w:tcPr>
            <w:tcW w:type="dxa" w:w="2351"/>
          </w:tcPr>
          <w:p>
            <w:r/>
            <w:r>
              <w:rPr>
                <w:rFonts w:ascii="Times New Roman" w:hAnsi="Times New Roman" w:cs="Times New Roman"/>
                <w:b w:val="0"/>
                <w:i w:val="0"/>
                <w:sz w:val="18"/>
              </w:rPr>
              <w:t>39</w:t>
            </w:r>
          </w:p>
        </w:tc>
        <w:tc>
          <w:tcPr>
            <w:tcW w:type="dxa" w:w="2351"/>
          </w:tcPr>
          <w:p>
            <w:r/>
            <w:r>
              <w:rPr>
                <w:rFonts w:ascii="Times New Roman" w:hAnsi="Times New Roman" w:cs="Times New Roman"/>
                <w:b w:val="0"/>
                <w:i w:val="0"/>
                <w:sz w:val="18"/>
              </w:rPr>
              <w:t>160</w:t>
            </w:r>
          </w:p>
        </w:tc>
        <w:tc>
          <w:tcPr>
            <w:tcW w:type="dxa" w:w="2351"/>
          </w:tcPr>
          <w:p>
            <w:r/>
            <w:r>
              <w:rPr>
                <w:rFonts w:ascii="Times New Roman" w:hAnsi="Times New Roman" w:cs="Times New Roman"/>
                <w:b w:val="0"/>
                <w:i w:val="0"/>
                <w:sz w:val="18"/>
              </w:rPr>
              <w:t>Mendez Cabrita, Isea Arguelles, Crespo Berti</w:t>
            </w:r>
          </w:p>
        </w:tc>
      </w:tr>
      <w:tr>
        <w:tc>
          <w:tcPr>
            <w:tcW w:type="dxa" w:w="2351"/>
          </w:tcPr>
          <w:p>
            <w:r/>
            <w:r>
              <w:rPr>
                <w:rFonts w:ascii="Times New Roman" w:hAnsi="Times New Roman" w:cs="Times New Roman"/>
                <w:b w:val="0"/>
                <w:i w:val="0"/>
                <w:sz w:val="18"/>
              </w:rPr>
              <w:t>C14</w:t>
            </w:r>
          </w:p>
        </w:tc>
        <w:tc>
          <w:tcPr>
            <w:tcW w:type="dxa" w:w="2351"/>
          </w:tcPr>
          <w:p>
            <w:r/>
            <w:r>
              <w:rPr>
                <w:rFonts w:ascii="Times New Roman" w:hAnsi="Times New Roman" w:cs="Times New Roman"/>
                <w:b w:val="0"/>
                <w:i w:val="0"/>
                <w:sz w:val="18"/>
              </w:rPr>
              <w:t>31</w:t>
            </w:r>
          </w:p>
        </w:tc>
        <w:tc>
          <w:tcPr>
            <w:tcW w:type="dxa" w:w="2351"/>
          </w:tcPr>
          <w:p>
            <w:r/>
            <w:r>
              <w:rPr>
                <w:rFonts w:ascii="Times New Roman" w:hAnsi="Times New Roman" w:cs="Times New Roman"/>
                <w:b w:val="0"/>
                <w:i w:val="0"/>
                <w:sz w:val="18"/>
              </w:rPr>
              <w:t>121</w:t>
            </w:r>
          </w:p>
        </w:tc>
        <w:tc>
          <w:tcPr>
            <w:tcW w:type="dxa" w:w="2351"/>
          </w:tcPr>
          <w:p>
            <w:r/>
            <w:r>
              <w:rPr>
                <w:rFonts w:ascii="Times New Roman" w:hAnsi="Times New Roman" w:cs="Times New Roman"/>
                <w:b w:val="0"/>
                <w:i w:val="0"/>
                <w:sz w:val="18"/>
              </w:rPr>
              <w:t>Fiallos Bonilla, Bucaram Caicedo, Urrutia Guevara</w:t>
            </w:r>
          </w:p>
        </w:tc>
      </w:tr>
      <w:tr>
        <w:tc>
          <w:tcPr>
            <w:tcW w:type="dxa" w:w="2351"/>
          </w:tcPr>
          <w:p>
            <w:r/>
            <w:r>
              <w:rPr>
                <w:rFonts w:ascii="Times New Roman" w:hAnsi="Times New Roman" w:cs="Times New Roman"/>
                <w:b w:val="0"/>
                <w:i w:val="0"/>
                <w:sz w:val="18"/>
              </w:rPr>
              <w:t>C12</w:t>
            </w:r>
          </w:p>
        </w:tc>
        <w:tc>
          <w:tcPr>
            <w:tcW w:type="dxa" w:w="2351"/>
          </w:tcPr>
          <w:p>
            <w:r/>
            <w:r>
              <w:rPr>
                <w:rFonts w:ascii="Times New Roman" w:hAnsi="Times New Roman" w:cs="Times New Roman"/>
                <w:b w:val="0"/>
                <w:i w:val="0"/>
                <w:sz w:val="18"/>
              </w:rPr>
              <w:t>23</w:t>
            </w:r>
          </w:p>
        </w:tc>
        <w:tc>
          <w:tcPr>
            <w:tcW w:type="dxa" w:w="2351"/>
          </w:tcPr>
          <w:p>
            <w:r/>
            <w:r>
              <w:rPr>
                <w:rFonts w:ascii="Times New Roman" w:hAnsi="Times New Roman" w:cs="Times New Roman"/>
                <w:b w:val="0"/>
                <w:i w:val="0"/>
                <w:sz w:val="18"/>
              </w:rPr>
              <w:t>74</w:t>
            </w:r>
          </w:p>
        </w:tc>
        <w:tc>
          <w:tcPr>
            <w:tcW w:type="dxa" w:w="2351"/>
          </w:tcPr>
          <w:p>
            <w:r/>
            <w:r>
              <w:rPr>
                <w:rFonts w:ascii="Times New Roman" w:hAnsi="Times New Roman" w:cs="Times New Roman"/>
                <w:b w:val="0"/>
                <w:i w:val="0"/>
                <w:sz w:val="18"/>
              </w:rPr>
              <w:t>Lopez Torres, Garcia Novillo, Salame Ortiz</w:t>
            </w:r>
          </w:p>
        </w:tc>
      </w:tr>
      <w:tr>
        <w:tc>
          <w:tcPr>
            <w:tcW w:type="dxa" w:w="2351"/>
          </w:tcPr>
          <w:p>
            <w:r/>
            <w:r>
              <w:rPr>
                <w:rFonts w:ascii="Times New Roman" w:hAnsi="Times New Roman" w:cs="Times New Roman"/>
                <w:b w:val="0"/>
                <w:i w:val="0"/>
                <w:sz w:val="18"/>
              </w:rPr>
              <w:t>C34</w:t>
            </w:r>
          </w:p>
        </w:tc>
        <w:tc>
          <w:tcPr>
            <w:tcW w:type="dxa" w:w="2351"/>
          </w:tcPr>
          <w:p>
            <w:r/>
            <w:r>
              <w:rPr>
                <w:rFonts w:ascii="Times New Roman" w:hAnsi="Times New Roman" w:cs="Times New Roman"/>
                <w:b w:val="0"/>
                <w:i w:val="0"/>
                <w:sz w:val="18"/>
              </w:rPr>
              <w:t>15</w:t>
            </w:r>
          </w:p>
        </w:tc>
        <w:tc>
          <w:tcPr>
            <w:tcW w:type="dxa" w:w="2351"/>
          </w:tcPr>
          <w:p>
            <w:r/>
            <w:r>
              <w:rPr>
                <w:rFonts w:ascii="Times New Roman" w:hAnsi="Times New Roman" w:cs="Times New Roman"/>
                <w:b w:val="0"/>
                <w:i w:val="0"/>
                <w:sz w:val="18"/>
              </w:rPr>
              <w:t>63</w:t>
            </w:r>
          </w:p>
        </w:tc>
        <w:tc>
          <w:tcPr>
            <w:tcW w:type="dxa" w:w="2351"/>
          </w:tcPr>
          <w:p>
            <w:r/>
            <w:r>
              <w:rPr>
                <w:rFonts w:ascii="Times New Roman" w:hAnsi="Times New Roman" w:cs="Times New Roman"/>
                <w:b w:val="0"/>
                <w:i w:val="0"/>
                <w:sz w:val="18"/>
              </w:rPr>
              <w:t>Quevedo Arnaiz, Benavides Salazar, Garcia Arias</w:t>
            </w:r>
          </w:p>
        </w:tc>
      </w:tr>
      <w:tr>
        <w:tc>
          <w:tcPr>
            <w:tcW w:type="dxa" w:w="2351"/>
          </w:tcPr>
          <w:p>
            <w:r/>
            <w:r>
              <w:rPr>
                <w:rFonts w:ascii="Times New Roman" w:hAnsi="Times New Roman" w:cs="Times New Roman"/>
                <w:b/>
                <w:i w:val="0"/>
                <w:sz w:val="18"/>
              </w:rPr>
              <w:t>C29</w:t>
            </w:r>
          </w:p>
        </w:tc>
        <w:tc>
          <w:tcPr>
            <w:tcW w:type="dxa" w:w="2351"/>
          </w:tcPr>
          <w:p>
            <w:r/>
            <w:r>
              <w:rPr>
                <w:rFonts w:ascii="Times New Roman" w:hAnsi="Times New Roman" w:cs="Times New Roman"/>
                <w:b/>
                <w:i w:val="0"/>
                <w:sz w:val="18"/>
              </w:rPr>
              <w:t>9</w:t>
            </w:r>
          </w:p>
        </w:tc>
        <w:tc>
          <w:tcPr>
            <w:tcW w:type="dxa" w:w="2351"/>
          </w:tcPr>
          <w:p>
            <w:r/>
            <w:r>
              <w:rPr>
                <w:rFonts w:ascii="Times New Roman" w:hAnsi="Times New Roman" w:cs="Times New Roman"/>
                <w:b/>
                <w:i w:val="0"/>
                <w:sz w:val="18"/>
              </w:rPr>
              <w:t>61</w:t>
            </w:r>
          </w:p>
        </w:tc>
        <w:tc>
          <w:tcPr>
            <w:tcW w:type="dxa" w:w="2351"/>
          </w:tcPr>
          <w:p>
            <w:r/>
            <w:r>
              <w:rPr>
                <w:rFonts w:ascii="Times New Roman" w:hAnsi="Times New Roman" w:cs="Times New Roman"/>
                <w:b/>
                <w:i w:val="0"/>
                <w:sz w:val="18"/>
              </w:rPr>
              <w:t>Smarandache, Leyva Vazquez</w:t>
            </w:r>
          </w:p>
        </w:tc>
      </w:tr>
    </w:tbl>
    <w:p/>
    <w:p>
      <w:pPr>
        <w:spacing w:after="80"/>
        <w:ind w:firstLine="340"/>
        <w:jc w:val="both"/>
      </w:pPr>
      <w:r>
        <w:rPr>
          <w:rFonts w:ascii="Times New Roman" w:hAnsi="Times New Roman" w:cs="Times New Roman"/>
          <w:b w:val="0"/>
          <w:i w:val="0"/>
          <w:sz w:val="20"/>
        </w:rPr>
        <w:t>La comunidad C29 (nucleo teorico internacional Smarandache-Leyva) es la mas pequena de las cinco pero con la productividad por miembro mas alta (6.8 articulos/autor vs 4.1 en C33). Es tambien la unica comunidad con presencia no iberoamericana significativa.</w:t>
      </w:r>
    </w:p>
    <w:p>
      <w:pPr>
        <w:spacing w:after="80"/>
        <w:ind w:firstLine="340"/>
        <w:jc w:val="both"/>
      </w:pPr>
      <w:r>
        <w:rPr>
          <w:rFonts w:ascii="Times New Roman" w:hAnsi="Times New Roman" w:cs="Times New Roman"/>
          <w:b w:val="0"/>
          <w:i w:val="0"/>
          <w:sz w:val="20"/>
        </w:rPr>
        <w:t>El coeficiente de clustering medio del grafo completo (0.756) senala que los pocos triangulos que existen estan muy concentrados: los equipos son clicas cerradas internamente pero apenas se conectan hacia afuera. El diametro del componente principal es 11 con camino medio 5.2 saltos.</w:t>
      </w:r>
    </w:p>
    <w:p>
      <w:pPr>
        <w:spacing w:before="120" w:after="40"/>
        <w:jc w:val="center"/>
      </w:pPr>
      <w:r>
        <w:drawing>
          <wp:inline xmlns:a="http://schemas.openxmlformats.org/drawingml/2006/main" xmlns:pic="http://schemas.openxmlformats.org/drawingml/2006/picture">
            <wp:extent cx="5760720" cy="4309218"/>
            <wp:docPr id="8" name="Picture 8"/>
            <wp:cNvGraphicFramePr>
              <a:graphicFrameLocks noChangeAspect="1"/>
            </wp:cNvGraphicFramePr>
            <a:graphic>
              <a:graphicData uri="http://schemas.openxmlformats.org/drawingml/2006/picture">
                <pic:pic>
                  <pic:nvPicPr>
                    <pic:cNvPr id="0" name="coauth_main.png"/>
                    <pic:cNvPicPr/>
                  </pic:nvPicPr>
                  <pic:blipFill>
                    <a:blip r:embed="rId17"/>
                    <a:stretch>
                      <a:fillRect/>
                    </a:stretch>
                  </pic:blipFill>
                  <pic:spPr>
                    <a:xfrm>
                      <a:off x="0" y="0"/>
                      <a:ext cx="5760720" cy="4309218"/>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760720" cy="4514809"/>
            <wp:docPr id="9" name="Picture 9"/>
            <wp:cNvGraphicFramePr>
              <a:graphicFrameLocks noChangeAspect="1"/>
            </wp:cNvGraphicFramePr>
            <a:graphic>
              <a:graphicData uri="http://schemas.openxmlformats.org/drawingml/2006/picture">
                <pic:pic>
                  <pic:nvPicPr>
                    <pic:cNvPr id="0" name="coauth_core.png"/>
                    <pic:cNvPicPr/>
                  </pic:nvPicPr>
                  <pic:blipFill>
                    <a:blip r:embed="rId18"/>
                    <a:stretch>
                      <a:fillRect/>
                    </a:stretch>
                  </pic:blipFill>
                  <pic:spPr>
                    <a:xfrm>
                      <a:off x="0" y="0"/>
                      <a:ext cx="5760720" cy="4514809"/>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760720" cy="4149569"/>
            <wp:docPr id="10" name="Picture 10"/>
            <wp:cNvGraphicFramePr>
              <a:graphicFrameLocks noChangeAspect="1"/>
            </wp:cNvGraphicFramePr>
            <a:graphic>
              <a:graphicData uri="http://schemas.openxmlformats.org/drawingml/2006/picture">
                <pic:pic>
                  <pic:nvPicPr>
                    <pic:cNvPr id="0" name="coauth_full.png"/>
                    <pic:cNvPicPr/>
                  </pic:nvPicPr>
                  <pic:blipFill>
                    <a:blip r:embed="rId19"/>
                    <a:stretch>
                      <a:fillRect/>
                    </a:stretch>
                  </pic:blipFill>
                  <pic:spPr>
                    <a:xfrm>
                      <a:off x="0" y="0"/>
                      <a:ext cx="5760720" cy="4149569"/>
                    </a:xfrm>
                    <a:prstGeom prst="rect"/>
                  </pic:spPr>
                </pic:pic>
              </a:graphicData>
            </a:graphic>
          </wp:inline>
        </w:drawing>
      </w:r>
    </w:p>
    <w:p>
      <w:pPr>
        <w:spacing w:after="160"/>
        <w:ind w:left="567"/>
        <w:jc w:val="both"/>
      </w:pPr>
      <w:r>
        <w:rPr>
          <w:rFonts w:ascii="Times New Roman" w:hAnsi="Times New Roman" w:cs="Times New Roman"/>
          <w:b/>
          <w:i/>
          <w:sz w:val="18"/>
        </w:rPr>
        <w:t>Figura 7.</w:t>
      </w:r>
      <w:r>
        <w:rPr>
          <w:rFonts w:ascii="Times New Roman" w:hAnsi="Times New Roman" w:cs="Times New Roman"/>
          <w:b w:val="0"/>
          <w:i/>
          <w:sz w:val="18"/>
        </w:rPr>
        <w:t xml:space="preserve"> Red de coautoria de NCML. (A) Componente conexo principal (n = 216, 16% del total de autores); colores por comunidad Louvain. (B) Nucleo productivo (autores con ≥4 articulos conectados, n = 72). (C) Red completa filtrada (≥2 articulos, n = 368), que visualiza la fragmentacion como constelacion de clusters disjuntos. (Fuente: </w:t>
      </w:r>
      <w:r>
        <w:rPr>
          <w:rFonts w:ascii="Consolas" w:hAnsi="Consolas" w:cs="Consolas"/>
          <w:b w:val="0"/>
          <w:i/>
          <w:sz w:val="16"/>
        </w:rPr>
        <w:t>coauth_main.png</w:t>
      </w:r>
      <w:r>
        <w:rPr>
          <w:rFonts w:ascii="Times New Roman" w:hAnsi="Times New Roman" w:cs="Times New Roman"/>
          <w:b w:val="0"/>
          <w:i/>
          <w:sz w:val="18"/>
        </w:rPr>
        <w:t xml:space="preserve">, </w:t>
      </w:r>
      <w:r>
        <w:rPr>
          <w:rFonts w:ascii="Consolas" w:hAnsi="Consolas" w:cs="Consolas"/>
          <w:b w:val="0"/>
          <w:i/>
          <w:sz w:val="16"/>
        </w:rPr>
        <w:t>coauth_core.png</w:t>
      </w:r>
      <w:r>
        <w:rPr>
          <w:rFonts w:ascii="Times New Roman" w:hAnsi="Times New Roman" w:cs="Times New Roman"/>
          <w:b w:val="0"/>
          <w:i/>
          <w:sz w:val="18"/>
        </w:rPr>
        <w:t xml:space="preserve">, </w:t>
      </w:r>
      <w:r>
        <w:rPr>
          <w:rFonts w:ascii="Consolas" w:hAnsi="Consolas" w:cs="Consolas"/>
          <w:b w:val="0"/>
          <w:i/>
          <w:sz w:val="16"/>
        </w:rPr>
        <w:t>coauth_full.png</w:t>
      </w:r>
      <w:r>
        <w:rPr>
          <w:rFonts w:ascii="Times New Roman" w:hAnsi="Times New Roman" w:cs="Times New Roman"/>
          <w:b w:val="0"/>
          <w:i/>
          <w:sz w:val="18"/>
        </w:rPr>
        <w:t>.)</w:t>
      </w:r>
    </w:p>
    <w:p>
      <w:pPr>
        <w:spacing w:before="160" w:after="80"/>
        <w:jc w:val="left"/>
      </w:pPr>
      <w:r>
        <w:rPr>
          <w:rFonts w:ascii="Arial" w:hAnsi="Arial" w:cs="Arial"/>
          <w:b/>
          <w:i w:val="0"/>
          <w:sz w:val="22"/>
        </w:rPr>
        <w:t>4.7 Impacto citacional: discrepancia entre fuentes (RQ5)</w:t>
      </w:r>
    </w:p>
    <w:p>
      <w:pPr>
        <w:spacing w:after="80"/>
        <w:ind w:firstLine="340"/>
        <w:jc w:val="both"/>
      </w:pPr>
      <w:r>
        <w:rPr>
          <w:rFonts w:ascii="Times New Roman" w:hAnsi="Times New Roman" w:cs="Times New Roman"/>
          <w:b w:val="0"/>
          <w:i w:val="0"/>
          <w:sz w:val="20"/>
        </w:rPr>
        <w:t xml:space="preserve">El impacto citacional de NCML muestra una </w:t>
      </w:r>
      <w:r>
        <w:rPr>
          <w:rFonts w:ascii="Times New Roman" w:hAnsi="Times New Roman" w:cs="Times New Roman"/>
          <w:b/>
          <w:i w:val="0"/>
          <w:sz w:val="20"/>
        </w:rPr>
        <w:t>discrepancia de orden de magnitud entre fuentes bibliometricas</w:t>
      </w:r>
      <w:r>
        <w:rPr>
          <w:rFonts w:ascii="Times New Roman" w:hAnsi="Times New Roman" w:cs="Times New Roman"/>
          <w:b w:val="0"/>
          <w:i w:val="0"/>
          <w:sz w:val="20"/>
        </w:rPr>
        <w:t>. OpenAlex reporta un total de 27 citas sobre las 762 publicaciones (ratio 0.04 citas/articulo) y un h-index de revista igual a 1. Solo 8 articulos (1.0%) superan una cita segun esta fuente. En contraste, Google Scholar Metrics reporta para NCML (periodo 2020-2024):</w:t>
      </w:r>
    </w:p>
    <w:p>
      <w:pPr>
        <w:pStyle w:val="ListBullet"/>
        <w:spacing w:after="40" w:line="240" w:lineRule="auto"/>
      </w:pPr>
      <w:r>
        <w:rPr>
          <w:rFonts w:ascii="Times New Roman" w:hAnsi="Times New Roman" w:cs="Times New Roman"/>
          <w:b/>
          <w:i w:val="0"/>
          <w:sz w:val="20"/>
        </w:rPr>
        <w:t>h5-index = 10</w:t>
      </w:r>
      <w:r>
        <w:rPr>
          <w:rFonts w:ascii="Times New Roman" w:hAnsi="Times New Roman" w:cs="Times New Roman"/>
          <w:b w:val="0"/>
          <w:i w:val="0"/>
          <w:sz w:val="20"/>
        </w:rPr>
        <w:t xml:space="preserve"> (10 articulos publicados 2020-2024 con ≥10 citas cada uno).</w:t>
      </w:r>
    </w:p>
    <w:p>
      <w:pPr>
        <w:pStyle w:val="ListBullet"/>
        <w:spacing w:after="40" w:line="240" w:lineRule="auto"/>
      </w:pPr>
      <w:r>
        <w:rPr>
          <w:rFonts w:ascii="Times New Roman" w:hAnsi="Times New Roman" w:cs="Times New Roman"/>
          <w:b/>
          <w:i w:val="0"/>
          <w:sz w:val="20"/>
        </w:rPr>
        <w:t>h5-mediana = 25</w:t>
      </w:r>
      <w:r>
        <w:rPr>
          <w:rFonts w:ascii="Times New Roman" w:hAnsi="Times New Roman" w:cs="Times New Roman"/>
          <w:b w:val="0"/>
          <w:i w:val="0"/>
          <w:sz w:val="20"/>
        </w:rPr>
        <w:t xml:space="preserve"> (mediana de citas de esos 10 articulos).</w:t>
      </w:r>
    </w:p>
    <w:p>
      <w:pPr>
        <w:spacing w:after="80"/>
        <w:ind w:firstLine="340"/>
        <w:jc w:val="both"/>
      </w:pPr>
      <w:r>
        <w:rPr>
          <w:rFonts w:ascii="Times New Roman" w:hAnsi="Times New Roman" w:cs="Times New Roman"/>
          <w:b w:val="0"/>
          <w:i w:val="0"/>
          <w:sz w:val="20"/>
        </w:rPr>
        <w:t>Estas metricas son consistentes con las de las revistas hermanas del ecosistema: Neutrosophic Sets and Systems (h5 = 57, h5-mediana 76) e International Journal of Neutrosophic Science (h5 = 31, h5-mediana 51).</w:t>
      </w:r>
    </w:p>
    <w:p>
      <w:pPr>
        <w:spacing w:after="80"/>
        <w:ind w:firstLine="340"/>
        <w:jc w:val="both"/>
      </w:pPr>
      <w:r>
        <w:rPr>
          <w:rFonts w:ascii="Times New Roman" w:hAnsi="Times New Roman" w:cs="Times New Roman"/>
          <w:b w:val="0"/>
          <w:i w:val="0"/>
          <w:sz w:val="20"/>
        </w:rPr>
        <w:t>La muestra estratificada (n = 26) confirma la discrepancia (Tabla 1). En esa muestra, el 53.8% de los articulos tienen al menos una cita en Scholar vs solo el 3.8% en OpenAlex, con un total de 116 citas Scholar vs 20 OpenAlex (factor 5.8x sobre la misma muestra). Un articulo del Vol.11 (2020), "Metodo para medir la formacion de competencias pedagogicas mediante numeros neutrosoficos", reporta 71 citas en Scholar y 0 en OpenAlex, ilustrando el caso extremo.</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
              <w:rPr>
                <w:rFonts w:ascii="Arial" w:hAnsi="Arial" w:cs="Arial"/>
                <w:b/>
                <w:i w:val="0"/>
                <w:sz w:val="18"/>
              </w:rPr>
              <w:t>Fuente</w:t>
            </w:r>
          </w:p>
        </w:tc>
        <w:tc>
          <w:tcPr>
            <w:tcW w:type="dxa" w:w="2351"/>
          </w:tcPr>
          <w:p>
            <w:r/>
            <w:r>
              <w:rPr>
                <w:rFonts w:ascii="Arial" w:hAnsi="Arial" w:cs="Arial"/>
                <w:b/>
                <w:i w:val="0"/>
                <w:sz w:val="18"/>
              </w:rPr>
              <w:t>Citas totales</w:t>
            </w:r>
          </w:p>
        </w:tc>
        <w:tc>
          <w:tcPr>
            <w:tcW w:type="dxa" w:w="2351"/>
          </w:tcPr>
          <w:p>
            <w:r/>
            <w:r>
              <w:rPr>
                <w:rFonts w:ascii="Arial" w:hAnsi="Arial" w:cs="Arial"/>
                <w:b/>
                <w:i w:val="0"/>
                <w:sz w:val="18"/>
              </w:rPr>
              <w:t>Articulos &gt;=1 cita</w:t>
            </w:r>
          </w:p>
        </w:tc>
        <w:tc>
          <w:tcPr>
            <w:tcW w:type="dxa" w:w="2351"/>
          </w:tcPr>
          <w:p>
            <w:r/>
            <w:r>
              <w:rPr>
                <w:rFonts w:ascii="Arial" w:hAnsi="Arial" w:cs="Arial"/>
                <w:b/>
                <w:i w:val="0"/>
                <w:sz w:val="18"/>
              </w:rPr>
              <w:t>h / h5</w:t>
            </w:r>
          </w:p>
        </w:tc>
      </w:tr>
      <w:tr>
        <w:tc>
          <w:tcPr>
            <w:tcW w:type="dxa" w:w="2351"/>
          </w:tcPr>
          <w:p>
            <w:r/>
            <w:r>
              <w:rPr>
                <w:rFonts w:ascii="Times New Roman" w:hAnsi="Times New Roman" w:cs="Times New Roman"/>
                <w:b w:val="0"/>
                <w:i w:val="0"/>
                <w:sz w:val="18"/>
              </w:rPr>
              <w:t>OpenAlex (n=762)</w:t>
            </w:r>
          </w:p>
        </w:tc>
        <w:tc>
          <w:tcPr>
            <w:tcW w:type="dxa" w:w="2351"/>
          </w:tcPr>
          <w:p>
            <w:r/>
            <w:r>
              <w:rPr>
                <w:rFonts w:ascii="Times New Roman" w:hAnsi="Times New Roman" w:cs="Times New Roman"/>
                <w:b w:val="0"/>
                <w:i w:val="0"/>
                <w:sz w:val="18"/>
              </w:rPr>
              <w:t>27</w:t>
            </w:r>
          </w:p>
        </w:tc>
        <w:tc>
          <w:tcPr>
            <w:tcW w:type="dxa" w:w="2351"/>
          </w:tcPr>
          <w:p>
            <w:r/>
            <w:r>
              <w:rPr>
                <w:rFonts w:ascii="Times New Roman" w:hAnsi="Times New Roman" w:cs="Times New Roman"/>
                <w:b w:val="0"/>
                <w:i w:val="0"/>
                <w:sz w:val="18"/>
              </w:rPr>
              <w:t>8 (1.0%)</w:t>
            </w:r>
          </w:p>
        </w:tc>
        <w:tc>
          <w:tcPr>
            <w:tcW w:type="dxa" w:w="2351"/>
          </w:tcPr>
          <w:p>
            <w:r/>
            <w:r>
              <w:rPr>
                <w:rFonts w:ascii="Times New Roman" w:hAnsi="Times New Roman" w:cs="Times New Roman"/>
                <w:b w:val="0"/>
                <w:i w:val="0"/>
                <w:sz w:val="18"/>
              </w:rPr>
              <w:t>h=1</w:t>
            </w:r>
          </w:p>
        </w:tc>
      </w:tr>
      <w:tr>
        <w:tc>
          <w:tcPr>
            <w:tcW w:type="dxa" w:w="2351"/>
          </w:tcPr>
          <w:p>
            <w:r/>
            <w:r>
              <w:rPr>
                <w:rFonts w:ascii="Times New Roman" w:hAnsi="Times New Roman" w:cs="Times New Roman"/>
                <w:b w:val="0"/>
                <w:i w:val="0"/>
                <w:sz w:val="18"/>
              </w:rPr>
              <w:t>Scholar sample (n=26)</w:t>
            </w:r>
          </w:p>
        </w:tc>
        <w:tc>
          <w:tcPr>
            <w:tcW w:type="dxa" w:w="2351"/>
          </w:tcPr>
          <w:p>
            <w:r/>
            <w:r>
              <w:rPr>
                <w:rFonts w:ascii="Times New Roman" w:hAnsi="Times New Roman" w:cs="Times New Roman"/>
                <w:b w:val="0"/>
                <w:i w:val="0"/>
                <w:sz w:val="18"/>
              </w:rPr>
              <w:t>116</w:t>
            </w:r>
          </w:p>
        </w:tc>
        <w:tc>
          <w:tcPr>
            <w:tcW w:type="dxa" w:w="2351"/>
          </w:tcPr>
          <w:p>
            <w:r/>
            <w:r>
              <w:rPr>
                <w:rFonts w:ascii="Times New Roman" w:hAnsi="Times New Roman" w:cs="Times New Roman"/>
                <w:b w:val="0"/>
                <w:i w:val="0"/>
                <w:sz w:val="18"/>
              </w:rPr>
              <w:t>14 (53.8%)</w:t>
            </w:r>
          </w:p>
        </w:tc>
        <w:tc>
          <w:tcPr>
            <w:tcW w:type="dxa" w:w="2351"/>
          </w:tcPr>
          <w:p>
            <w:r/>
            <w:r>
              <w:rPr>
                <w:rFonts w:ascii="Times New Roman" w:hAnsi="Times New Roman" w:cs="Times New Roman"/>
                <w:b w:val="0"/>
                <w:i w:val="0"/>
                <w:sz w:val="18"/>
              </w:rPr>
              <w:t>—</w:t>
            </w:r>
          </w:p>
        </w:tc>
      </w:tr>
      <w:tr>
        <w:tc>
          <w:tcPr>
            <w:tcW w:type="dxa" w:w="2351"/>
          </w:tcPr>
          <w:p>
            <w:r/>
            <w:r>
              <w:rPr>
                <w:rFonts w:ascii="Times New Roman" w:hAnsi="Times New Roman" w:cs="Times New Roman"/>
                <w:b w:val="0"/>
                <w:i w:val="0"/>
                <w:sz w:val="18"/>
              </w:rPr>
              <w:t>Scholar Metrics 2020-24</w:t>
            </w:r>
          </w:p>
        </w:tc>
        <w:tc>
          <w:tcPr>
            <w:tcW w:type="dxa" w:w="2351"/>
          </w:tcPr>
          <w:p>
            <w:r/>
            <w:r>
              <w:rPr>
                <w:rFonts w:ascii="Times New Roman" w:hAnsi="Times New Roman" w:cs="Times New Roman"/>
                <w:b w:val="0"/>
                <w:i w:val="0"/>
                <w:sz w:val="18"/>
              </w:rPr>
              <w:t>—</w:t>
            </w:r>
          </w:p>
        </w:tc>
        <w:tc>
          <w:tcPr>
            <w:tcW w:type="dxa" w:w="2351"/>
          </w:tcPr>
          <w:p>
            <w:r/>
            <w:r>
              <w:rPr>
                <w:rFonts w:ascii="Times New Roman" w:hAnsi="Times New Roman" w:cs="Times New Roman"/>
                <w:b w:val="0"/>
                <w:i w:val="0"/>
                <w:sz w:val="18"/>
              </w:rPr>
              <w:t>—</w:t>
            </w:r>
          </w:p>
        </w:tc>
        <w:tc>
          <w:tcPr>
            <w:tcW w:type="dxa" w:w="2351"/>
          </w:tcPr>
          <w:p>
            <w:r/>
            <w:r>
              <w:rPr>
                <w:rFonts w:ascii="Times New Roman" w:hAnsi="Times New Roman" w:cs="Times New Roman"/>
                <w:b w:val="0"/>
                <w:i w:val="0"/>
                <w:sz w:val="18"/>
              </w:rPr>
              <w:t>h5=10</w:t>
            </w:r>
          </w:p>
        </w:tc>
      </w:tr>
    </w:tbl>
    <w:p/>
    <w:p>
      <w:pPr>
        <w:spacing w:after="80"/>
        <w:ind w:firstLine="340"/>
        <w:jc w:val="both"/>
      </w:pPr>
      <w:r>
        <w:rPr>
          <w:rFonts w:ascii="Times New Roman" w:hAnsi="Times New Roman" w:cs="Times New Roman"/>
          <w:b w:val="0"/>
          <w:i w:val="0"/>
          <w:sz w:val="20"/>
        </w:rPr>
        <w:t xml:space="preserve">NCML </w:t>
      </w:r>
      <w:r>
        <w:rPr>
          <w:rFonts w:ascii="Times New Roman" w:hAnsi="Times New Roman" w:cs="Times New Roman"/>
          <w:b/>
          <w:i w:val="0"/>
          <w:sz w:val="20"/>
        </w:rPr>
        <w:t>no esta indexada en Scopus</w:t>
      </w:r>
      <w:r>
        <w:rPr>
          <w:rFonts w:ascii="Times New Roman" w:hAnsi="Times New Roman" w:cs="Times New Roman"/>
          <w:b w:val="0"/>
          <w:i w:val="0"/>
          <w:sz w:val="20"/>
        </w:rPr>
        <w:t xml:space="preserve"> (verificado via la lista oficial de fuentes de Elsevier y SCImago). Por ende, las metricas CiteScore, SJR y SNIP no aplican. Esta ausencia, combinada con la fuerte dependencia de citas Scholar y la auto-referencialidad del ecosistema (seccion 4.4), explica la asimetria: OpenAlex indexa parcialmente Zenodo pero no NSS e IJNS con profundidad, mientras Scholar captura los tres.</w:t>
      </w:r>
    </w:p>
    <w:p>
      <w:pPr>
        <w:spacing w:before="160" w:after="80"/>
        <w:jc w:val="left"/>
      </w:pPr>
      <w:r>
        <w:rPr>
          <w:rFonts w:ascii="Arial" w:hAnsi="Arial" w:cs="Arial"/>
          <w:b/>
          <w:i w:val="0"/>
          <w:sz w:val="22"/>
        </w:rPr>
        <w:t>4.8 Sintesis de indicadores</w:t>
      </w:r>
    </w:p>
    <w:p>
      <w:pPr>
        <w:spacing w:after="80"/>
        <w:ind w:firstLine="340"/>
        <w:jc w:val="both"/>
      </w:pPr>
      <w:r>
        <w:rPr>
          <w:rFonts w:ascii="Times New Roman" w:hAnsi="Times New Roman" w:cs="Times New Roman"/>
          <w:b w:val="0"/>
          <w:i w:val="0"/>
          <w:sz w:val="20"/>
        </w:rPr>
        <w:t>La Tabla 2 consolida los indicadores clave del estudio.</w:t>
      </w:r>
    </w:p>
    <w:tbl>
      <w:tblPr>
        <w:tblStyle w:val="LightGrid"/>
        <w:tblW w:type="auto" w:w="0"/>
        <w:tblLook w:firstColumn="1" w:firstRow="1" w:lastColumn="0" w:lastRow="0" w:noHBand="0" w:noVBand="1" w:val="04A0"/>
      </w:tblPr>
      <w:tblGrid>
        <w:gridCol w:w="3135"/>
        <w:gridCol w:w="3135"/>
        <w:gridCol w:w="3135"/>
      </w:tblGrid>
      <w:tr>
        <w:tc>
          <w:tcPr>
            <w:tcW w:type="dxa" w:w="3135"/>
          </w:tcPr>
          <w:p>
            <w:r/>
            <w:r>
              <w:rPr>
                <w:rFonts w:ascii="Arial" w:hAnsi="Arial" w:cs="Arial"/>
                <w:b/>
                <w:i w:val="0"/>
                <w:sz w:val="18"/>
              </w:rPr>
              <w:t>Indicador</w:t>
            </w:r>
          </w:p>
        </w:tc>
        <w:tc>
          <w:tcPr>
            <w:tcW w:type="dxa" w:w="3135"/>
          </w:tcPr>
          <w:p>
            <w:r/>
            <w:r>
              <w:rPr>
                <w:rFonts w:ascii="Arial" w:hAnsi="Arial" w:cs="Arial"/>
                <w:b/>
                <w:i w:val="0"/>
                <w:sz w:val="18"/>
              </w:rPr>
              <w:t>Valor</w:t>
            </w:r>
          </w:p>
        </w:tc>
        <w:tc>
          <w:tcPr>
            <w:tcW w:type="dxa" w:w="3135"/>
          </w:tcPr>
          <w:p>
            <w:r/>
            <w:r>
              <w:rPr>
                <w:rFonts w:ascii="Arial" w:hAnsi="Arial" w:cs="Arial"/>
                <w:b/>
                <w:i w:val="0"/>
                <w:sz w:val="18"/>
              </w:rPr>
              <w:t>Fuente</w:t>
            </w:r>
          </w:p>
        </w:tc>
      </w:tr>
      <w:tr>
        <w:tc>
          <w:tcPr>
            <w:tcW w:type="dxa" w:w="3135"/>
          </w:tcPr>
          <w:p>
            <w:r/>
            <w:r>
              <w:rPr>
                <w:rFonts w:ascii="Times New Roman" w:hAnsi="Times New Roman" w:cs="Times New Roman"/>
                <w:b w:val="0"/>
                <w:i w:val="0"/>
                <w:sz w:val="18"/>
              </w:rPr>
              <w:t>Articulos totales</w:t>
            </w:r>
          </w:p>
        </w:tc>
        <w:tc>
          <w:tcPr>
            <w:tcW w:type="dxa" w:w="3135"/>
          </w:tcPr>
          <w:p>
            <w:r/>
            <w:r>
              <w:rPr>
                <w:rFonts w:ascii="Times New Roman" w:hAnsi="Times New Roman" w:cs="Times New Roman"/>
                <w:b w:val="0"/>
                <w:i w:val="0"/>
                <w:sz w:val="18"/>
              </w:rPr>
              <w:t>762</w:t>
            </w:r>
          </w:p>
        </w:tc>
        <w:tc>
          <w:tcPr>
            <w:tcW w:type="dxa" w:w="3135"/>
          </w:tcPr>
          <w:p>
            <w:r/>
            <w:r>
              <w:rPr>
                <w:rFonts w:ascii="Times New Roman" w:hAnsi="Times New Roman" w:cs="Times New Roman"/>
                <w:b w:val="0"/>
                <w:i w:val="0"/>
                <w:sz w:val="18"/>
              </w:rPr>
              <w:t>Scraping</w:t>
            </w:r>
          </w:p>
        </w:tc>
      </w:tr>
      <w:tr>
        <w:tc>
          <w:tcPr>
            <w:tcW w:type="dxa" w:w="3135"/>
          </w:tcPr>
          <w:p>
            <w:r/>
            <w:r>
              <w:rPr>
                <w:rFonts w:ascii="Times New Roman" w:hAnsi="Times New Roman" w:cs="Times New Roman"/>
                <w:b w:val="0"/>
                <w:i w:val="0"/>
                <w:sz w:val="18"/>
              </w:rPr>
              <w:t>Volumenes cubiertos</w:t>
            </w:r>
          </w:p>
        </w:tc>
        <w:tc>
          <w:tcPr>
            <w:tcW w:type="dxa" w:w="3135"/>
          </w:tcPr>
          <w:p>
            <w:r/>
            <w:r>
              <w:rPr>
                <w:rFonts w:ascii="Times New Roman" w:hAnsi="Times New Roman" w:cs="Times New Roman"/>
                <w:b w:val="0"/>
                <w:i w:val="0"/>
                <w:sz w:val="18"/>
              </w:rPr>
              <w:t>42 (Vol. 1-42)</w:t>
            </w:r>
          </w:p>
        </w:tc>
        <w:tc>
          <w:tcPr>
            <w:tcW w:type="dxa" w:w="3135"/>
          </w:tcPr>
          <w:p>
            <w:r/>
            <w:r>
              <w:rPr>
                <w:rFonts w:ascii="Times New Roman" w:hAnsi="Times New Roman" w:cs="Times New Roman"/>
                <w:b w:val="0"/>
                <w:i w:val="0"/>
                <w:sz w:val="18"/>
              </w:rPr>
              <w:t>Scraping</w:t>
            </w:r>
          </w:p>
        </w:tc>
      </w:tr>
      <w:tr>
        <w:tc>
          <w:tcPr>
            <w:tcW w:type="dxa" w:w="3135"/>
          </w:tcPr>
          <w:p>
            <w:r/>
            <w:r>
              <w:rPr>
                <w:rFonts w:ascii="Times New Roman" w:hAnsi="Times New Roman" w:cs="Times New Roman"/>
                <w:b w:val="0"/>
                <w:i w:val="0"/>
                <w:sz w:val="18"/>
              </w:rPr>
              <w:t>Periodo</w:t>
            </w:r>
          </w:p>
        </w:tc>
        <w:tc>
          <w:tcPr>
            <w:tcW w:type="dxa" w:w="3135"/>
          </w:tcPr>
          <w:p>
            <w:r/>
            <w:r>
              <w:rPr>
                <w:rFonts w:ascii="Times New Roman" w:hAnsi="Times New Roman" w:cs="Times New Roman"/>
                <w:b w:val="0"/>
                <w:i w:val="0"/>
                <w:sz w:val="18"/>
              </w:rPr>
              <w:t>2018-2026 (abr)</w:t>
            </w:r>
          </w:p>
        </w:tc>
        <w:tc>
          <w:tcPr>
            <w:tcW w:type="dxa" w:w="3135"/>
          </w:tcPr>
          <w:p>
            <w:r/>
            <w:r>
              <w:rPr>
                <w:rFonts w:ascii="Times New Roman" w:hAnsi="Times New Roman" w:cs="Times New Roman"/>
                <w:b w:val="0"/>
                <w:i w:val="0"/>
                <w:sz w:val="18"/>
              </w:rPr>
              <w:t>—</w:t>
            </w:r>
          </w:p>
        </w:tc>
      </w:tr>
      <w:tr>
        <w:tc>
          <w:tcPr>
            <w:tcW w:type="dxa" w:w="3135"/>
          </w:tcPr>
          <w:p>
            <w:r/>
            <w:r>
              <w:rPr>
                <w:rFonts w:ascii="Times New Roman" w:hAnsi="Times New Roman" w:cs="Times New Roman"/>
                <w:b w:val="0"/>
                <w:i w:val="0"/>
                <w:sz w:val="18"/>
              </w:rPr>
              <w:t>Autores unicos</w:t>
            </w:r>
          </w:p>
        </w:tc>
        <w:tc>
          <w:tcPr>
            <w:tcW w:type="dxa" w:w="3135"/>
          </w:tcPr>
          <w:p>
            <w:r/>
            <w:r>
              <w:rPr>
                <w:rFonts w:ascii="Times New Roman" w:hAnsi="Times New Roman" w:cs="Times New Roman"/>
                <w:b w:val="0"/>
                <w:i w:val="0"/>
                <w:sz w:val="18"/>
              </w:rPr>
              <w:t>1.363</w:t>
            </w:r>
          </w:p>
        </w:tc>
        <w:tc>
          <w:tcPr>
            <w:tcW w:type="dxa" w:w="3135"/>
          </w:tcPr>
          <w:p>
            <w:r/>
            <w:r>
              <w:rPr>
                <w:rFonts w:ascii="Times New Roman" w:hAnsi="Times New Roman" w:cs="Times New Roman"/>
                <w:b w:val="0"/>
                <w:i w:val="0"/>
                <w:sz w:val="18"/>
              </w:rPr>
              <w:t>Desambiguacion union-find</w:t>
            </w:r>
          </w:p>
        </w:tc>
      </w:tr>
      <w:tr>
        <w:tc>
          <w:tcPr>
            <w:tcW w:type="dxa" w:w="3135"/>
          </w:tcPr>
          <w:p>
            <w:r/>
            <w:r>
              <w:rPr>
                <w:rFonts w:ascii="Times New Roman" w:hAnsi="Times New Roman" w:cs="Times New Roman"/>
                <w:b w:val="0"/>
                <w:i w:val="0"/>
                <w:sz w:val="18"/>
              </w:rPr>
              <w:t>Referencias parseadas</w:t>
            </w:r>
          </w:p>
        </w:tc>
        <w:tc>
          <w:tcPr>
            <w:tcW w:type="dxa" w:w="3135"/>
          </w:tcPr>
          <w:p>
            <w:r/>
            <w:r>
              <w:rPr>
                <w:rFonts w:ascii="Times New Roman" w:hAnsi="Times New Roman" w:cs="Times New Roman"/>
                <w:b w:val="0"/>
                <w:i w:val="0"/>
                <w:sz w:val="18"/>
              </w:rPr>
              <w:t>11.877</w:t>
            </w:r>
          </w:p>
        </w:tc>
        <w:tc>
          <w:tcPr>
            <w:tcW w:type="dxa" w:w="3135"/>
          </w:tcPr>
          <w:p>
            <w:r/>
            <w:r>
              <w:rPr>
                <w:rFonts w:ascii="Times New Roman" w:hAnsi="Times New Roman" w:cs="Times New Roman"/>
                <w:b w:val="0"/>
                <w:i w:val="0"/>
                <w:sz w:val="18"/>
              </w:rPr>
              <w:t>PyMuPDF + regex</w:t>
            </w:r>
          </w:p>
        </w:tc>
      </w:tr>
      <w:tr>
        <w:tc>
          <w:tcPr>
            <w:tcW w:type="dxa" w:w="3135"/>
          </w:tcPr>
          <w:p>
            <w:r/>
            <w:r>
              <w:rPr>
                <w:rFonts w:ascii="Times New Roman" w:hAnsi="Times New Roman" w:cs="Times New Roman"/>
                <w:b w:val="0"/>
                <w:i w:val="0"/>
                <w:sz w:val="18"/>
              </w:rPr>
              <w:t>Topicos identificados</w:t>
            </w:r>
          </w:p>
        </w:tc>
        <w:tc>
          <w:tcPr>
            <w:tcW w:type="dxa" w:w="3135"/>
          </w:tcPr>
          <w:p>
            <w:r/>
            <w:r>
              <w:rPr>
                <w:rFonts w:ascii="Times New Roman" w:hAnsi="Times New Roman" w:cs="Times New Roman"/>
                <w:b w:val="0"/>
                <w:i w:val="0"/>
                <w:sz w:val="18"/>
              </w:rPr>
              <w:t>24</w:t>
            </w:r>
          </w:p>
        </w:tc>
        <w:tc>
          <w:tcPr>
            <w:tcW w:type="dxa" w:w="3135"/>
          </w:tcPr>
          <w:p>
            <w:r/>
            <w:r>
              <w:rPr>
                <w:rFonts w:ascii="Times New Roman" w:hAnsi="Times New Roman" w:cs="Times New Roman"/>
                <w:b w:val="0"/>
                <w:i w:val="0"/>
                <w:sz w:val="18"/>
              </w:rPr>
              <w:t>UMAP + KMeans</w:t>
            </w:r>
          </w:p>
        </w:tc>
      </w:tr>
      <w:tr>
        <w:tc>
          <w:tcPr>
            <w:tcW w:type="dxa" w:w="3135"/>
          </w:tcPr>
          <w:p>
            <w:r/>
            <w:r>
              <w:rPr>
                <w:rFonts w:ascii="Times New Roman" w:hAnsi="Times New Roman" w:cs="Times New Roman"/>
                <w:b w:val="0"/>
                <w:i w:val="0"/>
                <w:sz w:val="18"/>
              </w:rPr>
              <w:t>CAGR articulos</w:t>
            </w:r>
          </w:p>
        </w:tc>
        <w:tc>
          <w:tcPr>
            <w:tcW w:type="dxa" w:w="3135"/>
          </w:tcPr>
          <w:p>
            <w:r/>
            <w:r>
              <w:rPr>
                <w:rFonts w:ascii="Times New Roman" w:hAnsi="Times New Roman" w:cs="Times New Roman"/>
                <w:b w:val="0"/>
                <w:i w:val="0"/>
                <w:sz w:val="18"/>
              </w:rPr>
              <w:t>42% (2018-2025)</w:t>
            </w:r>
          </w:p>
        </w:tc>
        <w:tc>
          <w:tcPr>
            <w:tcW w:type="dxa" w:w="3135"/>
          </w:tcPr>
          <w:p>
            <w:r/>
            <w:r>
              <w:rPr>
                <w:rFonts w:ascii="Times New Roman" w:hAnsi="Times New Roman" w:cs="Times New Roman"/>
                <w:b w:val="0"/>
                <w:i w:val="0"/>
                <w:sz w:val="18"/>
              </w:rPr>
              <w:t>Calculado</w:t>
            </w:r>
          </w:p>
        </w:tc>
      </w:tr>
      <w:tr>
        <w:tc>
          <w:tcPr>
            <w:tcW w:type="dxa" w:w="3135"/>
          </w:tcPr>
          <w:p>
            <w:r/>
            <w:r>
              <w:rPr>
                <w:rFonts w:ascii="Times New Roman" w:hAnsi="Times New Roman" w:cs="Times New Roman"/>
                <w:b w:val="0"/>
                <w:i w:val="0"/>
                <w:sz w:val="18"/>
              </w:rPr>
              <w:t>Lotka alpha</w:t>
            </w:r>
          </w:p>
        </w:tc>
        <w:tc>
          <w:tcPr>
            <w:tcW w:type="dxa" w:w="3135"/>
          </w:tcPr>
          <w:p>
            <w:r/>
            <w:r>
              <w:rPr>
                <w:rFonts w:ascii="Times New Roman" w:hAnsi="Times New Roman" w:cs="Times New Roman"/>
                <w:b w:val="0"/>
                <w:i w:val="0"/>
                <w:sz w:val="18"/>
              </w:rPr>
              <w:t>2.03 (SE 0.03)</w:t>
            </w:r>
          </w:p>
        </w:tc>
        <w:tc>
          <w:tcPr>
            <w:tcW w:type="dxa" w:w="3135"/>
          </w:tcPr>
          <w:p>
            <w:r/>
            <w:r>
              <w:rPr>
                <w:rFonts w:ascii="Times New Roman" w:hAnsi="Times New Roman" w:cs="Times New Roman"/>
                <w:b w:val="0"/>
                <w:i w:val="0"/>
                <w:sz w:val="18"/>
              </w:rPr>
              <w:t>MLE Newman</w:t>
            </w:r>
          </w:p>
        </w:tc>
      </w:tr>
      <w:tr>
        <w:tc>
          <w:tcPr>
            <w:tcW w:type="dxa" w:w="3135"/>
          </w:tcPr>
          <w:p>
            <w:r/>
            <w:r>
              <w:rPr>
                <w:rFonts w:ascii="Times New Roman" w:hAnsi="Times New Roman" w:cs="Times New Roman"/>
                <w:b w:val="0"/>
                <w:i w:val="0"/>
                <w:sz w:val="18"/>
              </w:rPr>
              <w:t>Ratio Pareto 80/20</w:t>
            </w:r>
          </w:p>
        </w:tc>
        <w:tc>
          <w:tcPr>
            <w:tcW w:type="dxa" w:w="3135"/>
          </w:tcPr>
          <w:p>
            <w:r/>
            <w:r>
              <w:rPr>
                <w:rFonts w:ascii="Times New Roman" w:hAnsi="Times New Roman" w:cs="Times New Roman"/>
                <w:b w:val="0"/>
                <w:i w:val="0"/>
                <w:sz w:val="18"/>
              </w:rPr>
              <w:t>80% / 17%</w:t>
            </w:r>
          </w:p>
        </w:tc>
        <w:tc>
          <w:tcPr>
            <w:tcW w:type="dxa" w:w="3135"/>
          </w:tcPr>
          <w:p>
            <w:r/>
            <w:r>
              <w:rPr>
                <w:rFonts w:ascii="Times New Roman" w:hAnsi="Times New Roman" w:cs="Times New Roman"/>
                <w:b w:val="0"/>
                <w:i w:val="0"/>
                <w:sz w:val="18"/>
              </w:rPr>
              <w:t>Calculado</w:t>
            </w:r>
          </w:p>
        </w:tc>
      </w:tr>
      <w:tr>
        <w:tc>
          <w:tcPr>
            <w:tcW w:type="dxa" w:w="3135"/>
          </w:tcPr>
          <w:p>
            <w:r/>
            <w:r>
              <w:rPr>
                <w:rFonts w:ascii="Times New Roman" w:hAnsi="Times New Roman" w:cs="Times New Roman"/>
                <w:b w:val="0"/>
                <w:i w:val="0"/>
                <w:sz w:val="18"/>
              </w:rPr>
              <w:t>Bradford zone 1</w:t>
            </w:r>
          </w:p>
        </w:tc>
        <w:tc>
          <w:tcPr>
            <w:tcW w:type="dxa" w:w="3135"/>
          </w:tcPr>
          <w:p>
            <w:r/>
            <w:r>
              <w:rPr>
                <w:rFonts w:ascii="Times New Roman" w:hAnsi="Times New Roman" w:cs="Times New Roman"/>
                <w:b w:val="0"/>
                <w:i w:val="0"/>
                <w:sz w:val="18"/>
              </w:rPr>
              <w:t>5 revistas = 33% citas</w:t>
            </w:r>
          </w:p>
        </w:tc>
        <w:tc>
          <w:tcPr>
            <w:tcW w:type="dxa" w:w="3135"/>
          </w:tcPr>
          <w:p>
            <w:r/>
            <w:r>
              <w:rPr>
                <w:rFonts w:ascii="Times New Roman" w:hAnsi="Times New Roman" w:cs="Times New Roman"/>
                <w:b w:val="0"/>
                <w:i w:val="0"/>
                <w:sz w:val="18"/>
              </w:rPr>
              <w:t>Particion</w:t>
            </w:r>
          </w:p>
        </w:tc>
      </w:tr>
      <w:tr>
        <w:tc>
          <w:tcPr>
            <w:tcW w:type="dxa" w:w="3135"/>
          </w:tcPr>
          <w:p>
            <w:r/>
            <w:r>
              <w:rPr>
                <w:rFonts w:ascii="Times New Roman" w:hAnsi="Times New Roman" w:cs="Times New Roman"/>
                <w:b w:val="0"/>
                <w:i w:val="0"/>
                <w:sz w:val="18"/>
              </w:rPr>
              <w:t>Red: modularidad Louvain</w:t>
            </w:r>
          </w:p>
        </w:tc>
        <w:tc>
          <w:tcPr>
            <w:tcW w:type="dxa" w:w="3135"/>
          </w:tcPr>
          <w:p>
            <w:r/>
            <w:r>
              <w:rPr>
                <w:rFonts w:ascii="Times New Roman" w:hAnsi="Times New Roman" w:cs="Times New Roman"/>
                <w:b w:val="0"/>
                <w:i w:val="0"/>
                <w:sz w:val="18"/>
              </w:rPr>
              <w:t>0.96</w:t>
            </w:r>
          </w:p>
        </w:tc>
        <w:tc>
          <w:tcPr>
            <w:tcW w:type="dxa" w:w="3135"/>
          </w:tcPr>
          <w:p>
            <w:r/>
            <w:r>
              <w:rPr>
                <w:rFonts w:ascii="Times New Roman" w:hAnsi="Times New Roman" w:cs="Times New Roman"/>
                <w:b w:val="0"/>
                <w:i w:val="0"/>
                <w:sz w:val="18"/>
              </w:rPr>
              <w:t>python-louvain</w:t>
            </w:r>
          </w:p>
        </w:tc>
      </w:tr>
      <w:tr>
        <w:tc>
          <w:tcPr>
            <w:tcW w:type="dxa" w:w="3135"/>
          </w:tcPr>
          <w:p>
            <w:r/>
            <w:r>
              <w:rPr>
                <w:rFonts w:ascii="Times New Roman" w:hAnsi="Times New Roman" w:cs="Times New Roman"/>
                <w:b w:val="0"/>
                <w:i w:val="0"/>
                <w:sz w:val="18"/>
              </w:rPr>
              <w:t>Red: componente principal</w:t>
            </w:r>
          </w:p>
        </w:tc>
        <w:tc>
          <w:tcPr>
            <w:tcW w:type="dxa" w:w="3135"/>
          </w:tcPr>
          <w:p>
            <w:r/>
            <w:r>
              <w:rPr>
                <w:rFonts w:ascii="Times New Roman" w:hAnsi="Times New Roman" w:cs="Times New Roman"/>
                <w:b w:val="0"/>
                <w:i w:val="0"/>
                <w:sz w:val="18"/>
              </w:rPr>
              <w:t>15.8% autores</w:t>
            </w:r>
          </w:p>
        </w:tc>
        <w:tc>
          <w:tcPr>
            <w:tcW w:type="dxa" w:w="3135"/>
          </w:tcPr>
          <w:p>
            <w:r/>
            <w:r>
              <w:rPr>
                <w:rFonts w:ascii="Times New Roman" w:hAnsi="Times New Roman" w:cs="Times New Roman"/>
                <w:b w:val="0"/>
                <w:i w:val="0"/>
                <w:sz w:val="18"/>
              </w:rPr>
              <w:t>NetworkX</w:t>
            </w:r>
          </w:p>
        </w:tc>
      </w:tr>
      <w:tr>
        <w:tc>
          <w:tcPr>
            <w:tcW w:type="dxa" w:w="3135"/>
          </w:tcPr>
          <w:p>
            <w:r/>
            <w:r>
              <w:rPr>
                <w:rFonts w:ascii="Times New Roman" w:hAnsi="Times New Roman" w:cs="Times New Roman"/>
                <w:b w:val="0"/>
                <w:i w:val="0"/>
                <w:sz w:val="18"/>
              </w:rPr>
              <w:t>Scholar h5-index</w:t>
            </w:r>
          </w:p>
        </w:tc>
        <w:tc>
          <w:tcPr>
            <w:tcW w:type="dxa" w:w="3135"/>
          </w:tcPr>
          <w:p>
            <w:r/>
            <w:r>
              <w:rPr>
                <w:rFonts w:ascii="Times New Roman" w:hAnsi="Times New Roman" w:cs="Times New Roman"/>
                <w:b w:val="0"/>
                <w:i w:val="0"/>
                <w:sz w:val="18"/>
              </w:rPr>
              <w:t>10</w:t>
            </w:r>
          </w:p>
        </w:tc>
        <w:tc>
          <w:tcPr>
            <w:tcW w:type="dxa" w:w="3135"/>
          </w:tcPr>
          <w:p>
            <w:r/>
            <w:r>
              <w:rPr>
                <w:rFonts w:ascii="Times New Roman" w:hAnsi="Times New Roman" w:cs="Times New Roman"/>
                <w:b w:val="0"/>
                <w:i w:val="0"/>
                <w:sz w:val="18"/>
              </w:rPr>
              <w:t>Scholar Metrics</w:t>
            </w:r>
          </w:p>
        </w:tc>
      </w:tr>
      <w:tr>
        <w:tc>
          <w:tcPr>
            <w:tcW w:type="dxa" w:w="3135"/>
          </w:tcPr>
          <w:p>
            <w:r/>
            <w:r>
              <w:rPr>
                <w:rFonts w:ascii="Times New Roman" w:hAnsi="Times New Roman" w:cs="Times New Roman"/>
                <w:b w:val="0"/>
                <w:i w:val="0"/>
                <w:sz w:val="18"/>
              </w:rPr>
              <w:t>Scholar h5-mediana</w:t>
            </w:r>
          </w:p>
        </w:tc>
        <w:tc>
          <w:tcPr>
            <w:tcW w:type="dxa" w:w="3135"/>
          </w:tcPr>
          <w:p>
            <w:r/>
            <w:r>
              <w:rPr>
                <w:rFonts w:ascii="Times New Roman" w:hAnsi="Times New Roman" w:cs="Times New Roman"/>
                <w:b w:val="0"/>
                <w:i w:val="0"/>
                <w:sz w:val="18"/>
              </w:rPr>
              <w:t>25</w:t>
            </w:r>
          </w:p>
        </w:tc>
        <w:tc>
          <w:tcPr>
            <w:tcW w:type="dxa" w:w="3135"/>
          </w:tcPr>
          <w:p>
            <w:r/>
            <w:r>
              <w:rPr>
                <w:rFonts w:ascii="Times New Roman" w:hAnsi="Times New Roman" w:cs="Times New Roman"/>
                <w:b w:val="0"/>
                <w:i w:val="0"/>
                <w:sz w:val="18"/>
              </w:rPr>
              <w:t>Scholar Metrics</w:t>
            </w:r>
          </w:p>
        </w:tc>
      </w:tr>
      <w:tr>
        <w:tc>
          <w:tcPr>
            <w:tcW w:type="dxa" w:w="3135"/>
          </w:tcPr>
          <w:p>
            <w:r/>
            <w:r>
              <w:rPr>
                <w:rFonts w:ascii="Times New Roman" w:hAnsi="Times New Roman" w:cs="Times New Roman"/>
                <w:b w:val="0"/>
                <w:i w:val="0"/>
                <w:sz w:val="18"/>
              </w:rPr>
              <w:t>OpenAlex h-index</w:t>
            </w:r>
          </w:p>
        </w:tc>
        <w:tc>
          <w:tcPr>
            <w:tcW w:type="dxa" w:w="3135"/>
          </w:tcPr>
          <w:p>
            <w:r/>
            <w:r>
              <w:rPr>
                <w:rFonts w:ascii="Times New Roman" w:hAnsi="Times New Roman" w:cs="Times New Roman"/>
                <w:b w:val="0"/>
                <w:i w:val="0"/>
                <w:sz w:val="18"/>
              </w:rPr>
              <w:t>1</w:t>
            </w:r>
          </w:p>
        </w:tc>
        <w:tc>
          <w:tcPr>
            <w:tcW w:type="dxa" w:w="3135"/>
          </w:tcPr>
          <w:p>
            <w:r/>
            <w:r>
              <w:rPr>
                <w:rFonts w:ascii="Times New Roman" w:hAnsi="Times New Roman" w:cs="Times New Roman"/>
                <w:b w:val="0"/>
                <w:i w:val="0"/>
                <w:sz w:val="18"/>
              </w:rPr>
              <w:t>API OpenAlex</w:t>
            </w:r>
          </w:p>
        </w:tc>
      </w:tr>
      <w:tr>
        <w:tc>
          <w:tcPr>
            <w:tcW w:type="dxa" w:w="3135"/>
          </w:tcPr>
          <w:p>
            <w:r/>
            <w:r>
              <w:rPr>
                <w:rFonts w:ascii="Times New Roman" w:hAnsi="Times New Roman" w:cs="Times New Roman"/>
                <w:b w:val="0"/>
                <w:i w:val="0"/>
                <w:sz w:val="18"/>
              </w:rPr>
              <w:t>Iberoamerica share</w:t>
            </w:r>
          </w:p>
        </w:tc>
        <w:tc>
          <w:tcPr>
            <w:tcW w:type="dxa" w:w="3135"/>
          </w:tcPr>
          <w:p>
            <w:r/>
            <w:r>
              <w:rPr>
                <w:rFonts w:ascii="Times New Roman" w:hAnsi="Times New Roman" w:cs="Times New Roman"/>
                <w:b w:val="0"/>
                <w:i w:val="0"/>
                <w:sz w:val="18"/>
              </w:rPr>
              <w:t>94.9% autorias</w:t>
            </w:r>
          </w:p>
        </w:tc>
        <w:tc>
          <w:tcPr>
            <w:tcW w:type="dxa" w:w="3135"/>
          </w:tcPr>
          <w:p>
            <w:r/>
            <w:r>
              <w:rPr>
                <w:rFonts w:ascii="Times New Roman" w:hAnsi="Times New Roman" w:cs="Times New Roman"/>
                <w:b w:val="0"/>
                <w:i w:val="0"/>
                <w:sz w:val="18"/>
              </w:rPr>
              <w:t>OpenAlex subset</w:t>
            </w:r>
          </w:p>
        </w:tc>
      </w:tr>
      <w:tr>
        <w:tc>
          <w:tcPr>
            <w:tcW w:type="dxa" w:w="3135"/>
          </w:tcPr>
          <w:p>
            <w:r/>
            <w:r>
              <w:rPr>
                <w:rFonts w:ascii="Times New Roman" w:hAnsi="Times New Roman" w:cs="Times New Roman"/>
                <w:b w:val="0"/>
                <w:i w:val="0"/>
                <w:sz w:val="18"/>
              </w:rPr>
              <w:t>Ecuador share</w:t>
            </w:r>
          </w:p>
        </w:tc>
        <w:tc>
          <w:tcPr>
            <w:tcW w:type="dxa" w:w="3135"/>
          </w:tcPr>
          <w:p>
            <w:r/>
            <w:r>
              <w:rPr>
                <w:rFonts w:ascii="Times New Roman" w:hAnsi="Times New Roman" w:cs="Times New Roman"/>
                <w:b w:val="0"/>
                <w:i w:val="0"/>
                <w:sz w:val="18"/>
              </w:rPr>
              <w:t>60.1% autorias</w:t>
            </w:r>
          </w:p>
        </w:tc>
        <w:tc>
          <w:tcPr>
            <w:tcW w:type="dxa" w:w="3135"/>
          </w:tcPr>
          <w:p>
            <w:r/>
            <w:r>
              <w:rPr>
                <w:rFonts w:ascii="Times New Roman" w:hAnsi="Times New Roman" w:cs="Times New Roman"/>
                <w:b w:val="0"/>
                <w:i w:val="0"/>
                <w:sz w:val="18"/>
              </w:rPr>
              <w:t>OpenAlex subset</w:t>
            </w:r>
          </w:p>
        </w:tc>
      </w:tr>
      <w:tr>
        <w:tc>
          <w:tcPr>
            <w:tcW w:type="dxa" w:w="3135"/>
          </w:tcPr>
          <w:p>
            <w:r/>
            <w:r>
              <w:rPr>
                <w:rFonts w:ascii="Times New Roman" w:hAnsi="Times New Roman" w:cs="Times New Roman"/>
                <w:b w:val="0"/>
                <w:i w:val="0"/>
                <w:sz w:val="18"/>
              </w:rPr>
              <w:t>Top institucion</w:t>
            </w:r>
          </w:p>
        </w:tc>
        <w:tc>
          <w:tcPr>
            <w:tcW w:type="dxa" w:w="3135"/>
          </w:tcPr>
          <w:p>
            <w:r/>
            <w:r>
              <w:rPr>
                <w:rFonts w:ascii="Times New Roman" w:hAnsi="Times New Roman" w:cs="Times New Roman"/>
                <w:b w:val="0"/>
                <w:i w:val="0"/>
                <w:sz w:val="18"/>
              </w:rPr>
              <w:t>UNIANDES (23 aut)</w:t>
            </w:r>
          </w:p>
        </w:tc>
        <w:tc>
          <w:tcPr>
            <w:tcW w:type="dxa" w:w="3135"/>
          </w:tcPr>
          <w:p>
            <w:r/>
            <w:r>
              <w:rPr>
                <w:rFonts w:ascii="Times New Roman" w:hAnsi="Times New Roman" w:cs="Times New Roman"/>
                <w:b w:val="0"/>
                <w:i w:val="0"/>
                <w:sz w:val="18"/>
              </w:rPr>
              <w:t>OpenAlex</w:t>
            </w:r>
          </w:p>
        </w:tc>
      </w:tr>
    </w:tbl>
    <w:p/>
    <w:p>
      <w:pPr>
        <w:spacing w:before="120" w:after="40"/>
        <w:jc w:val="center"/>
      </w:pPr>
      <w:r>
        <w:drawing>
          <wp:inline xmlns:a="http://schemas.openxmlformats.org/drawingml/2006/main" xmlns:pic="http://schemas.openxmlformats.org/drawingml/2006/picture">
            <wp:extent cx="5760720" cy="4347062"/>
            <wp:docPr id="11" name="Picture 11"/>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5760720" cy="4347062"/>
                    </a:xfrm>
                    <a:prstGeom prst="rect"/>
                  </pic:spPr>
                </pic:pic>
              </a:graphicData>
            </a:graphic>
          </wp:inline>
        </w:drawing>
      </w:r>
    </w:p>
    <w:p>
      <w:pPr>
        <w:spacing w:after="160"/>
        <w:ind w:left="567"/>
        <w:jc w:val="both"/>
      </w:pPr>
      <w:r>
        <w:rPr>
          <w:rFonts w:ascii="Times New Roman" w:hAnsi="Times New Roman" w:cs="Times New Roman"/>
          <w:b/>
          <w:i/>
          <w:sz w:val="18"/>
        </w:rPr>
        <w:t>Figura 8.</w:t>
      </w:r>
      <w:r>
        <w:rPr>
          <w:rFonts w:ascii="Times New Roman" w:hAnsi="Times New Roman" w:cs="Times New Roman"/>
          <w:b w:val="0"/>
          <w:i/>
          <w:sz w:val="18"/>
        </w:rPr>
        <w:t xml:space="preserve"> Dashboard integrado con los ocho paneles de indicadores principales. (Fuente: </w:t>
      </w:r>
      <w:r>
        <w:rPr>
          <w:rFonts w:ascii="Consolas" w:hAnsi="Consolas" w:cs="Consolas"/>
          <w:b w:val="0"/>
          <w:i/>
          <w:sz w:val="16"/>
        </w:rPr>
        <w:t>dashboard.png</w:t>
      </w:r>
      <w:r>
        <w:rPr>
          <w:rFonts w:ascii="Times New Roman" w:hAnsi="Times New Roman" w:cs="Times New Roman"/>
          <w:b w:val="0"/>
          <w:i/>
          <w:sz w:val="18"/>
        </w:rPr>
        <w:t>.)</w:t>
      </w:r>
    </w:p>
    <w:p>
      <w:pPr>
        <w:spacing w:before="240" w:after="120"/>
        <w:jc w:val="left"/>
      </w:pPr>
      <w:r>
        <w:rPr>
          <w:rFonts w:ascii="Arial" w:hAnsi="Arial" w:cs="Arial"/>
          <w:b/>
          <w:i w:val="0"/>
          <w:sz w:val="24"/>
        </w:rPr>
        <w:t>5. Discusion</w:t>
      </w:r>
    </w:p>
    <w:p>
      <w:pPr>
        <w:spacing w:before="160" w:after="80"/>
        <w:jc w:val="left"/>
      </w:pPr>
      <w:r>
        <w:rPr>
          <w:rFonts w:ascii="Arial" w:hAnsi="Arial" w:cs="Arial"/>
          <w:b/>
          <w:i w:val="0"/>
          <w:sz w:val="22"/>
        </w:rPr>
        <w:t>5.1 Un crecimiento editorial asimetrico</w:t>
      </w:r>
    </w:p>
    <w:p>
      <w:pPr>
        <w:spacing w:after="80"/>
        <w:ind w:firstLine="340"/>
        <w:jc w:val="both"/>
      </w:pPr>
      <w:r>
        <w:rPr>
          <w:rFonts w:ascii="Times New Roman" w:hAnsi="Times New Roman" w:cs="Times New Roman"/>
          <w:b w:val="0"/>
          <w:i w:val="0"/>
          <w:sz w:val="20"/>
        </w:rPr>
        <w:t>El CAGR del 42% entre 2018 y 2025 posiciona a NCML en la franja alta de las revistas emergentes de ciencias sociales iberoamericanas. Sin embargo, el crecimiento no fue uniforme: la etapa 2018-2021 mostro una cadencia estable de 24-35 articulos anuales, y el salto exponencial ocurre a partir de 2022 (50 articulos), acelerandose hasta los 250 articulos de 2025. Esta aceleracion coincide temporalmente con la expansion del ecosistema de universidades ecuatorianas que comenzaron a adoptar metodos neutrosoficos como herramienta estandar en tesis de pregrado y posgrado en Derecho y Ciencias de la Salud, patron visible en el crecimiento paralelo de autores unicos incorporados al sistema (de 50 nuevos/ano en 2018 a 349 nuevos/ano en 2025, Seccion 4.1).</w:t>
      </w:r>
    </w:p>
    <w:p>
      <w:pPr>
        <w:spacing w:after="80"/>
        <w:ind w:firstLine="340"/>
        <w:jc w:val="both"/>
      </w:pPr>
      <w:r>
        <w:rPr>
          <w:rFonts w:ascii="Times New Roman" w:hAnsi="Times New Roman" w:cs="Times New Roman"/>
          <w:b w:val="0"/>
          <w:i w:val="0"/>
          <w:sz w:val="20"/>
        </w:rPr>
        <w:t>La asimetria plantea una pregunta estrategica para la revista: si la tasa de publicacion se mantiene o acelera bajo la estructura editorial actual, el costo de revision por pares y edicion se volveria inmanejable sin escalar el Editorial Board. Las experiencias comparables en revistas de acceso abierto que crecieron rapido — MDPI es el caso paradigmatico [Petrou 2020] — muestran que el escalamiento puede sostenerse con infraestructura editorial suficiente, pero tambien que la aceleracion incontrolada se correlaciona con perdidas de rigor peligrosas a la indexacion en bases de calidad.</w:t>
      </w:r>
    </w:p>
    <w:p>
      <w:pPr>
        <w:spacing w:before="160" w:after="80"/>
        <w:jc w:val="left"/>
      </w:pPr>
      <w:r>
        <w:rPr>
          <w:rFonts w:ascii="Arial" w:hAnsi="Arial" w:cs="Arial"/>
          <w:b/>
          <w:i w:val="0"/>
          <w:sz w:val="22"/>
        </w:rPr>
        <w:t>5.2 Productividad clasica, Pareto extrema, patron formativo</w:t>
      </w:r>
    </w:p>
    <w:p>
      <w:pPr>
        <w:spacing w:after="80"/>
        <w:ind w:firstLine="340"/>
        <w:jc w:val="both"/>
      </w:pPr>
      <w:r>
        <w:rPr>
          <w:rFonts w:ascii="Times New Roman" w:hAnsi="Times New Roman" w:cs="Times New Roman"/>
          <w:b w:val="0"/>
          <w:i w:val="0"/>
          <w:sz w:val="20"/>
        </w:rPr>
        <w:t xml:space="preserve">El valor estimado </w:t>
      </w:r>
      <w:r>
        <w:rPr>
          <w:rFonts w:ascii="Consolas" w:hAnsi="Consolas" w:cs="Consolas"/>
          <w:b w:val="0"/>
          <w:i w:val="0"/>
          <w:sz w:val="18"/>
        </w:rPr>
        <w:t>alpha = 2.03</w:t>
      </w:r>
      <w:r>
        <w:rPr>
          <w:rFonts w:ascii="Times New Roman" w:hAnsi="Times New Roman" w:cs="Times New Roman"/>
          <w:b w:val="0"/>
          <w:i w:val="0"/>
          <w:sz w:val="20"/>
        </w:rPr>
        <w:t xml:space="preserve"> es practicamente identico al exponente clasico de Lotka [Lotka 1926], lo que en abstracto sugiere una revista con dinamica tipica de produccion cientifica. Sin embargo, tres senales matizan esa lectura:</w:t>
      </w:r>
    </w:p>
    <w:p>
      <w:pPr>
        <w:spacing w:after="80"/>
        <w:ind w:firstLine="340"/>
        <w:jc w:val="both"/>
      </w:pPr>
      <w:r>
        <w:rPr>
          <w:rFonts w:ascii="Times New Roman" w:hAnsi="Times New Roman" w:cs="Times New Roman"/>
          <w:b w:val="0"/>
          <w:i w:val="0"/>
          <w:sz w:val="20"/>
        </w:rPr>
        <w:t>1. El 69% de los autores aparece una sola vez en el corpus, excediendo en diez puntos porcentuales lo predicho por la distribucion teorica. 2. La cola (autores con &gt;=10 articulos) contiene 8 autores, pero solo 3 de ellos tienen ORCID registrado. La visibilidad institucional del nucleo productivo es baja en terminos de identificadores persistentes. 3. La curva de Pareto muestra que el 80% de los articulos proviene del 17% de los autores, una concentracion marcadamente superior a la de revistas consolidadas de ciencias sociales (tipicamente 20-30% [Seglen 1992]).</w:t>
      </w:r>
    </w:p>
    <w:p>
      <w:pPr>
        <w:spacing w:after="80"/>
        <w:ind w:firstLine="340"/>
        <w:jc w:val="both"/>
      </w:pPr>
      <w:r>
        <w:rPr>
          <w:rFonts w:ascii="Times New Roman" w:hAnsi="Times New Roman" w:cs="Times New Roman"/>
          <w:b w:val="0"/>
          <w:i w:val="0"/>
          <w:sz w:val="20"/>
        </w:rPr>
        <w:t xml:space="preserve">El patron empirico es consistente con lo que en la literatura se denomina </w:t>
      </w:r>
      <w:r>
        <w:rPr>
          <w:rFonts w:ascii="Times New Roman" w:hAnsi="Times New Roman" w:cs="Times New Roman"/>
          <w:b w:val="0"/>
          <w:i/>
          <w:sz w:val="20"/>
        </w:rPr>
        <w:t>revista-semillero</w:t>
      </w:r>
      <w:r>
        <w:rPr>
          <w:rFonts w:ascii="Times New Roman" w:hAnsi="Times New Roman" w:cs="Times New Roman"/>
          <w:b w:val="0"/>
          <w:i w:val="0"/>
          <w:sz w:val="20"/>
        </w:rPr>
        <w:t>: un flujo sostenido de autores "one-shot" (frecuentemente estudiantes de grado o posgrado) se superpone a un nucleo editorial reducido que asume roles multiples (EiC, miembros del Editorial Board, autores frecuentes). Este perfil no es per se problematico — revistas nacionales de pedagogia de muchos paises presentan el mismo patron — pero introduce un riesgo conocido: la calidad media del corpus depende fuertemente de la calidad del filtro de revision por pares aplicado a los autores debutantes, y la revista puede terminar funcionando como repositorio de tesinas.</w:t>
      </w:r>
    </w:p>
    <w:p>
      <w:pPr>
        <w:spacing w:before="160" w:after="80"/>
        <w:jc w:val="left"/>
      </w:pPr>
      <w:r>
        <w:rPr>
          <w:rFonts w:ascii="Arial" w:hAnsi="Arial" w:cs="Arial"/>
          <w:b/>
          <w:i w:val="0"/>
          <w:sz w:val="22"/>
        </w:rPr>
        <w:t>5.3 Bradford: concentracion citacional como ecosistema cerrado</w:t>
      </w:r>
    </w:p>
    <w:p>
      <w:pPr>
        <w:spacing w:after="80"/>
        <w:ind w:firstLine="340"/>
        <w:jc w:val="both"/>
      </w:pPr>
      <w:r>
        <w:rPr>
          <w:rFonts w:ascii="Times New Roman" w:hAnsi="Times New Roman" w:cs="Times New Roman"/>
          <w:b w:val="0"/>
          <w:i w:val="0"/>
          <w:sz w:val="20"/>
        </w:rPr>
        <w:t xml:space="preserve">Los resultados de Bradford constituyen, a juicio de los autores, el hallazgo mas robusto y simultaneamente mas delicado del estudio. Cinco revistas concentran el 33% de las citas a revistas detectadas en el corpus, con un multiplicador empirico </w:t>
      </w:r>
      <w:r>
        <w:rPr>
          <w:rFonts w:ascii="Consolas" w:hAnsi="Consolas" w:cs="Consolas"/>
          <w:b w:val="0"/>
          <w:i w:val="0"/>
          <w:sz w:val="18"/>
        </w:rPr>
        <w:t>k = 14.8, 30.5</w:t>
      </w:r>
      <w:r>
        <w:rPr>
          <w:rFonts w:ascii="Times New Roman" w:hAnsi="Times New Roman" w:cs="Times New Roman"/>
          <w:b w:val="0"/>
          <w:i w:val="0"/>
          <w:sz w:val="20"/>
        </w:rPr>
        <w:t xml:space="preserve"> muy superior al rango clasico (</w:t>
      </w:r>
      <w:r>
        <w:rPr>
          <w:rFonts w:ascii="Consolas" w:hAnsi="Consolas" w:cs="Consolas"/>
          <w:b w:val="0"/>
          <w:i w:val="0"/>
          <w:sz w:val="18"/>
        </w:rPr>
        <w:t>k ~ 3-5</w:t>
      </w:r>
      <w:r>
        <w:rPr>
          <w:rFonts w:ascii="Times New Roman" w:hAnsi="Times New Roman" w:cs="Times New Roman"/>
          <w:b w:val="0"/>
          <w:i w:val="0"/>
          <w:sz w:val="20"/>
        </w:rPr>
        <w:t>). Dos de esas cinco revistas (NSS y NCML) pertenecen al mismo ecosistema editorial, sumando 17.2% del total de citas.</w:t>
      </w:r>
    </w:p>
    <w:p>
      <w:pPr>
        <w:spacing w:after="80"/>
        <w:ind w:firstLine="340"/>
        <w:jc w:val="both"/>
      </w:pPr>
      <w:r>
        <w:rPr>
          <w:rFonts w:ascii="Times New Roman" w:hAnsi="Times New Roman" w:cs="Times New Roman"/>
          <w:b w:val="0"/>
          <w:i w:val="0"/>
          <w:sz w:val="20"/>
        </w:rPr>
        <w:t xml:space="preserve">Esta cifra no descalifica al ecosistema: toda comunidad cientifica genera retroalimentacion citacional. Comparaciones con otros campos especializados muestran niveles similares — la psicologia positiva [Rusk &amp; Waters 2013] o los estudios de genero en derecho [McGraw 2013] tambien concentran &gt;15% de sus citas en revistas propias. El aspecto llamativo de NCML es mas bien la concentracion geografica de las otras tres revistas del nucleo Bradford: </w:t>
      </w:r>
      <w:r>
        <w:rPr>
          <w:rFonts w:ascii="Times New Roman" w:hAnsi="Times New Roman" w:cs="Times New Roman"/>
          <w:b w:val="0"/>
          <w:i/>
          <w:sz w:val="20"/>
        </w:rPr>
        <w:t>Universidad y Sociedad</w:t>
      </w:r>
      <w:r>
        <w:rPr>
          <w:rFonts w:ascii="Times New Roman" w:hAnsi="Times New Roman" w:cs="Times New Roman"/>
          <w:b w:val="0"/>
          <w:i w:val="0"/>
          <w:sz w:val="20"/>
        </w:rPr>
        <w:t xml:space="preserve">, </w:t>
      </w:r>
      <w:r>
        <w:rPr>
          <w:rFonts w:ascii="Times New Roman" w:hAnsi="Times New Roman" w:cs="Times New Roman"/>
          <w:b w:val="0"/>
          <w:i/>
          <w:sz w:val="20"/>
        </w:rPr>
        <w:t>Serie Cientifica de la Universidad de las Ciencias Informaticas</w:t>
      </w:r>
      <w:r>
        <w:rPr>
          <w:rFonts w:ascii="Times New Roman" w:hAnsi="Times New Roman" w:cs="Times New Roman"/>
          <w:b w:val="0"/>
          <w:i w:val="0"/>
          <w:sz w:val="20"/>
        </w:rPr>
        <w:t xml:space="preserve"> y </w:t>
      </w:r>
      <w:r>
        <w:rPr>
          <w:rFonts w:ascii="Times New Roman" w:hAnsi="Times New Roman" w:cs="Times New Roman"/>
          <w:b w:val="0"/>
          <w:i/>
          <w:sz w:val="20"/>
        </w:rPr>
        <w:t>Revista Conrado</w:t>
      </w:r>
      <w:r>
        <w:rPr>
          <w:rFonts w:ascii="Times New Roman" w:hAnsi="Times New Roman" w:cs="Times New Roman"/>
          <w:b w:val="0"/>
          <w:i w:val="0"/>
          <w:sz w:val="20"/>
        </w:rPr>
        <w:t xml:space="preserve"> son publicaciones cubanas de educacion y ciencias informaticas, no indexadas en Scopus. Dicho de otro modo, el nucleo citacional de NCML combina dos "burbujas" de citacion: una metodologica (neutrosofia) y una regional (revistas hispanas no indexadas). Solo 105 de las 11.877 citas a revistas detectadas (&lt;1%) provienen de revistas mainstream de logica difusa o soft computing.</w:t>
      </w:r>
    </w:p>
    <w:p>
      <w:pPr>
        <w:spacing w:after="80"/>
        <w:ind w:firstLine="340"/>
        <w:jc w:val="both"/>
      </w:pPr>
      <w:r>
        <w:rPr>
          <w:rFonts w:ascii="Times New Roman" w:hAnsi="Times New Roman" w:cs="Times New Roman"/>
          <w:b w:val="0"/>
          <w:i w:val="0"/>
          <w:sz w:val="20"/>
        </w:rPr>
        <w:t>Este hallazgo matiza pero valida la preocupacion (iii) de Woodall et al. (2025): el bucle de autorreferencia se confirma empiricamente, aunque su severidad es comparable con la de otros nichos especializados jovenes. La dimension geografica, sin embargo, excede a lo estrictamente metodologico y apunta a una caracteristica editorial propia del ecosistema iberoamericano de acceso abierto.</w:t>
      </w:r>
    </w:p>
    <w:p>
      <w:pPr>
        <w:spacing w:before="160" w:after="80"/>
        <w:jc w:val="left"/>
      </w:pPr>
      <w:r>
        <w:rPr>
          <w:rFonts w:ascii="Arial" w:hAnsi="Arial" w:cs="Arial"/>
          <w:b/>
          <w:i w:val="0"/>
          <w:sz w:val="22"/>
        </w:rPr>
        <w:t>5.4 Cambio de identidad tematica 2018-2025</w:t>
      </w:r>
    </w:p>
    <w:p>
      <w:pPr>
        <w:spacing w:after="80"/>
        <w:ind w:firstLine="340"/>
        <w:jc w:val="both"/>
      </w:pPr>
      <w:r>
        <w:rPr>
          <w:rFonts w:ascii="Times New Roman" w:hAnsi="Times New Roman" w:cs="Times New Roman"/>
          <w:b w:val="0"/>
          <w:i w:val="0"/>
          <w:sz w:val="20"/>
        </w:rPr>
        <w:t>El analisis de topicos revela un cambio de identidad de la revista probablemente no anticipado por sus editores. Entre 2018 y 2020, los topicos T14 (educacion y aprendizaje) y T16 (software y SVNS) concentraban cerca del 45% de la produccion. Entre 2023 y 2025, esa cifra se redujo a menos del 10%, reemplazada por un cluster de seis topicos de derecho aplicado al contexto ecuatoriano (derechos humanos, violencia, migracion, derecho penal, derecho laboral, pueblos indigenas) y cuatro topicos de medicina clinica (odontologia, enfermedades infecciosas, salud mental geriatrica, embarazo).</w:t>
      </w:r>
    </w:p>
    <w:p>
      <w:pPr>
        <w:spacing w:after="80"/>
        <w:ind w:firstLine="340"/>
        <w:jc w:val="both"/>
      </w:pPr>
      <w:r>
        <w:rPr>
          <w:rFonts w:ascii="Times New Roman" w:hAnsi="Times New Roman" w:cs="Times New Roman"/>
          <w:b w:val="0"/>
          <w:i w:val="0"/>
          <w:sz w:val="20"/>
        </w:rPr>
        <w:t>Hay tres lecturas posibles de este cambio, todas legitimas: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Diversificacion tematica sana</w:t>
      </w:r>
      <w:r>
        <w:rPr>
          <w:rFonts w:ascii="Times New Roman" w:hAnsi="Times New Roman" w:cs="Times New Roman"/>
          <w:b w:val="0"/>
          <w:i w:val="0"/>
          <w:sz w:val="20"/>
        </w:rPr>
        <w:t xml:space="preserve">: la revista abrio espacio a comunidades aplicadas que antes no tenian canal de publicacion. 2. </w:t>
      </w:r>
      <w:r>
        <w:rPr>
          <w:rFonts w:ascii="Times New Roman" w:hAnsi="Times New Roman" w:cs="Times New Roman"/>
          <w:b/>
          <w:i w:val="0"/>
          <w:sz w:val="20"/>
        </w:rPr>
        <w:t>Democratizacion de la metodologia neutrosofica</w:t>
      </w:r>
      <w:r>
        <w:rPr>
          <w:rFonts w:ascii="Times New Roman" w:hAnsi="Times New Roman" w:cs="Times New Roman"/>
          <w:b w:val="0"/>
          <w:i w:val="0"/>
          <w:sz w:val="20"/>
        </w:rPr>
        <w:t xml:space="preserve">: autores sin formacion previa en logica difusa pudieron utilizar el framework para abordar problemas reales de su contexto local. 3. </w:t>
      </w:r>
      <w:r>
        <w:rPr>
          <w:rFonts w:ascii="Times New Roman" w:hAnsi="Times New Roman" w:cs="Times New Roman"/>
          <w:b/>
          <w:i w:val="0"/>
          <w:sz w:val="20"/>
        </w:rPr>
        <w:t>Transformacion en canal de tesis de grado</w:t>
      </w:r>
      <w:r>
        <w:rPr>
          <w:rFonts w:ascii="Times New Roman" w:hAnsi="Times New Roman" w:cs="Times New Roman"/>
          <w:b w:val="0"/>
          <w:i w:val="0"/>
          <w:sz w:val="20"/>
        </w:rPr>
        <w:t>: el patron de topicos concentrado en Ecuador, con estructura metodologica homogenea (aplicacion de AHP-TOPSIS neutrosofico a un caso legal o clinico), puede reflejar que NCML funciona en la practica como repositorio de trabajos de titulacion de ciertas universidades ecuatorianas de Derecho y Ciencias Medicas.</w:t>
      </w:r>
    </w:p>
    <w:p>
      <w:pPr>
        <w:spacing w:after="80"/>
        <w:ind w:firstLine="340"/>
        <w:jc w:val="both"/>
      </w:pPr>
      <w:r>
        <w:rPr>
          <w:rFonts w:ascii="Times New Roman" w:hAnsi="Times New Roman" w:cs="Times New Roman"/>
          <w:b w:val="0"/>
          <w:i w:val="0"/>
          <w:sz w:val="20"/>
        </w:rPr>
        <w:t>Las tres lecturas son compatibles entre si. La evidencia disponible no permite separarlas cuantitativamente — se requeriria cruzar los articulos con registros de tesis en las plataformas institucionales correspondientes (UNIANDES, UBE, U. Guayaquil). Los autores sugieren que esa distincion es clave para la politica editorial futura: si domina la lectura (3), la revista debe decidir si reconocer explicitamente la funcion de titulacion (con criterios editoriales adaptados) o elevar el filtro de revision por pares para desplazar la proporcion hacia las lecturas (1) y (2).</w:t>
      </w:r>
    </w:p>
    <w:p>
      <w:pPr>
        <w:spacing w:after="80"/>
        <w:ind w:firstLine="340"/>
        <w:jc w:val="both"/>
      </w:pPr>
      <w:r>
        <w:rPr>
          <w:rFonts w:ascii="Times New Roman" w:hAnsi="Times New Roman" w:cs="Times New Roman"/>
          <w:b w:val="0"/>
          <w:i w:val="0"/>
          <w:sz w:val="20"/>
        </w:rPr>
        <w:t>La caida simultanea del topico Smarandache/teoria (T7, -9.0 pp) tiene una lectura adicional: el centro intelectual fundacional del ecosistema se debilita relativamente en NCML a medida que la revista se puebla de aplicaciones empiricas, tendencia que conviene mitigar reservando espacios editoriales especificos para trabajo teorico.</w:t>
      </w:r>
    </w:p>
    <w:p>
      <w:pPr>
        <w:spacing w:before="160" w:after="80"/>
        <w:jc w:val="left"/>
      </w:pPr>
      <w:r>
        <w:rPr>
          <w:rFonts w:ascii="Arial" w:hAnsi="Arial" w:cs="Arial"/>
          <w:b/>
          <w:i w:val="0"/>
          <w:sz w:val="22"/>
        </w:rPr>
        <w:t>5.5 Impacto citacional: la discrepancia como diagnostico</w:t>
      </w:r>
    </w:p>
    <w:p>
      <w:pPr>
        <w:spacing w:after="80"/>
        <w:ind w:firstLine="340"/>
        <w:jc w:val="both"/>
      </w:pPr>
      <w:r>
        <w:rPr>
          <w:rFonts w:ascii="Times New Roman" w:hAnsi="Times New Roman" w:cs="Times New Roman"/>
          <w:b w:val="0"/>
          <w:i w:val="0"/>
          <w:sz w:val="20"/>
        </w:rPr>
        <w:t>La discrepancia 10x entre OpenAlex (h=1) y Google Scholar (h5=10) no es un error de medicion sino un diagnostico estructural. OpenAlex, cuya fuente canonica es Crossref, no indexa en profundidad las revistas que mas citan a NCML: NSS, IJNS, revistas cubanas y ecuatorianas. Scholar si las captura. El factor 5.8x observado en la muestra n=26 es consistente con la diferencia agregada entre ambos indices.</w:t>
      </w:r>
    </w:p>
    <w:p>
      <w:pPr>
        <w:spacing w:after="80"/>
        <w:ind w:firstLine="340"/>
        <w:jc w:val="both"/>
      </w:pPr>
      <w:r>
        <w:rPr>
          <w:rFonts w:ascii="Times New Roman" w:hAnsi="Times New Roman" w:cs="Times New Roman"/>
          <w:b w:val="0"/>
          <w:i w:val="0"/>
          <w:sz w:val="20"/>
        </w:rPr>
        <w:t>Esta asimetria tiene tres implicaciones concretas: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Para la medicion de impacto interno</w:t>
      </w:r>
      <w:r>
        <w:rPr>
          <w:rFonts w:ascii="Times New Roman" w:hAnsi="Times New Roman" w:cs="Times New Roman"/>
          <w:b w:val="0"/>
          <w:i w:val="0"/>
          <w:sz w:val="20"/>
        </w:rPr>
        <w:t xml:space="preserve">, la revista debe preferir Scholar Metrics como metrica comparativa de base, no OpenAlex. Reportar h=1 a una junta directiva o a una agencia de evaluacion sin aclarar la cobertura diferencial es tecnicamente correcto pero informativamente enganoso. 2. </w:t>
      </w:r>
      <w:r>
        <w:rPr>
          <w:rFonts w:ascii="Times New Roman" w:hAnsi="Times New Roman" w:cs="Times New Roman"/>
          <w:b/>
          <w:i w:val="0"/>
          <w:sz w:val="20"/>
        </w:rPr>
        <w:t>Para la indexacion futura</w:t>
      </w:r>
      <w:r>
        <w:rPr>
          <w:rFonts w:ascii="Times New Roman" w:hAnsi="Times New Roman" w:cs="Times New Roman"/>
          <w:b w:val="0"/>
          <w:i w:val="0"/>
          <w:sz w:val="20"/>
        </w:rPr>
        <w:t xml:space="preserve">, acceder a Scopus requiere no solo volumen y continuidad (que la revista ya cumple) sino ISSN propio, landing pages HTML por articulo con metadatos </w:t>
      </w:r>
      <w:r>
        <w:rPr>
          <w:rFonts w:ascii="Consolas" w:hAnsi="Consolas" w:cs="Consolas"/>
          <w:b w:val="0"/>
          <w:i w:val="0"/>
          <w:sz w:val="18"/>
        </w:rPr>
        <w:t>citation_*</w:t>
      </w:r>
      <w:r>
        <w:rPr>
          <w:rFonts w:ascii="Times New Roman" w:hAnsi="Times New Roman" w:cs="Times New Roman"/>
          <w:b w:val="0"/>
          <w:i w:val="0"/>
          <w:sz w:val="20"/>
        </w:rPr>
        <w:t xml:space="preserve">, y una senal de internacionalizacion que hoy esta ausente (95% de autorias iberoamericanas, 60% ecuatorianas). El orden de trabajo racional es primero visibilizar lo existente (ISSN + DOAJ + Latindex + REDIB) y luego diversificar la composicion geografica del Editorial Board y los autores invitados. 3. </w:t>
      </w:r>
      <w:r>
        <w:rPr>
          <w:rFonts w:ascii="Times New Roman" w:hAnsi="Times New Roman" w:cs="Times New Roman"/>
          <w:b/>
          <w:i w:val="0"/>
          <w:sz w:val="20"/>
        </w:rPr>
        <w:t>Para la politica de auto-cita</w:t>
      </w:r>
      <w:r>
        <w:rPr>
          <w:rFonts w:ascii="Times New Roman" w:hAnsi="Times New Roman" w:cs="Times New Roman"/>
          <w:b w:val="0"/>
          <w:i w:val="0"/>
          <w:sz w:val="20"/>
        </w:rPr>
        <w:t>, conviene monitorear el ratio NSS+NCML/total_citas como indicador interno. Un valor por encima del 20% es senal de riesgo de indexacion (Scopus penaliza explicitamente la auto-cita excesiva en los criterios CSAB 2025).</w:t>
      </w:r>
    </w:p>
    <w:p>
      <w:pPr>
        <w:spacing w:before="160" w:after="80"/>
        <w:jc w:val="left"/>
      </w:pPr>
      <w:r>
        <w:rPr>
          <w:rFonts w:ascii="Arial" w:hAnsi="Arial" w:cs="Arial"/>
          <w:b/>
          <w:i w:val="0"/>
          <w:sz w:val="22"/>
        </w:rPr>
        <w:t>5.6 Red fragmentada: federacion de equipos disjuntos</w:t>
      </w:r>
    </w:p>
    <w:p>
      <w:pPr>
        <w:spacing w:after="80"/>
        <w:ind w:firstLine="340"/>
        <w:jc w:val="both"/>
      </w:pPr>
      <w:r>
        <w:rPr>
          <w:rFonts w:ascii="Times New Roman" w:hAnsi="Times New Roman" w:cs="Times New Roman"/>
          <w:b w:val="0"/>
          <w:i w:val="0"/>
          <w:sz w:val="20"/>
        </w:rPr>
        <w:t>La modularidad 0.96 y el componente principal del 16% describen una red de coautoria donde 81 clusters apenas se tocan entre si. Las comunidades mas productivas son equipos universitarios ecuatorianos cerrados sobre si mismos (UNIANDES-Riobamba, UNIANDES-Ambato, UBE, U. Guayaquil), y la comunidad internacional (C29: Smarandache-Leyva, 9 miembros) queda aislada en el grafo a pesar de ser la mas productiva por cabeza.</w:t>
      </w:r>
    </w:p>
    <w:p>
      <w:pPr>
        <w:spacing w:after="80"/>
        <w:ind w:firstLine="340"/>
        <w:jc w:val="both"/>
      </w:pPr>
      <w:r>
        <w:rPr>
          <w:rFonts w:ascii="Times New Roman" w:hAnsi="Times New Roman" w:cs="Times New Roman"/>
          <w:b w:val="0"/>
          <w:i w:val="0"/>
          <w:sz w:val="20"/>
        </w:rPr>
        <w:t xml:space="preserve">El patron es tipico de revistas que funcionan como </w:t>
      </w:r>
      <w:r>
        <w:rPr>
          <w:rFonts w:ascii="Times New Roman" w:hAnsi="Times New Roman" w:cs="Times New Roman"/>
          <w:b w:val="0"/>
          <w:i/>
          <w:sz w:val="20"/>
        </w:rPr>
        <w:t>mercado comun</w:t>
      </w:r>
      <w:r>
        <w:rPr>
          <w:rFonts w:ascii="Times New Roman" w:hAnsi="Times New Roman" w:cs="Times New Roman"/>
          <w:b w:val="0"/>
          <w:i w:val="0"/>
          <w:sz w:val="20"/>
        </w:rPr>
        <w:t xml:space="preserve"> editorial mas que como </w:t>
      </w:r>
      <w:r>
        <w:rPr>
          <w:rFonts w:ascii="Times New Roman" w:hAnsi="Times New Roman" w:cs="Times New Roman"/>
          <w:b w:val="0"/>
          <w:i/>
          <w:sz w:val="20"/>
        </w:rPr>
        <w:t>comunidad epistemica</w:t>
      </w:r>
      <w:r>
        <w:rPr>
          <w:rFonts w:ascii="Times New Roman" w:hAnsi="Times New Roman" w:cs="Times New Roman"/>
          <w:b w:val="0"/>
          <w:i w:val="0"/>
          <w:sz w:val="20"/>
        </w:rPr>
        <w:t xml:space="preserve"> [Haas 1992]. La revista ofrece un canal compartido de publicacion, pero no articula colaboraciones inter-grupales. Tres palancas editoriales podrian aumentar la conectividad:</w:t>
      </w:r>
    </w:p>
    <w:p>
      <w:pPr>
        <w:pStyle w:val="ListBullet"/>
        <w:spacing w:after="40" w:line="240" w:lineRule="auto"/>
      </w:pPr>
      <w:r>
        <w:rPr>
          <w:rFonts w:ascii="Times New Roman" w:hAnsi="Times New Roman" w:cs="Times New Roman"/>
          <w:b w:val="0"/>
          <w:i w:val="0"/>
          <w:sz w:val="20"/>
        </w:rPr>
        <w:t>Volumenes tematicos especiales coordinados por editores invitados de</w:t>
      </w:r>
    </w:p>
    <w:p>
      <w:pPr>
        <w:spacing w:after="80"/>
        <w:ind w:firstLine="340"/>
        <w:jc w:val="both"/>
      </w:pPr>
      <w:r>
        <w:rPr>
          <w:rFonts w:ascii="Times New Roman" w:hAnsi="Times New Roman" w:cs="Times New Roman"/>
          <w:b w:val="0"/>
          <w:i w:val="0"/>
          <w:sz w:val="20"/>
        </w:rPr>
        <w:t>instituciones diferentes.</w:t>
      </w:r>
    </w:p>
    <w:p>
      <w:pPr>
        <w:pStyle w:val="ListBullet"/>
        <w:spacing w:after="40" w:line="240" w:lineRule="auto"/>
      </w:pPr>
      <w:r>
        <w:rPr>
          <w:rFonts w:ascii="Times New Roman" w:hAnsi="Times New Roman" w:cs="Times New Roman"/>
          <w:b w:val="0"/>
          <w:i w:val="0"/>
          <w:sz w:val="20"/>
        </w:rPr>
        <w:t>Requisitos formales de coautoria internacional para ciertos tipos de</w:t>
      </w:r>
    </w:p>
    <w:p>
      <w:pPr>
        <w:spacing w:after="80"/>
        <w:ind w:firstLine="340"/>
        <w:jc w:val="both"/>
      </w:pPr>
      <w:r>
        <w:rPr>
          <w:rFonts w:ascii="Times New Roman" w:hAnsi="Times New Roman" w:cs="Times New Roman"/>
          <w:b w:val="0"/>
          <w:i w:val="0"/>
          <w:sz w:val="20"/>
        </w:rPr>
        <w:t>trabajos teoricos.</w:t>
      </w:r>
    </w:p>
    <w:p>
      <w:pPr>
        <w:pStyle w:val="ListBullet"/>
        <w:spacing w:after="40" w:line="240" w:lineRule="auto"/>
      </w:pPr>
      <w:r>
        <w:rPr>
          <w:rFonts w:ascii="Times New Roman" w:hAnsi="Times New Roman" w:cs="Times New Roman"/>
          <w:b w:val="0"/>
          <w:i w:val="0"/>
          <w:sz w:val="20"/>
        </w:rPr>
        <w:t xml:space="preserve">Programas de </w:t>
      </w:r>
      <w:r>
        <w:rPr>
          <w:rFonts w:ascii="Times New Roman" w:hAnsi="Times New Roman" w:cs="Times New Roman"/>
          <w:b w:val="0"/>
          <w:i/>
          <w:sz w:val="20"/>
        </w:rPr>
        <w:t>matching</w:t>
      </w:r>
      <w:r>
        <w:rPr>
          <w:rFonts w:ascii="Times New Roman" w:hAnsi="Times New Roman" w:cs="Times New Roman"/>
          <w:b w:val="0"/>
          <w:i w:val="0"/>
          <w:sz w:val="20"/>
        </w:rPr>
        <w:t xml:space="preserve"> editorial entre autores senior del nucleo y</w:t>
      </w:r>
    </w:p>
    <w:p>
      <w:pPr>
        <w:spacing w:after="80"/>
        <w:ind w:firstLine="340"/>
        <w:jc w:val="both"/>
      </w:pPr>
      <w:r>
        <w:rPr>
          <w:rFonts w:ascii="Times New Roman" w:hAnsi="Times New Roman" w:cs="Times New Roman"/>
          <w:b w:val="0"/>
          <w:i w:val="0"/>
          <w:sz w:val="20"/>
        </w:rPr>
        <w:t>autores jovenes de comunidades aisladas.</w:t>
      </w:r>
    </w:p>
    <w:p>
      <w:pPr>
        <w:spacing w:after="80"/>
        <w:ind w:firstLine="340"/>
        <w:jc w:val="both"/>
      </w:pPr>
      <w:r>
        <w:rPr>
          <w:rFonts w:ascii="Times New Roman" w:hAnsi="Times New Roman" w:cs="Times New Roman"/>
          <w:b w:val="0"/>
          <w:i w:val="0"/>
          <w:sz w:val="20"/>
        </w:rPr>
        <w:t>Ninguna de estas medidas resuelve por si sola la fragmentacion; todas requieren esfuerzo editorial activo y cambian la dinamica de la revista.</w:t>
      </w:r>
    </w:p>
    <w:p>
      <w:pPr>
        <w:spacing w:before="160" w:after="80"/>
        <w:jc w:val="left"/>
      </w:pPr>
      <w:r>
        <w:rPr>
          <w:rFonts w:ascii="Arial" w:hAnsi="Arial" w:cs="Arial"/>
          <w:b/>
          <w:i w:val="0"/>
          <w:sz w:val="22"/>
        </w:rPr>
        <w:t>5.7 Dialogando con Woodall et al. (2025)</w:t>
      </w:r>
    </w:p>
    <w:p>
      <w:pPr>
        <w:spacing w:after="80"/>
        <w:ind w:firstLine="340"/>
        <w:jc w:val="both"/>
      </w:pPr>
      <w:r>
        <w:rPr>
          <w:rFonts w:ascii="Times New Roman" w:hAnsi="Times New Roman" w:cs="Times New Roman"/>
          <w:b w:val="0"/>
          <w:i w:val="0"/>
          <w:sz w:val="20"/>
        </w:rPr>
        <w:t>Los tres cuestionamientos de la critica Woodall se pueden evaluar con los datos presentados:</w:t>
      </w:r>
    </w:p>
    <w:p>
      <w:pPr>
        <w:pStyle w:val="ListBullet"/>
        <w:spacing w:after="40" w:line="240" w:lineRule="auto"/>
      </w:pPr>
      <w:r>
        <w:rPr>
          <w:rFonts w:ascii="Times New Roman" w:hAnsi="Times New Roman" w:cs="Times New Roman"/>
          <w:b/>
          <w:i w:val="0"/>
          <w:sz w:val="20"/>
        </w:rPr>
        <w:t>Concentracion metodologica.</w:t>
      </w:r>
      <w:r>
        <w:rPr>
          <w:rFonts w:ascii="Times New Roman" w:hAnsi="Times New Roman" w:cs="Times New Roman"/>
          <w:b w:val="0"/>
          <w:i w:val="0"/>
          <w:sz w:val="20"/>
        </w:rPr>
        <w:t xml:space="preserve"> Verificada. Los topicos T4 (TOPSIS),</w:t>
      </w:r>
    </w:p>
    <w:p>
      <w:pPr>
        <w:spacing w:after="80"/>
        <w:ind w:firstLine="340"/>
        <w:jc w:val="both"/>
      </w:pPr>
      <w:r>
        <w:rPr>
          <w:rFonts w:ascii="Times New Roman" w:hAnsi="Times New Roman" w:cs="Times New Roman"/>
          <w:b w:val="0"/>
          <w:i w:val="0"/>
          <w:sz w:val="20"/>
        </w:rPr>
        <w:t>T16 (software SVNS), T2 (fsQCA) y la mayoria de los topicos legales y clinicos utilizan variantes de AHP-TOPSIS neutrosofico. El pipeline metodologico es notablemente homogeneo en el corpus.</w:t>
      </w:r>
    </w:p>
    <w:p>
      <w:pPr>
        <w:pStyle w:val="ListBullet"/>
        <w:spacing w:after="40" w:line="240" w:lineRule="auto"/>
      </w:pPr>
      <w:r>
        <w:rPr>
          <w:rFonts w:ascii="Times New Roman" w:hAnsi="Times New Roman" w:cs="Times New Roman"/>
          <w:b/>
          <w:i w:val="0"/>
          <w:sz w:val="20"/>
        </w:rPr>
        <w:t>Concentracion citacional.</w:t>
      </w:r>
      <w:r>
        <w:rPr>
          <w:rFonts w:ascii="Times New Roman" w:hAnsi="Times New Roman" w:cs="Times New Roman"/>
          <w:b w:val="0"/>
          <w:i w:val="0"/>
          <w:sz w:val="20"/>
        </w:rPr>
        <w:t xml:space="preserve"> Verificada. NSS+NCML = 17.2% de las</w:t>
      </w:r>
    </w:p>
    <w:p>
      <w:pPr>
        <w:spacing w:after="80"/>
        <w:ind w:firstLine="340"/>
        <w:jc w:val="both"/>
      </w:pPr>
      <w:r>
        <w:rPr>
          <w:rFonts w:ascii="Times New Roman" w:hAnsi="Times New Roman" w:cs="Times New Roman"/>
          <w:b w:val="0"/>
          <w:i w:val="0"/>
          <w:sz w:val="20"/>
        </w:rPr>
        <w:t>citas a revistas, y la cita a revistas "competidoras" del mundo soft computing clasico (Fuzzy Sets and Systems, IEEE TFS, Information Sciences) es marginal (~1% combinado).</w:t>
      </w:r>
    </w:p>
    <w:p>
      <w:pPr>
        <w:pStyle w:val="ListBullet"/>
        <w:spacing w:after="40" w:line="240" w:lineRule="auto"/>
      </w:pPr>
      <w:r>
        <w:rPr>
          <w:rFonts w:ascii="Times New Roman" w:hAnsi="Times New Roman" w:cs="Times New Roman"/>
          <w:b/>
          <w:i w:val="0"/>
          <w:sz w:val="20"/>
        </w:rPr>
        <w:t>Validacion externa de los metodos.</w:t>
      </w:r>
      <w:r>
        <w:rPr>
          <w:rFonts w:ascii="Times New Roman" w:hAnsi="Times New Roman" w:cs="Times New Roman"/>
          <w:b w:val="0"/>
          <w:i w:val="0"/>
          <w:sz w:val="20"/>
        </w:rPr>
        <w:t xml:space="preserve"> La evidencia bibliometrica no</w:t>
      </w:r>
    </w:p>
    <w:p>
      <w:pPr>
        <w:spacing w:after="80"/>
        <w:ind w:firstLine="340"/>
        <w:jc w:val="both"/>
      </w:pPr>
      <w:r>
        <w:rPr>
          <w:rFonts w:ascii="Times New Roman" w:hAnsi="Times New Roman" w:cs="Times New Roman"/>
          <w:b w:val="0"/>
          <w:i w:val="0"/>
          <w:sz w:val="20"/>
        </w:rPr>
        <w:t>responde directamente, pero el hecho de que solo ~8 articulos del corpus (1%) tengan citas externas al ecosistema en OpenAlex y que el muestreo Scholar muestre citas mayoritariamente en revistas iberoamericanas sugiere que la validacion externa es limitada en cantidad, aunque no nula.</w:t>
      </w:r>
    </w:p>
    <w:p>
      <w:pPr>
        <w:spacing w:after="80"/>
        <w:ind w:firstLine="340"/>
        <w:jc w:val="both"/>
      </w:pPr>
      <w:r>
        <w:rPr>
          <w:rFonts w:ascii="Times New Roman" w:hAnsi="Times New Roman" w:cs="Times New Roman"/>
          <w:b w:val="0"/>
          <w:i w:val="0"/>
          <w:sz w:val="20"/>
        </w:rPr>
        <w:t>La respuesta honesta no es rechazar la critica sino absorberla como agenda editorial. Los tres puntos son corregibles. La concentracion metodologica puede reducirse con llamados a contribuciones que comparen sistematicamente metodos neutrosoficos con alternativas difusas, bayesianas o estadisticas clasicas. La concentracion citacional y geografica se puede atenuar con las palancas mencionadas en la Seccion 5.6. La validacion externa requiere una decada, no un trienio.</w:t>
      </w:r>
    </w:p>
    <w:p>
      <w:pPr>
        <w:spacing w:before="160" w:after="80"/>
        <w:jc w:val="left"/>
      </w:pPr>
      <w:r>
        <w:rPr>
          <w:rFonts w:ascii="Arial" w:hAnsi="Arial" w:cs="Arial"/>
          <w:b/>
          <w:i w:val="0"/>
          <w:sz w:val="22"/>
        </w:rPr>
        <w:t>5.8 Limitaciones de la discusion</w:t>
      </w:r>
    </w:p>
    <w:p>
      <w:pPr>
        <w:spacing w:after="80"/>
        <w:ind w:firstLine="340"/>
        <w:jc w:val="both"/>
      </w:pPr>
      <w:r>
        <w:rPr>
          <w:rFonts w:ascii="Times New Roman" w:hAnsi="Times New Roman" w:cs="Times New Roman"/>
          <w:b w:val="0"/>
          <w:i w:val="0"/>
          <w:sz w:val="20"/>
        </w:rPr>
        <w:t>Mas alla de las limitaciones metodologicas reportadas en la Seccion 3.11, tres limitaciones interpretativas conviene hacer explicitas: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Ausencia de rama comparativa.</w:t>
      </w:r>
      <w:r>
        <w:rPr>
          <w:rFonts w:ascii="Times New Roman" w:hAnsi="Times New Roman" w:cs="Times New Roman"/>
          <w:b w:val="0"/>
          <w:i w:val="0"/>
          <w:sz w:val="20"/>
        </w:rPr>
        <w:t xml:space="preserve"> El estudio es mono-revista. Los contrastes con NSS e IJNS se limitan a Scholar Metrics; un analisis comparativo sobre las mismas dimensiones (Lotka, Bradford, red) requeriria un segundo corpus y excede el alcance acordado. 2. </w:t>
      </w:r>
      <w:r>
        <w:rPr>
          <w:rFonts w:ascii="Times New Roman" w:hAnsi="Times New Roman" w:cs="Times New Roman"/>
          <w:b/>
          <w:i w:val="0"/>
          <w:sz w:val="20"/>
        </w:rPr>
        <w:t>Asimetria bilingue.</w:t>
      </w:r>
      <w:r>
        <w:rPr>
          <w:rFonts w:ascii="Times New Roman" w:hAnsi="Times New Roman" w:cs="Times New Roman"/>
          <w:b w:val="0"/>
          <w:i w:val="0"/>
          <w:sz w:val="20"/>
        </w:rPr>
        <w:t xml:space="preserve"> Solo el 41% de los articulos tiene abstract en ingles. El modelado de topicos se apoyo en el resumen en espanol principalmente, lo que puede subrepresentar articulos teoricos que son sistematicamente bilingues. 3. </w:t>
      </w:r>
      <w:r>
        <w:rPr>
          <w:rFonts w:ascii="Times New Roman" w:hAnsi="Times New Roman" w:cs="Times New Roman"/>
          <w:b/>
          <w:i w:val="0"/>
          <w:sz w:val="20"/>
        </w:rPr>
        <w:t>Conflicto de interes interpretativo.</w:t>
      </w:r>
      <w:r>
        <w:rPr>
          <w:rFonts w:ascii="Times New Roman" w:hAnsi="Times New Roman" w:cs="Times New Roman"/>
          <w:b w:val="0"/>
          <w:i w:val="0"/>
          <w:sz w:val="20"/>
        </w:rPr>
        <w:t xml:space="preserve"> A pesar de la presencia de un tercer autor externo al ecosistema, dos de los tres autores editorializan NCML o NSS. La Seccion 5 contiene interpretaciones sobre politica editorial que podrian leerse como auto- recomendacion. Los autores invitan a lectores externos a proponer lecturas alternativas de los mismos datos.</w:t>
      </w:r>
    </w:p>
    <w:p>
      <w:pPr>
        <w:spacing w:before="240" w:after="120"/>
        <w:jc w:val="left"/>
      </w:pPr>
      <w:r>
        <w:rPr>
          <w:rFonts w:ascii="Arial" w:hAnsi="Arial" w:cs="Arial"/>
          <w:b/>
          <w:i w:val="0"/>
          <w:sz w:val="24"/>
        </w:rPr>
        <w:t>6. Conclusion</w:t>
      </w:r>
    </w:p>
    <w:p>
      <w:pPr>
        <w:spacing w:after="80"/>
        <w:ind w:firstLine="340"/>
        <w:jc w:val="both"/>
      </w:pPr>
      <w:r>
        <w:rPr>
          <w:rFonts w:ascii="Times New Roman" w:hAnsi="Times New Roman" w:cs="Times New Roman"/>
          <w:b w:val="0"/>
          <w:i w:val="0"/>
          <w:sz w:val="20"/>
        </w:rPr>
        <w:t xml:space="preserve">Este estudio presenta la primera retrospectiva bibliometrica sistematica de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tras 42 volumenes publicados entre 2018 y 2026. Los resultados empiricos dibujan un perfil editorial consistente: una revista en crecimiento exponencial (CAGR 42%), con productividad autoral de Lotka clasica (α = 2.03) pero concentracion Pareto extrema (17% de autores producen 80% de articulos), con un nucleo de solo cinco revistas concentrando un tercio de las citas, con una red de coautoria extremadamente fragmentada (modularidad 0.96, componente principal 16%), y con una identidad tematica que viro desde la teoria y la educacion hacia aplicaciones juridicas y medicas en contextos ecuatorianos.</w:t>
      </w:r>
    </w:p>
    <w:p>
      <w:pPr>
        <w:spacing w:after="80"/>
        <w:ind w:firstLine="340"/>
        <w:jc w:val="both"/>
      </w:pPr>
      <w:r>
        <w:rPr>
          <w:rFonts w:ascii="Times New Roman" w:hAnsi="Times New Roman" w:cs="Times New Roman"/>
          <w:b w:val="0"/>
          <w:i w:val="0"/>
          <w:sz w:val="20"/>
        </w:rPr>
        <w:t>La discrepancia de orden de magnitud entre las metricas de impacto segun la fuente consultada — Google Scholar Metrics reporta h5-index=10 y h5-mediana=25, mientras OpenAlex reporta h=1 — es el hallazgo metodologicamente mas significativo. No se trata de un error sino de un diagnostico estructural: las fuentes que mas citan a NCML (NSS, IJNS, revistas cubanas y ecuatorianas) no estan plenamente indexadas en las bases de datos comerciales, pero si en Scholar. Cualquier interpretacion del impacto de la revista que ignore esta asimetria sera inexacta en una u otra direccion.</w:t>
      </w:r>
    </w:p>
    <w:p>
      <w:pPr>
        <w:spacing w:before="160" w:after="80"/>
        <w:jc w:val="left"/>
      </w:pPr>
      <w:r>
        <w:rPr>
          <w:rFonts w:ascii="Arial" w:hAnsi="Arial" w:cs="Arial"/>
          <w:b/>
          <w:i w:val="0"/>
          <w:sz w:val="22"/>
        </w:rPr>
        <w:t>6.1 Tres aportes principales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Una linea base empirica documentada</w:t>
      </w:r>
      <w:r>
        <w:rPr>
          <w:rFonts w:ascii="Times New Roman" w:hAnsi="Times New Roman" w:cs="Times New Roman"/>
          <w:b w:val="0"/>
          <w:i w:val="0"/>
          <w:sz w:val="20"/>
        </w:rPr>
        <w:t xml:space="preserve">. Los 762 articulos, 1.363 autores y 11.877 referencias analizados constituyen un punto de partida replicable para estudios futuros sobre el ecosistema neutrosofico. El pipeline completo es publico y ejecutable. 2. </w:t>
      </w:r>
      <w:r>
        <w:rPr>
          <w:rFonts w:ascii="Times New Roman" w:hAnsi="Times New Roman" w:cs="Times New Roman"/>
          <w:b/>
          <w:i w:val="0"/>
          <w:sz w:val="20"/>
        </w:rPr>
        <w:t>Un diagnostico honesto del impacto</w:t>
      </w:r>
      <w:r>
        <w:rPr>
          <w:rFonts w:ascii="Times New Roman" w:hAnsi="Times New Roman" w:cs="Times New Roman"/>
          <w:b w:val="0"/>
          <w:i w:val="0"/>
          <w:sz w:val="20"/>
        </w:rPr>
        <w:t xml:space="preserve">. La discrepancia 10x entre OpenAlex y Scholar Metrics refuta tanto la interpretacion triunfalista del crecimiento editorial como la derrotista del h-index OpenAlex: el impacto real es modesto pero consistente con el de revistas emergentes del ecosistema. 3. </w:t>
      </w:r>
      <w:r>
        <w:rPr>
          <w:rFonts w:ascii="Times New Roman" w:hAnsi="Times New Roman" w:cs="Times New Roman"/>
          <w:b/>
          <w:i w:val="0"/>
          <w:sz w:val="20"/>
        </w:rPr>
        <w:t>Un dialogo empirico con la critica Woodall et al. (2025)</w:t>
      </w:r>
      <w:r>
        <w:rPr>
          <w:rFonts w:ascii="Times New Roman" w:hAnsi="Times New Roman" w:cs="Times New Roman"/>
          <w:b w:val="0"/>
          <w:i w:val="0"/>
          <w:sz w:val="20"/>
        </w:rPr>
        <w:t>. Dos de los tres cuestionamientos (concentracion metodologica, concentracion citacional) se verifican con los datos; el tercero (validacion externa limitada) se sostiene parcialmente. La respuesta adecuada no es defensiva sino adoptar la critica como agenda editorial, tal como se detalla en la Seccion 7.</w:t>
      </w:r>
    </w:p>
    <w:p>
      <w:pPr>
        <w:spacing w:before="160" w:after="80"/>
        <w:jc w:val="left"/>
      </w:pPr>
      <w:r>
        <w:rPr>
          <w:rFonts w:ascii="Arial" w:hAnsi="Arial" w:cs="Arial"/>
          <w:b/>
          <w:i w:val="0"/>
          <w:sz w:val="22"/>
        </w:rPr>
        <w:t>6.2 Implicaciones</w:t>
      </w:r>
    </w:p>
    <w:p>
      <w:pPr>
        <w:spacing w:after="80"/>
        <w:ind w:firstLine="340"/>
        <w:jc w:val="both"/>
      </w:pPr>
      <w:r>
        <w:rPr>
          <w:rFonts w:ascii="Times New Roman" w:hAnsi="Times New Roman" w:cs="Times New Roman"/>
          <w:b w:val="0"/>
          <w:i w:val="0"/>
          <w:sz w:val="20"/>
        </w:rPr>
        <w:t xml:space="preserve">Los resultados se traducen en una hoja de ruta operativa de 15 recomendaciones editoriales escalonadas en tres horizontes (0-6 meses, 6-18 meses, 18-36 meses), documentadas en la Seccion 7. El camino critico es de seis acciones: ISSN propio, landing pages HTML con metadatos </w:t>
      </w:r>
      <w:r>
        <w:rPr>
          <w:rFonts w:ascii="Consolas" w:hAnsi="Consolas" w:cs="Consolas"/>
          <w:b w:val="0"/>
          <w:i w:val="0"/>
          <w:sz w:val="18"/>
        </w:rPr>
        <w:t>citation_*</w:t>
      </w:r>
      <w:r>
        <w:rPr>
          <w:rFonts w:ascii="Times New Roman" w:hAnsi="Times New Roman" w:cs="Times New Roman"/>
          <w:b w:val="0"/>
          <w:i w:val="0"/>
          <w:sz w:val="20"/>
        </w:rPr>
        <w:t>, envio a DOAJ y Latindex, diversificacion internacional del Editorial Board, reclutamiento de revisores externos al ecosistema, y migracion a una plataforma editorial profesional tipo OJS. La ejecucion de esas seis acciones llevaria a la revista al umbral elegible para el Content Selection Advisory Board (CSAB) de Scopus al cabo de tres anos, con una probabilidad de aceptacion estimada entre 40 y 50%.</w:t>
      </w:r>
    </w:p>
    <w:p>
      <w:pPr>
        <w:spacing w:after="80"/>
        <w:ind w:firstLine="340"/>
        <w:jc w:val="both"/>
      </w:pPr>
      <w:r>
        <w:rPr>
          <w:rFonts w:ascii="Times New Roman" w:hAnsi="Times New Roman" w:cs="Times New Roman"/>
          <w:b w:val="0"/>
          <w:i w:val="0"/>
          <w:sz w:val="20"/>
        </w:rPr>
        <w:t>El coste monetario agregado de las 15 recomendaciones es modesto (aproximadamente 1.000 USD/ano recurrente mas 2.000 USD iniciales). El cuello de botella es el tiempo editorial del Editor-in-Chief y la coordinacion de un Editorial Board renovado, no el presupuesto.</w:t>
      </w:r>
    </w:p>
    <w:p>
      <w:pPr>
        <w:spacing w:before="160" w:after="80"/>
        <w:jc w:val="left"/>
      </w:pPr>
      <w:r>
        <w:rPr>
          <w:rFonts w:ascii="Arial" w:hAnsi="Arial" w:cs="Arial"/>
          <w:b/>
          <w:i w:val="0"/>
          <w:sz w:val="22"/>
        </w:rPr>
        <w:t>6.3 Lineas de trabajo futuro</w:t>
      </w:r>
    </w:p>
    <w:p>
      <w:pPr>
        <w:spacing w:after="80"/>
        <w:ind w:firstLine="340"/>
        <w:jc w:val="both"/>
      </w:pPr>
      <w:r>
        <w:rPr>
          <w:rFonts w:ascii="Times New Roman" w:hAnsi="Times New Roman" w:cs="Times New Roman"/>
          <w:b w:val="0"/>
          <w:i w:val="0"/>
          <w:sz w:val="20"/>
        </w:rPr>
        <w:t>El estudio abre cinco lineas de investigacion complementarias:</w:t>
      </w:r>
    </w:p>
    <w:p>
      <w:pPr>
        <w:pStyle w:val="ListBullet"/>
        <w:spacing w:after="40" w:line="240" w:lineRule="auto"/>
      </w:pPr>
      <w:r>
        <w:rPr>
          <w:rFonts w:ascii="Times New Roman" w:hAnsi="Times New Roman" w:cs="Times New Roman"/>
          <w:b/>
          <w:i w:val="0"/>
          <w:sz w:val="20"/>
        </w:rPr>
        <w:t>Benchmark comparativo</w:t>
      </w:r>
      <w:r>
        <w:rPr>
          <w:rFonts w:ascii="Times New Roman" w:hAnsi="Times New Roman" w:cs="Times New Roman"/>
          <w:b w:val="0"/>
          <w:i w:val="0"/>
          <w:sz w:val="20"/>
        </w:rPr>
        <w:t xml:space="preserve"> con NSS e IJNS aplicando el mismo pipeline</w:t>
      </w:r>
    </w:p>
    <w:p>
      <w:pPr>
        <w:spacing w:after="80"/>
        <w:ind w:firstLine="340"/>
        <w:jc w:val="both"/>
      </w:pPr>
      <w:r>
        <w:rPr>
          <w:rFonts w:ascii="Times New Roman" w:hAnsi="Times New Roman" w:cs="Times New Roman"/>
          <w:b w:val="0"/>
          <w:i w:val="0"/>
          <w:sz w:val="20"/>
        </w:rPr>
        <w:t>a las tres revistas del ecosistema, lo que permitiria contrastes directos de Lotka, Bradford y topicos.</w:t>
      </w:r>
    </w:p>
    <w:p>
      <w:pPr>
        <w:pStyle w:val="ListBullet"/>
        <w:spacing w:after="40" w:line="240" w:lineRule="auto"/>
      </w:pPr>
      <w:r>
        <w:rPr>
          <w:rFonts w:ascii="Times New Roman" w:hAnsi="Times New Roman" w:cs="Times New Roman"/>
          <w:b/>
          <w:i w:val="0"/>
          <w:sz w:val="20"/>
        </w:rPr>
        <w:t>Extraccion de referencias con GROBID</w:t>
      </w:r>
      <w:r>
        <w:rPr>
          <w:rFonts w:ascii="Times New Roman" w:hAnsi="Times New Roman" w:cs="Times New Roman"/>
          <w:b w:val="0"/>
          <w:i w:val="0"/>
          <w:sz w:val="20"/>
        </w:rPr>
        <w:t xml:space="preserve"> para reconstruir la red de</w:t>
      </w:r>
    </w:p>
    <w:p>
      <w:pPr>
        <w:spacing w:after="80"/>
        <w:ind w:firstLine="340"/>
        <w:jc w:val="both"/>
      </w:pPr>
      <w:r>
        <w:rPr>
          <w:rFonts w:ascii="Times New Roman" w:hAnsi="Times New Roman" w:cs="Times New Roman"/>
          <w:b w:val="0"/>
          <w:i w:val="0"/>
          <w:sz w:val="20"/>
        </w:rPr>
        <w:t>co-citacion y el acoplamiento bibliografico, dimensiones no cubiertas por la extraccion heuristica del presente trabajo.</w:t>
      </w:r>
    </w:p>
    <w:p>
      <w:pPr>
        <w:pStyle w:val="ListBullet"/>
        <w:spacing w:after="40" w:line="240" w:lineRule="auto"/>
      </w:pPr>
      <w:r>
        <w:rPr>
          <w:rFonts w:ascii="Times New Roman" w:hAnsi="Times New Roman" w:cs="Times New Roman"/>
          <w:b/>
          <w:i w:val="0"/>
          <w:sz w:val="20"/>
        </w:rPr>
        <w:t>Analisis de textualidad</w:t>
      </w:r>
      <w:r>
        <w:rPr>
          <w:rFonts w:ascii="Times New Roman" w:hAnsi="Times New Roman" w:cs="Times New Roman"/>
          <w:b w:val="0"/>
          <w:i w:val="0"/>
          <w:sz w:val="20"/>
        </w:rPr>
        <w:t>: aplicar deteccion de similitud sobre los</w:t>
      </w:r>
    </w:p>
    <w:p>
      <w:pPr>
        <w:spacing w:after="80"/>
        <w:ind w:firstLine="340"/>
        <w:jc w:val="both"/>
      </w:pPr>
      <w:r>
        <w:rPr>
          <w:rFonts w:ascii="Times New Roman" w:hAnsi="Times New Roman" w:cs="Times New Roman"/>
          <w:b w:val="0"/>
          <w:i w:val="0"/>
          <w:sz w:val="20"/>
        </w:rPr>
        <w:t>resumenes y cuerpos de articulos para estimar el grado de homogeneidad metodologica (la critica Woodall se beneficiaria de una metrica cuantitativa de repeticion AHP-TOPSIS).</w:t>
      </w:r>
    </w:p>
    <w:p>
      <w:pPr>
        <w:pStyle w:val="ListBullet"/>
        <w:spacing w:after="40" w:line="240" w:lineRule="auto"/>
      </w:pPr>
      <w:r>
        <w:rPr>
          <w:rFonts w:ascii="Times New Roman" w:hAnsi="Times New Roman" w:cs="Times New Roman"/>
          <w:b/>
          <w:i w:val="0"/>
          <w:sz w:val="20"/>
        </w:rPr>
        <w:t>Cruce con plataformas de tesis ecuatorianas</w:t>
      </w:r>
      <w:r>
        <w:rPr>
          <w:rFonts w:ascii="Times New Roman" w:hAnsi="Times New Roman" w:cs="Times New Roman"/>
          <w:b w:val="0"/>
          <w:i w:val="0"/>
          <w:sz w:val="20"/>
        </w:rPr>
        <w:t xml:space="preserve"> (UNIANDES, UBE,</w:t>
      </w:r>
    </w:p>
    <w:p>
      <w:pPr>
        <w:spacing w:after="80"/>
        <w:ind w:firstLine="340"/>
        <w:jc w:val="both"/>
      </w:pPr>
      <w:r>
        <w:rPr>
          <w:rFonts w:ascii="Times New Roman" w:hAnsi="Times New Roman" w:cs="Times New Roman"/>
          <w:b w:val="0"/>
          <w:i w:val="0"/>
          <w:sz w:val="20"/>
        </w:rPr>
        <w:t>U. Guayaquil, U. Estatal de Bolivar) para validar o refutar la hipotesis de que NCML funciona parcialmente como canal de trabajos de titulacion.</w:t>
      </w:r>
    </w:p>
    <w:p>
      <w:pPr>
        <w:pStyle w:val="ListBullet"/>
        <w:spacing w:after="40" w:line="240" w:lineRule="auto"/>
      </w:pPr>
      <w:r>
        <w:rPr>
          <w:rFonts w:ascii="Times New Roman" w:hAnsi="Times New Roman" w:cs="Times New Roman"/>
          <w:b/>
          <w:i w:val="0"/>
          <w:sz w:val="20"/>
        </w:rPr>
        <w:t>Seguimiento longitudinal</w:t>
      </w:r>
      <w:r>
        <w:rPr>
          <w:rFonts w:ascii="Times New Roman" w:hAnsi="Times New Roman" w:cs="Times New Roman"/>
          <w:b w:val="0"/>
          <w:i w:val="0"/>
          <w:sz w:val="20"/>
        </w:rPr>
        <w:t xml:space="preserve"> del impacto Scholar en la cohorte</w:t>
      </w:r>
    </w:p>
    <w:p>
      <w:pPr>
        <w:spacing w:after="80"/>
        <w:ind w:firstLine="340"/>
        <w:jc w:val="both"/>
      </w:pPr>
      <w:r>
        <w:rPr>
          <w:rFonts w:ascii="Times New Roman" w:hAnsi="Times New Roman" w:cs="Times New Roman"/>
          <w:b w:val="0"/>
          <w:i w:val="0"/>
          <w:sz w:val="20"/>
        </w:rPr>
        <w:t>2025-2026 a lo largo de los proximos cinco anos, para observar si la ampliacion tematica se traduce en mas citas externas al ecosistema.</w:t>
      </w:r>
    </w:p>
    <w:p>
      <w:pPr>
        <w:spacing w:before="160" w:after="80"/>
        <w:jc w:val="left"/>
      </w:pPr>
      <w:r>
        <w:rPr>
          <w:rFonts w:ascii="Arial" w:hAnsi="Arial" w:cs="Arial"/>
          <w:b/>
          <w:i w:val="0"/>
          <w:sz w:val="22"/>
        </w:rPr>
        <w:t>6.4 Coda</w:t>
      </w:r>
    </w:p>
    <w:p>
      <w:pPr>
        <w:spacing w:after="80"/>
        <w:ind w:firstLine="340"/>
        <w:jc w:val="both"/>
      </w:pPr>
      <w:r>
        <w:rPr>
          <w:rFonts w:ascii="Times New Roman" w:hAnsi="Times New Roman" w:cs="Times New Roman"/>
          <w:b w:val="0"/>
          <w:i w:val="0"/>
          <w:sz w:val="20"/>
        </w:rPr>
        <w:t>Publicar una retrospectiva bibliometrica de la revista que uno edita es un ejercicio incomodo. La tentacion del triunfalismo es evidente y la del defensismo, tambien. Los autores sostienen que el ejercicio vale la pena solo si el informe se construye con la misma exigencia empirica que se aplica a cualquier objeto externo de estudio. Los hallazgos presentados — y muy especialmente el cambio de identidad tematica documentado en la Seccion 4.5 — obligan a una discusion editorial abierta que este trabajo intenta iniciar, no cerrar. La Seccion 7 propone un programa concreto, pero su ejecucion depende en ultima instancia de una decision colectiva del ecosistema neutrosofico sobre el tipo de revista que NCML pretende ser en los proximos anos: un canal de aplicaciones locales de una metodologia establecida, o un foro internacional de desarrollo y validacion de una disciplina.</w:t>
      </w:r>
    </w:p>
    <w:p>
      <w:pPr>
        <w:spacing w:before="240" w:after="120"/>
        <w:jc w:val="left"/>
      </w:pPr>
      <w:r>
        <w:rPr>
          <w:rFonts w:ascii="Arial" w:hAnsi="Arial" w:cs="Arial"/>
          <w:b/>
          <w:i w:val="0"/>
          <w:sz w:val="24"/>
        </w:rPr>
        <w:t>7. Recomendaciones editoriales: hoja de ruta de impacto</w:t>
      </w:r>
    </w:p>
    <w:p>
      <w:pPr>
        <w:spacing w:after="80"/>
        <w:ind w:firstLine="340"/>
        <w:jc w:val="both"/>
      </w:pPr>
      <w:r>
        <w:rPr>
          <w:rFonts w:ascii="Times New Roman" w:hAnsi="Times New Roman" w:cs="Times New Roman"/>
          <w:b w:val="0"/>
          <w:i w:val="0"/>
          <w:sz w:val="20"/>
        </w:rPr>
        <w:t>Esta seccion sintetiza en una hoja de ruta de tres horizontes temporales las acciones que, a juicio de los autores y fundamentadas en los hallazgos de las Secciones 4 y 5, pueden elevar de forma sostenida el impacto de NCML. Cada recomendacion se presenta con: accion concreta, esfuerzo estimado (bajo / medio / alto), retorno esperado, horizonte y mecanismo de medicion.</w:t>
      </w:r>
    </w:p>
    <w:p>
      <w:pPr>
        <w:spacing w:before="160" w:after="80"/>
        <w:jc w:val="left"/>
      </w:pPr>
      <w:r>
        <w:rPr>
          <w:rFonts w:ascii="Arial" w:hAnsi="Arial" w:cs="Arial"/>
          <w:b/>
          <w:i w:val="0"/>
          <w:sz w:val="22"/>
        </w:rPr>
        <w:t>7.1 Resumen ejecutivo</w:t>
      </w:r>
    </w:p>
    <w:p>
      <w:pPr>
        <w:spacing w:after="80"/>
        <w:ind w:firstLine="340"/>
        <w:jc w:val="both"/>
      </w:pPr>
      <w:r>
        <w:rPr>
          <w:rFonts w:ascii="Times New Roman" w:hAnsi="Times New Roman" w:cs="Times New Roman"/>
          <w:b/>
          <w:i w:val="0"/>
          <w:sz w:val="20"/>
        </w:rPr>
        <w:t>Diagnostico</w:t>
      </w:r>
      <w:r>
        <w:rPr>
          <w:rFonts w:ascii="Times New Roman" w:hAnsi="Times New Roman" w:cs="Times New Roman"/>
          <w:b w:val="0"/>
          <w:i w:val="0"/>
          <w:sz w:val="20"/>
        </w:rPr>
        <w:t>: NCML tiene crecimiento editorial fuerte (CAGR 42%) y un impacto Scholar modesto pero real (h5=10, h5-mediana=25), enmascarado por la cobertura limitada de OpenAlex y la ausencia de indexacion Scopus. La debilidad estructural esta en la concentracion geografica (95% iberoamericana, 60% ecuatoriana), la fragmentacion de la red de coautoria (modularidad 0.96, componente principal 16%) y la concentracion citacional (5 revistas acaparan 33% de las citas).</w:t>
      </w:r>
    </w:p>
    <w:p>
      <w:pPr>
        <w:spacing w:after="80"/>
        <w:ind w:firstLine="340"/>
        <w:jc w:val="both"/>
      </w:pPr>
      <w:r>
        <w:rPr>
          <w:rFonts w:ascii="Times New Roman" w:hAnsi="Times New Roman" w:cs="Times New Roman"/>
          <w:b/>
          <w:i w:val="0"/>
          <w:sz w:val="20"/>
        </w:rPr>
        <w:t>Objetivo a tres anos</w:t>
      </w:r>
      <w:r>
        <w:rPr>
          <w:rFonts w:ascii="Times New Roman" w:hAnsi="Times New Roman" w:cs="Times New Roman"/>
          <w:b w:val="0"/>
          <w:i w:val="0"/>
          <w:sz w:val="20"/>
        </w:rPr>
        <w:t>: llevar a NCML al umbral elegible para el Content Selection and Advisory Board (CSAB) de Scopus, mantener la trayectoria de crecimiento pero con calidad media alta, y reducir la auto-citacion del ecosistema por debajo del 15%.</w:t>
      </w:r>
    </w:p>
    <w:p>
      <w:pPr>
        <w:spacing w:before="160" w:after="80"/>
        <w:jc w:val="left"/>
      </w:pPr>
      <w:r>
        <w:rPr>
          <w:rFonts w:ascii="Arial" w:hAnsi="Arial" w:cs="Arial"/>
          <w:b/>
          <w:i w:val="0"/>
          <w:sz w:val="22"/>
        </w:rPr>
        <w:t>7.2 Horizonte corto plazo (0–6 meses)</w:t>
      </w:r>
    </w:p>
    <w:p>
      <w:pPr>
        <w:spacing w:before="160" w:after="80"/>
        <w:jc w:val="left"/>
      </w:pPr>
      <w:r>
        <w:rPr>
          <w:rFonts w:ascii="Arial" w:hAnsi="Arial" w:cs="Arial"/>
          <w:b/>
          <w:i w:val="0"/>
          <w:sz w:val="22"/>
        </w:rPr>
        <w:t>R1. Solicitar ISSN electronico propio (esfuerzo bajo, retorno alto)</w:t>
      </w:r>
    </w:p>
    <w:p>
      <w:pPr>
        <w:spacing w:after="80"/>
        <w:ind w:firstLine="340"/>
        <w:jc w:val="both"/>
      </w:pPr>
      <w:r>
        <w:rPr>
          <w:rFonts w:ascii="Times New Roman" w:hAnsi="Times New Roman" w:cs="Times New Roman"/>
          <w:b w:val="0"/>
          <w:i w:val="0"/>
          <w:sz w:val="20"/>
        </w:rPr>
        <w:t xml:space="preserve">Sin ISSN, NCML queda excluida de DOAJ, Latindex, REDIB, Redalyc, ERIH Plus y cualquier directorio formal. Solicitar el ISSN a traves del Centro Nacional ISSN de Cuba (via NSIA Publishing) o directamente a ISSN International. Plazo administrativo tipico: 6-10 semanas. </w:t>
      </w:r>
      <w:r>
        <w:rPr>
          <w:rFonts w:ascii="Times New Roman" w:hAnsi="Times New Roman" w:cs="Times New Roman"/>
          <w:b/>
          <w:i w:val="0"/>
          <w:sz w:val="20"/>
        </w:rPr>
        <w:t>Sin este paso, el resto del plan queda bloqueado en los puntos R5, R7, R11.</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ISSN asignado y publicado en la pagina oficial.</w:t>
      </w:r>
    </w:p>
    <w:p>
      <w:pPr>
        <w:spacing w:before="160" w:after="80"/>
        <w:jc w:val="left"/>
      </w:pPr>
      <w:r>
        <w:rPr>
          <w:rFonts w:ascii="Arial" w:hAnsi="Arial" w:cs="Arial"/>
          <w:b/>
          <w:i w:val="0"/>
          <w:sz w:val="22"/>
        </w:rPr>
        <w:t>R2. Metadatos `citation_*` y Dublin Core en HTML por articulo (esfuerzo medio, retorno alto)</w:t>
      </w:r>
    </w:p>
    <w:p>
      <w:pPr>
        <w:spacing w:after="80"/>
        <w:ind w:firstLine="340"/>
        <w:jc w:val="both"/>
      </w:pPr>
      <w:r>
        <w:rPr>
          <w:rFonts w:ascii="Times New Roman" w:hAnsi="Times New Roman" w:cs="Times New Roman"/>
          <w:b w:val="0"/>
          <w:i w:val="0"/>
          <w:sz w:val="20"/>
        </w:rPr>
        <w:t xml:space="preserve">Generar desde </w:t>
      </w:r>
      <w:r>
        <w:rPr>
          <w:rFonts w:ascii="Consolas" w:hAnsi="Consolas" w:cs="Consolas"/>
          <w:b w:val="0"/>
          <w:i w:val="0"/>
          <w:sz w:val="18"/>
        </w:rPr>
        <w:t>works.csv</w:t>
      </w:r>
      <w:r>
        <w:rPr>
          <w:rFonts w:ascii="Times New Roman" w:hAnsi="Times New Roman" w:cs="Times New Roman"/>
          <w:b w:val="0"/>
          <w:i w:val="0"/>
          <w:sz w:val="20"/>
        </w:rPr>
        <w:t xml:space="preserve"> (CSV estructurado ya producido por el pipeline de este estudio) una landing page HTML por articulo en </w:t>
      </w:r>
      <w:r>
        <w:rPr>
          <w:rFonts w:ascii="Consolas" w:hAnsi="Consolas" w:cs="Consolas"/>
          <w:b w:val="0"/>
          <w:i w:val="0"/>
          <w:sz w:val="18"/>
        </w:rPr>
        <w:t>fs.unm.edu/NCML/&lt;vol&gt;/&lt;doi&gt;/</w:t>
      </w:r>
      <w:r>
        <w:rPr>
          <w:rFonts w:ascii="Times New Roman" w:hAnsi="Times New Roman" w:cs="Times New Roman"/>
          <w:b w:val="0"/>
          <w:i w:val="0"/>
          <w:sz w:val="20"/>
        </w:rPr>
        <w:t xml:space="preserve">, con etiquetas </w:t>
      </w:r>
      <w:r>
        <w:rPr>
          <w:rFonts w:ascii="Consolas" w:hAnsi="Consolas" w:cs="Consolas"/>
          <w:b w:val="0"/>
          <w:i w:val="0"/>
          <w:sz w:val="18"/>
        </w:rPr>
        <w:t>&lt;meta name="citation_*"&gt;</w:t>
      </w:r>
      <w:r>
        <w:rPr>
          <w:rFonts w:ascii="Times New Roman" w:hAnsi="Times New Roman" w:cs="Times New Roman"/>
          <w:b w:val="0"/>
          <w:i w:val="0"/>
          <w:sz w:val="20"/>
        </w:rPr>
        <w:t xml:space="preserve"> que Google Scholar, Microsoft Academic, Semantic Scholar y CORE usan para deduplicar versiones y ampliar indexacion. Herramienta sugerida: Hugo o Jekyll, con plantilla de 40 lineas alimentada desde el CSV. Tiempo: 1 semana de trabajo con asistencia tecnica.</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indice de deduplicacion en Scholar (cantidad de versiones agrupadas por articulo); debe estabilizarse en 1.0-1.5 tras la indexacion.</w:t>
      </w:r>
    </w:p>
    <w:p>
      <w:pPr>
        <w:spacing w:before="160" w:after="80"/>
        <w:jc w:val="left"/>
      </w:pPr>
      <w:r>
        <w:rPr>
          <w:rFonts w:ascii="Arial" w:hAnsi="Arial" w:cs="Arial"/>
          <w:b/>
          <w:i w:val="0"/>
          <w:sz w:val="22"/>
        </w:rPr>
        <w:t>R3. Envio a DOAJ y Latindex (esfuerzo bajo, retorno alto)</w:t>
      </w:r>
    </w:p>
    <w:p>
      <w:pPr>
        <w:spacing w:after="80"/>
        <w:ind w:firstLine="340"/>
        <w:jc w:val="both"/>
      </w:pPr>
      <w:r>
        <w:rPr>
          <w:rFonts w:ascii="Times New Roman" w:hAnsi="Times New Roman" w:cs="Times New Roman"/>
          <w:b w:val="0"/>
          <w:i w:val="0"/>
          <w:sz w:val="20"/>
        </w:rPr>
        <w:t>DOAJ (Directory of Open Access Journals) es el sello de calidad OA mas reconocido internacionalmente. Criterios: revision por pares verificable, politica editorial publica, licencia Creative Commons explicita, ISSN. Latindex (catalogo iberoamericano) requiere 33 criterios, 25 de los cuales NCML ya cumple. El envio es gratuito. Plazo de evaluacion: 3-5 meses.</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sello DOAJ visible y badge Latindex Catalogo 2.0.</w:t>
      </w:r>
    </w:p>
    <w:p>
      <w:pPr>
        <w:spacing w:before="160" w:after="80"/>
        <w:jc w:val="left"/>
      </w:pPr>
      <w:r>
        <w:rPr>
          <w:rFonts w:ascii="Arial" w:hAnsi="Arial" w:cs="Arial"/>
          <w:b/>
          <w:i w:val="0"/>
          <w:sz w:val="22"/>
        </w:rPr>
        <w:t>R4. Instruciones a autores explicitas y detalladas (esfuerzo bajo, retorno medio)</w:t>
      </w:r>
    </w:p>
    <w:p>
      <w:pPr>
        <w:spacing w:after="80"/>
        <w:ind w:firstLine="340"/>
        <w:jc w:val="both"/>
      </w:pPr>
      <w:r>
        <w:rPr>
          <w:rFonts w:ascii="Times New Roman" w:hAnsi="Times New Roman" w:cs="Times New Roman"/>
          <w:b w:val="0"/>
          <w:i w:val="0"/>
          <w:sz w:val="20"/>
        </w:rPr>
        <w:t>El Scopus CSAB evalua "policy" como pilar: instrucciones a autores claras, plantillas de envio, codigos de conducta COPE y politica de revision por pares visible. Hoy NCML tiene instrucciones minimas. Un documento de 6-8 paginas con ejemplos de estructura, normas de citacion, politica de coautoria y proceso de revision duplica la senal de calidad editorial.</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tasa de rechazo desk con justificacion &lt;5%, ratio revisiones/articulo publicado &gt;=2.</w:t>
      </w:r>
    </w:p>
    <w:p>
      <w:pPr>
        <w:spacing w:before="160" w:after="80"/>
        <w:jc w:val="left"/>
      </w:pPr>
      <w:r>
        <w:rPr>
          <w:rFonts w:ascii="Arial" w:hAnsi="Arial" w:cs="Arial"/>
          <w:b/>
          <w:i w:val="0"/>
          <w:sz w:val="22"/>
        </w:rPr>
        <w:t>R5. Deposito Zenodo con DOI DataCite y tags estandarizados (esfuerzo bajo, retorno medio)</w:t>
      </w:r>
    </w:p>
    <w:p>
      <w:pPr>
        <w:spacing w:after="80"/>
        <w:ind w:firstLine="340"/>
        <w:jc w:val="both"/>
      </w:pPr>
      <w:r>
        <w:rPr>
          <w:rFonts w:ascii="Times New Roman" w:hAnsi="Times New Roman" w:cs="Times New Roman"/>
          <w:b w:val="0"/>
          <w:i w:val="0"/>
          <w:sz w:val="20"/>
        </w:rPr>
        <w:t>Ya se usa Zenodo, pero los depositos carecen de metadatos estandarizados (keywords, subject, language, rights). Completar los metadatos durante el deposito mejora el descubrimiento via OpenAIRE y DataCite Commons.</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porcentaje de depositos con los 8 campos metadata completos; objetivo 100%.</w:t>
      </w:r>
    </w:p>
    <w:p>
      <w:pPr>
        <w:spacing w:before="160" w:after="80"/>
        <w:jc w:val="left"/>
      </w:pPr>
      <w:r>
        <w:rPr>
          <w:rFonts w:ascii="Arial" w:hAnsi="Arial" w:cs="Arial"/>
          <w:b/>
          <w:i w:val="0"/>
          <w:sz w:val="22"/>
        </w:rPr>
        <w:t>7.3 Horizonte medio plazo (6–18 meses)</w:t>
      </w:r>
    </w:p>
    <w:p>
      <w:pPr>
        <w:spacing w:before="160" w:after="80"/>
        <w:jc w:val="left"/>
      </w:pPr>
      <w:r>
        <w:rPr>
          <w:rFonts w:ascii="Arial" w:hAnsi="Arial" w:cs="Arial"/>
          <w:b/>
          <w:i w:val="0"/>
          <w:sz w:val="22"/>
        </w:rPr>
        <w:t>R6. Diversificacion del Editorial Board hacia no iberoamericanos (esfuerzo alto, retorno alto)</w:t>
      </w:r>
    </w:p>
    <w:p>
      <w:pPr>
        <w:spacing w:after="80"/>
        <w:ind w:firstLine="340"/>
        <w:jc w:val="both"/>
      </w:pPr>
      <w:r>
        <w:rPr>
          <w:rFonts w:ascii="Times New Roman" w:hAnsi="Times New Roman" w:cs="Times New Roman"/>
          <w:b w:val="0"/>
          <w:i w:val="0"/>
          <w:sz w:val="20"/>
        </w:rPr>
        <w:t>Hoy el Editorial Board esta dominado por editores de Ecuador y Cuba. El CSAB de Scopus penaliza explicitamente la homogeneidad geografica del board. Objetivo: al menos 40% de miembros de fuera de Iberoamerica al cabo de 18 meses, con presencia de al menos 4 continentes. Reclutamiento prioritario: investigadores de logica difusa / soft computing / decision making con trabajo previo no neutrosofico, de Europa del Este (Bulgaria, Polonia, Rumania donde ya existen vinculos), Asia (India, Japon, China), y Norteamerica. Negociacion: algunos aceptaran con condicion de co-editar numeros especiales.</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composicion geografica del Editorial Board publicada; coautoria del board con autores nuevos de sus regiones.</w:t>
      </w:r>
    </w:p>
    <w:p>
      <w:pPr>
        <w:spacing w:before="160" w:after="80"/>
        <w:jc w:val="left"/>
      </w:pPr>
      <w:r>
        <w:rPr>
          <w:rFonts w:ascii="Arial" w:hAnsi="Arial" w:cs="Arial"/>
          <w:b/>
          <w:i w:val="0"/>
          <w:sz w:val="22"/>
        </w:rPr>
        <w:t>R7. Programa de peer review con revisores externos al ecosistema (esfuerzo medio, retorno alto)</w:t>
      </w:r>
    </w:p>
    <w:p>
      <w:pPr>
        <w:spacing w:after="80"/>
        <w:ind w:firstLine="340"/>
        <w:jc w:val="both"/>
      </w:pPr>
      <w:r>
        <w:rPr>
          <w:rFonts w:ascii="Times New Roman" w:hAnsi="Times New Roman" w:cs="Times New Roman"/>
          <w:b w:val="0"/>
          <w:i w:val="0"/>
          <w:sz w:val="20"/>
        </w:rPr>
        <w:t>Reclutar una pool de 30-50 revisores externos al ecosistema neutrosofico (expertos en AHP-TOPSIS clasico, metodos difusos, MCDM, estadistica bayesiana). Cada articulo metodologico pasa por al menos un revisor externo. Esto ataca directamente el cuestionamiento (iii) de Woodall sobre validacion externa limitada. Incentivo para los revisores: certificacion en Publons/Web of Science, invitacion a Editorial Board consultivo.</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porcentaje de articulos con al menos un revisor externo al ecosistema &gt;=60%.</w:t>
      </w:r>
    </w:p>
    <w:p>
      <w:pPr>
        <w:spacing w:before="160" w:after="80"/>
        <w:jc w:val="left"/>
      </w:pPr>
      <w:r>
        <w:rPr>
          <w:rFonts w:ascii="Arial" w:hAnsi="Arial" w:cs="Arial"/>
          <w:b/>
          <w:i w:val="0"/>
          <w:sz w:val="22"/>
        </w:rPr>
        <w:t>R8. Numeros tematicos especiales con coautoria internacional obligatoria (esfuerzo medio, retorno alto)</w:t>
      </w:r>
    </w:p>
    <w:p>
      <w:pPr>
        <w:spacing w:after="80"/>
        <w:ind w:firstLine="340"/>
        <w:jc w:val="both"/>
      </w:pPr>
      <w:r>
        <w:rPr>
          <w:rFonts w:ascii="Times New Roman" w:hAnsi="Times New Roman" w:cs="Times New Roman"/>
          <w:b w:val="0"/>
          <w:i w:val="0"/>
          <w:sz w:val="20"/>
        </w:rPr>
        <w:t>Programa de 2-3 numeros especiales por ano, cada uno coordinado por un editor invitado no iberoamericano. Tema ejemplo: "Neutrosophic methods in climate risk assessment: methodological comparisons", "Explainable AI with neutrosophic reasoning", "Neutrosophic statistics vs Bayesian alternatives". Criterio: al menos 50% de articulos con coautoria inter-institucional y 30% con coautoria inter-continental.</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ratio de articulos coautorados internacionalmente subiendo del &lt;5% actual al &gt;=20% al final del periodo.</w:t>
      </w:r>
    </w:p>
    <w:p>
      <w:pPr>
        <w:spacing w:before="160" w:after="80"/>
        <w:jc w:val="left"/>
      </w:pPr>
      <w:r>
        <w:rPr>
          <w:rFonts w:ascii="Arial" w:hAnsi="Arial" w:cs="Arial"/>
          <w:b/>
          <w:i w:val="0"/>
          <w:sz w:val="22"/>
        </w:rPr>
        <w:t>R9. Reserva editorial para trabajos teoricos (esfuerzo medio, retorno medio)</w:t>
      </w:r>
    </w:p>
    <w:p>
      <w:pPr>
        <w:spacing w:after="80"/>
        <w:ind w:firstLine="340"/>
        <w:jc w:val="both"/>
      </w:pPr>
      <w:r>
        <w:rPr>
          <w:rFonts w:ascii="Times New Roman" w:hAnsi="Times New Roman" w:cs="Times New Roman"/>
          <w:b w:val="0"/>
          <w:i w:val="0"/>
          <w:sz w:val="20"/>
        </w:rPr>
        <w:t>Contener la caida del topico Smarandache/teoria (-9 pp documentada) reservando entre 15 y 20 paginas por volumen para articulos teoricos de fondo (revisiones, extensiones formales, demostraciones). Evaluador senior unico para estos textos, tiempo de revision extendido.</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al menos 4 articulos teoricos sustantivos por volumen.</w:t>
      </w:r>
    </w:p>
    <w:p>
      <w:pPr>
        <w:spacing w:before="160" w:after="80"/>
        <w:jc w:val="left"/>
      </w:pPr>
      <w:r>
        <w:rPr>
          <w:rFonts w:ascii="Arial" w:hAnsi="Arial" w:cs="Arial"/>
          <w:b/>
          <w:i w:val="0"/>
          <w:sz w:val="22"/>
        </w:rPr>
        <w:t>R10. Politica de auto-citacion explicita (esfuerzo bajo, retorno medio)</w:t>
      </w:r>
    </w:p>
    <w:p>
      <w:pPr>
        <w:spacing w:after="80"/>
        <w:ind w:firstLine="340"/>
        <w:jc w:val="both"/>
      </w:pPr>
      <w:r>
        <w:rPr>
          <w:rFonts w:ascii="Times New Roman" w:hAnsi="Times New Roman" w:cs="Times New Roman"/>
          <w:b w:val="0"/>
          <w:i w:val="0"/>
          <w:sz w:val="20"/>
        </w:rPr>
        <w:t>El hallazgo de 17.2% de auto-cita al ecosistema NSS+NCML excede el umbral que Scopus considera normal (10-15%). Introducir en las Instrucciones a autores una guia de citacion donde se desaconseja explicitamente citar mas de 3 articulos del mismo ecosistema sin justificacion. Revisores tienen mandato de bloquear articulos con &gt;5 autocitas al ecosistema.</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ratio NSS+NCML/total_citas monitoreado trimestralmente; objetivo &lt; 15% al cabo de 18 meses.</w:t>
      </w:r>
    </w:p>
    <w:p>
      <w:pPr>
        <w:spacing w:before="160" w:after="80"/>
        <w:jc w:val="left"/>
      </w:pPr>
      <w:r>
        <w:rPr>
          <w:rFonts w:ascii="Arial" w:hAnsi="Arial" w:cs="Arial"/>
          <w:b/>
          <w:i w:val="0"/>
          <w:sz w:val="22"/>
        </w:rPr>
        <w:t>R11. Transicion del alojamiento actual a una plataforma OJS o similar (esfuerzo alto, retorno alto)</w:t>
      </w:r>
    </w:p>
    <w:p>
      <w:pPr>
        <w:spacing w:after="80"/>
        <w:ind w:firstLine="340"/>
        <w:jc w:val="both"/>
      </w:pPr>
      <w:r>
        <w:rPr>
          <w:rFonts w:ascii="Times New Roman" w:hAnsi="Times New Roman" w:cs="Times New Roman"/>
          <w:b w:val="0"/>
          <w:i w:val="0"/>
          <w:sz w:val="20"/>
        </w:rPr>
        <w:t xml:space="preserve">La pagina actual </w:t>
      </w:r>
      <w:r>
        <w:rPr>
          <w:rFonts w:ascii="Consolas" w:hAnsi="Consolas" w:cs="Consolas"/>
          <w:b w:val="0"/>
          <w:i w:val="0"/>
          <w:sz w:val="18"/>
        </w:rPr>
        <w:t>fs.unm.edu/NCML/Articles.htm</w:t>
      </w:r>
      <w:r>
        <w:rPr>
          <w:rFonts w:ascii="Times New Roman" w:hAnsi="Times New Roman" w:cs="Times New Roman"/>
          <w:b w:val="0"/>
          <w:i w:val="0"/>
          <w:sz w:val="20"/>
        </w:rPr>
        <w:t xml:space="preserve"> presenta problemas de encoding (400+ caracteres U+FFFD) y no gestiona el flujo editorial. Una instalacion OJS 3.x (Open Journal Systems) gestiona envios, revisiones, publicacion y entrega metadatos estandarizados automaticamente. Instalacion en servidor propio de NSIA o en proveedor gestionado (OJS Hosting). Plazo: 6 meses incluyendo migracion del archivo historico.</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todos los volumenes 2018-2026 migrados, URLs estables, metadatos citation_* completos.</w:t>
      </w:r>
    </w:p>
    <w:p>
      <w:pPr>
        <w:spacing w:before="160" w:after="80"/>
        <w:jc w:val="left"/>
      </w:pPr>
      <w:r>
        <w:rPr>
          <w:rFonts w:ascii="Arial" w:hAnsi="Arial" w:cs="Arial"/>
          <w:b/>
          <w:i w:val="0"/>
          <w:sz w:val="22"/>
        </w:rPr>
        <w:t>7.4 Horizonte largo plazo (18–36 meses)</w:t>
      </w:r>
    </w:p>
    <w:p>
      <w:pPr>
        <w:spacing w:before="160" w:after="80"/>
        <w:jc w:val="left"/>
      </w:pPr>
      <w:r>
        <w:rPr>
          <w:rFonts w:ascii="Arial" w:hAnsi="Arial" w:cs="Arial"/>
          <w:b/>
          <w:i w:val="0"/>
          <w:sz w:val="22"/>
        </w:rPr>
        <w:t>R12. Aplicacion formal a Scopus (CSAB) (esfuerzo alto, retorno muy alto)</w:t>
      </w:r>
    </w:p>
    <w:p>
      <w:pPr>
        <w:spacing w:after="80"/>
        <w:ind w:firstLine="340"/>
        <w:jc w:val="both"/>
      </w:pPr>
      <w:r>
        <w:rPr>
          <w:rFonts w:ascii="Times New Roman" w:hAnsi="Times New Roman" w:cs="Times New Roman"/>
          <w:b w:val="0"/>
          <w:i w:val="0"/>
          <w:sz w:val="20"/>
        </w:rPr>
        <w:t>Con R1-R11 ejecutados, elaborar el envio formal a Scopus Content Selection Advisory Board. El proceso toma 6-12 meses de evaluacion. Los criterios relevantes son: politica editorial, calidad de contenido, reputacion de la revista (citas externas), regularidad y diversidad internacional. Basado en el analisis: tras completar R1-R11, NCML cumpliria 75% de los criterios. Probabilidad de aceptacion estimada condicionada a la ejecucion: 40-50%.</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respuesta de CSAB; en caso de rechazo, carta con puntos debiles que alimentaran un nuevo ciclo.</w:t>
      </w:r>
    </w:p>
    <w:p>
      <w:pPr>
        <w:spacing w:before="160" w:after="80"/>
        <w:jc w:val="left"/>
      </w:pPr>
      <w:r>
        <w:rPr>
          <w:rFonts w:ascii="Arial" w:hAnsi="Arial" w:cs="Arial"/>
          <w:b/>
          <w:i w:val="0"/>
          <w:sz w:val="22"/>
        </w:rPr>
        <w:t>R13. Indexacion en Web of Science Emerging Sources Citation Index (esfuerzo alto, retorno alto)</w:t>
      </w:r>
    </w:p>
    <w:p>
      <w:pPr>
        <w:spacing w:after="80"/>
        <w:ind w:firstLine="340"/>
        <w:jc w:val="both"/>
      </w:pPr>
      <w:r>
        <w:rPr>
          <w:rFonts w:ascii="Times New Roman" w:hAnsi="Times New Roman" w:cs="Times New Roman"/>
          <w:b w:val="0"/>
          <w:i w:val="0"/>
          <w:sz w:val="20"/>
        </w:rPr>
        <w:t>ESCI es la antesala de SCIE y SSCI en Clarivate. Criterios menos exigentes que Scopus, especialmente en diversidad geografica, pero con un nivel alto de control en peer review. Enviar en paralelo al camino Scopus.</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aceptacion en ESCI; genera Journal Citation Indicator (JCI) observable.</w:t>
      </w:r>
    </w:p>
    <w:p>
      <w:pPr>
        <w:spacing w:before="160" w:after="80"/>
        <w:jc w:val="left"/>
      </w:pPr>
      <w:r>
        <w:rPr>
          <w:rFonts w:ascii="Arial" w:hAnsi="Arial" w:cs="Arial"/>
          <w:b/>
          <w:i w:val="0"/>
          <w:sz w:val="22"/>
        </w:rPr>
        <w:t>R14. Alianza formal con una universidad no iberoamericana como co-publisher (esfuerzo muy alto, retorno muy alto)</w:t>
      </w:r>
    </w:p>
    <w:p>
      <w:pPr>
        <w:spacing w:after="80"/>
        <w:ind w:firstLine="340"/>
        <w:jc w:val="both"/>
      </w:pPr>
      <w:r>
        <w:rPr>
          <w:rFonts w:ascii="Times New Roman" w:hAnsi="Times New Roman" w:cs="Times New Roman"/>
          <w:b w:val="0"/>
          <w:i w:val="0"/>
          <w:sz w:val="20"/>
        </w:rPr>
        <w:t>Explorar una alianza institucional con una universidad europea o asiatica con tradicion en logica difusa o soft computing (ej.: TU Eindhoven, AGH Krakow, Budapest University of Technology). El modelo seria co-publishing con shared branding. Senal de profesionalizacion maxima para el CSAB y para la comunidad internacional. Negociacion: ofrecer visibilidad del co-publisher y escalamiento editorial.</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co-publisher firmado; articulos conjuntos publicados.</w:t>
      </w:r>
    </w:p>
    <w:p>
      <w:pPr>
        <w:spacing w:before="160" w:after="80"/>
        <w:jc w:val="left"/>
      </w:pPr>
      <w:r>
        <w:rPr>
          <w:rFonts w:ascii="Arial" w:hAnsi="Arial" w:cs="Arial"/>
          <w:b/>
          <w:i w:val="0"/>
          <w:sz w:val="22"/>
        </w:rPr>
        <w:t>R15. Incorporar revisores de doble ciego con tiempos publicados (esfuerzo medio, retorno medio)</w:t>
      </w:r>
    </w:p>
    <w:p>
      <w:pPr>
        <w:spacing w:after="80"/>
        <w:ind w:firstLine="340"/>
        <w:jc w:val="both"/>
      </w:pPr>
      <w:r>
        <w:rPr>
          <w:rFonts w:ascii="Times New Roman" w:hAnsi="Times New Roman" w:cs="Times New Roman"/>
          <w:b w:val="0"/>
          <w:i w:val="0"/>
          <w:sz w:val="20"/>
        </w:rPr>
        <w:t>Transicion formal del modelo de revision actual (simple o no documentado) a doble ciego, con publicacion del tiempo promedio de revision y del ratio de aceptacion por numero. Transparencia es la herramienta mas barata y eficaz contra la critica de revistas rapidas sin control.</w:t>
      </w:r>
    </w:p>
    <w:p>
      <w:pPr>
        <w:spacing w:after="80"/>
        <w:ind w:firstLine="340"/>
        <w:jc w:val="both"/>
      </w:pPr>
      <w:r>
        <w:rPr>
          <w:rFonts w:ascii="Times New Roman" w:hAnsi="Times New Roman" w:cs="Times New Roman"/>
          <w:b w:val="0"/>
          <w:i/>
          <w:sz w:val="20"/>
        </w:rPr>
        <w:t>Medicion</w:t>
      </w:r>
      <w:r>
        <w:rPr>
          <w:rFonts w:ascii="Times New Roman" w:hAnsi="Times New Roman" w:cs="Times New Roman"/>
          <w:b w:val="0"/>
          <w:i w:val="0"/>
          <w:sz w:val="20"/>
        </w:rPr>
        <w:t>: tiempo promedio revision publicado; ratio aceptacion/envio declarado en editorial anual.</w:t>
      </w:r>
    </w:p>
    <w:p>
      <w:pPr>
        <w:spacing w:before="160" w:after="80"/>
        <w:jc w:val="left"/>
      </w:pPr>
      <w:r>
        <w:rPr>
          <w:rFonts w:ascii="Arial" w:hAnsi="Arial" w:cs="Arial"/>
          <w:b/>
          <w:i w:val="0"/>
          <w:sz w:val="22"/>
        </w:rPr>
        <w:t>7.5 Medidas transversales</w:t>
      </w:r>
    </w:p>
    <w:p>
      <w:pPr>
        <w:spacing w:before="160" w:after="80"/>
        <w:jc w:val="left"/>
      </w:pPr>
      <w:r>
        <w:rPr>
          <w:rFonts w:ascii="Arial" w:hAnsi="Arial" w:cs="Arial"/>
          <w:b/>
          <w:i w:val="0"/>
          <w:sz w:val="22"/>
        </w:rPr>
        <w:t>M1. Panel editorial de indicadores publico</w:t>
      </w:r>
    </w:p>
    <w:p>
      <w:pPr>
        <w:spacing w:after="80"/>
        <w:ind w:firstLine="340"/>
        <w:jc w:val="both"/>
      </w:pPr>
      <w:r>
        <w:rPr>
          <w:rFonts w:ascii="Times New Roman" w:hAnsi="Times New Roman" w:cs="Times New Roman"/>
          <w:b w:val="0"/>
          <w:i w:val="0"/>
          <w:sz w:val="20"/>
        </w:rPr>
        <w:t>Publicar en la pagina de la revista un tablero actualizado cuatrimestralmente con: articulos publicados, paises representados, tasa de auto-citacion al ecosistema, tiempo de revision promedio, aceptacion. La transparencia editorial es un factor explicito del CSAB.</w:t>
      </w:r>
    </w:p>
    <w:p>
      <w:pPr>
        <w:spacing w:before="160" w:after="80"/>
        <w:jc w:val="left"/>
      </w:pPr>
      <w:r>
        <w:rPr>
          <w:rFonts w:ascii="Arial" w:hAnsi="Arial" w:cs="Arial"/>
          <w:b/>
          <w:i w:val="0"/>
          <w:sz w:val="22"/>
        </w:rPr>
        <w:t>M2. Compromiso COPE (Committee on Publication Ethics)</w:t>
      </w:r>
    </w:p>
    <w:p>
      <w:pPr>
        <w:spacing w:after="80"/>
        <w:ind w:firstLine="340"/>
        <w:jc w:val="both"/>
      </w:pPr>
      <w:r>
        <w:rPr>
          <w:rFonts w:ascii="Times New Roman" w:hAnsi="Times New Roman" w:cs="Times New Roman"/>
          <w:b w:val="0"/>
          <w:i w:val="0"/>
          <w:sz w:val="20"/>
        </w:rPr>
        <w:t>Adhesion formal a COPE. Sin costo. Senal de calidad editorial reconocida por todos los indexadores.</w:t>
      </w:r>
    </w:p>
    <w:p>
      <w:pPr>
        <w:spacing w:before="160" w:after="80"/>
        <w:jc w:val="left"/>
      </w:pPr>
      <w:r>
        <w:rPr>
          <w:rFonts w:ascii="Arial" w:hAnsi="Arial" w:cs="Arial"/>
          <w:b/>
          <w:i w:val="0"/>
          <w:sz w:val="22"/>
        </w:rPr>
        <w:t>M3. Estudio bibliometrico periodico (anual)</w:t>
      </w:r>
    </w:p>
    <w:p>
      <w:pPr>
        <w:spacing w:after="80"/>
        <w:ind w:firstLine="340"/>
        <w:jc w:val="both"/>
      </w:pPr>
      <w:r>
        <w:rPr>
          <w:rFonts w:ascii="Times New Roman" w:hAnsi="Times New Roman" w:cs="Times New Roman"/>
          <w:b w:val="0"/>
          <w:i w:val="0"/>
          <w:sz w:val="20"/>
        </w:rPr>
        <w:t>Repetir la metodologia del presente estudio cada 12 meses y publicar una actualizacion. El propio seguimiento es evidencia de reflexividad editorial, valorada positivamente por CSAB.</w:t>
      </w:r>
    </w:p>
    <w:p>
      <w:pPr>
        <w:spacing w:before="160" w:after="80"/>
        <w:jc w:val="left"/>
      </w:pPr>
      <w:r>
        <w:rPr>
          <w:rFonts w:ascii="Arial" w:hAnsi="Arial" w:cs="Arial"/>
          <w:b/>
          <w:i w:val="0"/>
          <w:sz w:val="22"/>
        </w:rPr>
        <w:t>7.6 Matriz de prioridades</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Accion</w:t>
            </w:r>
          </w:p>
        </w:tc>
        <w:tc>
          <w:tcPr>
            <w:tcW w:type="dxa" w:w="1881"/>
          </w:tcPr>
          <w:p>
            <w:r/>
            <w:r>
              <w:rPr>
                <w:rFonts w:ascii="Arial" w:hAnsi="Arial" w:cs="Arial"/>
                <w:b/>
                <w:i w:val="0"/>
                <w:sz w:val="18"/>
              </w:rPr>
              <w:t>Esfuerzo</w:t>
            </w:r>
          </w:p>
        </w:tc>
        <w:tc>
          <w:tcPr>
            <w:tcW w:type="dxa" w:w="1881"/>
          </w:tcPr>
          <w:p>
            <w:r/>
            <w:r>
              <w:rPr>
                <w:rFonts w:ascii="Arial" w:hAnsi="Arial" w:cs="Arial"/>
                <w:b/>
                <w:i w:val="0"/>
                <w:sz w:val="18"/>
              </w:rPr>
              <w:t>Retorno</w:t>
            </w:r>
          </w:p>
        </w:tc>
        <w:tc>
          <w:tcPr>
            <w:tcW w:type="dxa" w:w="1881"/>
          </w:tcPr>
          <w:p>
            <w:r/>
            <w:r>
              <w:rPr>
                <w:rFonts w:ascii="Arial" w:hAnsi="Arial" w:cs="Arial"/>
                <w:b/>
                <w:i w:val="0"/>
                <w:sz w:val="18"/>
              </w:rPr>
              <w:t>Horizonte</w:t>
            </w:r>
          </w:p>
        </w:tc>
        <w:tc>
          <w:tcPr>
            <w:tcW w:type="dxa" w:w="1881"/>
          </w:tcPr>
          <w:p>
            <w:r/>
            <w:r>
              <w:rPr>
                <w:rFonts w:ascii="Arial" w:hAnsi="Arial" w:cs="Arial"/>
                <w:b/>
                <w:i w:val="0"/>
                <w:sz w:val="18"/>
              </w:rPr>
              <w:t>Desbloquea</w:t>
            </w:r>
          </w:p>
        </w:tc>
      </w:tr>
      <w:tr>
        <w:tc>
          <w:tcPr>
            <w:tcW w:type="dxa" w:w="1881"/>
          </w:tcPr>
          <w:p>
            <w:r/>
            <w:r>
              <w:rPr>
                <w:rFonts w:ascii="Times New Roman" w:hAnsi="Times New Roman" w:cs="Times New Roman"/>
                <w:b/>
                <w:i w:val="0"/>
                <w:sz w:val="18"/>
              </w:rPr>
              <w:t>R1</w:t>
            </w:r>
            <w:r>
              <w:rPr>
                <w:rFonts w:ascii="Times New Roman" w:hAnsi="Times New Roman" w:cs="Times New Roman"/>
                <w:b w:val="0"/>
                <w:i w:val="0"/>
                <w:sz w:val="18"/>
              </w:rPr>
              <w:t xml:space="preserve"> ISSN</w:t>
            </w:r>
          </w:p>
        </w:tc>
        <w:tc>
          <w:tcPr>
            <w:tcW w:type="dxa" w:w="1881"/>
          </w:tcPr>
          <w:p>
            <w:r/>
            <w:r>
              <w:rPr>
                <w:rFonts w:ascii="Times New Roman" w:hAnsi="Times New Roman" w:cs="Times New Roman"/>
                <w:b w:val="0"/>
                <w:i w:val="0"/>
                <w:sz w:val="18"/>
              </w:rPr>
              <w:t>Bajo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R3, R11</w:t>
            </w:r>
          </w:p>
        </w:tc>
      </w:tr>
      <w:tr>
        <w:tc>
          <w:tcPr>
            <w:tcW w:type="dxa" w:w="1881"/>
          </w:tcPr>
          <w:p>
            <w:r/>
            <w:r>
              <w:rPr>
                <w:rFonts w:ascii="Times New Roman" w:hAnsi="Times New Roman" w:cs="Times New Roman"/>
                <w:b/>
                <w:i w:val="0"/>
                <w:sz w:val="18"/>
              </w:rPr>
              <w:t>R2</w:t>
            </w:r>
            <w:r>
              <w:rPr>
                <w:rFonts w:ascii="Times New Roman" w:hAnsi="Times New Roman" w:cs="Times New Roman"/>
                <w:b w:val="0"/>
                <w:i w:val="0"/>
                <w:sz w:val="18"/>
              </w:rPr>
              <w:t xml:space="preserve"> Metadata HTML</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indexacion Scholar</w:t>
            </w:r>
          </w:p>
        </w:tc>
      </w:tr>
      <w:tr>
        <w:tc>
          <w:tcPr>
            <w:tcW w:type="dxa" w:w="1881"/>
          </w:tcPr>
          <w:p>
            <w:r/>
            <w:r>
              <w:rPr>
                <w:rFonts w:ascii="Times New Roman" w:hAnsi="Times New Roman" w:cs="Times New Roman"/>
                <w:b/>
                <w:i w:val="0"/>
                <w:sz w:val="18"/>
              </w:rPr>
              <w:t>R3</w:t>
            </w:r>
            <w:r>
              <w:rPr>
                <w:rFonts w:ascii="Times New Roman" w:hAnsi="Times New Roman" w:cs="Times New Roman"/>
                <w:b w:val="0"/>
                <w:i w:val="0"/>
                <w:sz w:val="18"/>
              </w:rPr>
              <w:t xml:space="preserve"> DOAJ + Latindex</w:t>
            </w:r>
          </w:p>
        </w:tc>
        <w:tc>
          <w:tcPr>
            <w:tcW w:type="dxa" w:w="1881"/>
          </w:tcPr>
          <w:p>
            <w:r/>
            <w:r>
              <w:rPr>
                <w:rFonts w:ascii="Times New Roman" w:hAnsi="Times New Roman" w:cs="Times New Roman"/>
                <w:b w:val="0"/>
                <w:i w:val="0"/>
                <w:sz w:val="18"/>
              </w:rPr>
              <w:t>Bajo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visibilidad OA</w:t>
            </w:r>
          </w:p>
        </w:tc>
      </w:tr>
      <w:tr>
        <w:tc>
          <w:tcPr>
            <w:tcW w:type="dxa" w:w="1881"/>
          </w:tcPr>
          <w:p>
            <w:r/>
            <w:r>
              <w:rPr>
                <w:rFonts w:ascii="Times New Roman" w:hAnsi="Times New Roman" w:cs="Times New Roman"/>
                <w:b w:val="0"/>
                <w:i w:val="0"/>
                <w:sz w:val="18"/>
              </w:rPr>
              <w:t>R4 Instrucciones</w:t>
            </w:r>
          </w:p>
        </w:tc>
        <w:tc>
          <w:tcPr>
            <w:tcW w:type="dxa" w:w="1881"/>
          </w:tcPr>
          <w:p>
            <w:r/>
            <w:r>
              <w:rPr>
                <w:rFonts w:ascii="Times New Roman" w:hAnsi="Times New Roman" w:cs="Times New Roman"/>
                <w:b w:val="0"/>
                <w:i w:val="0"/>
                <w:sz w:val="18"/>
              </w:rPr>
              <w:t>Bajo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CSAB criterio</w:t>
            </w:r>
          </w:p>
        </w:tc>
      </w:tr>
      <w:tr>
        <w:tc>
          <w:tcPr>
            <w:tcW w:type="dxa" w:w="1881"/>
          </w:tcPr>
          <w:p>
            <w:r/>
            <w:r>
              <w:rPr>
                <w:rFonts w:ascii="Times New Roman" w:hAnsi="Times New Roman" w:cs="Times New Roman"/>
                <w:b w:val="0"/>
                <w:i w:val="0"/>
                <w:sz w:val="18"/>
              </w:rPr>
              <w:t>R5 Zenodo tags</w:t>
            </w:r>
          </w:p>
        </w:tc>
        <w:tc>
          <w:tcPr>
            <w:tcW w:type="dxa" w:w="1881"/>
          </w:tcPr>
          <w:p>
            <w:r/>
            <w:r>
              <w:rPr>
                <w:rFonts w:ascii="Times New Roman" w:hAnsi="Times New Roman" w:cs="Times New Roman"/>
                <w:b w:val="0"/>
                <w:i w:val="0"/>
                <w:sz w:val="18"/>
              </w:rPr>
              <w:t>Bajo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OpenAIRE</w:t>
            </w:r>
          </w:p>
        </w:tc>
      </w:tr>
      <w:tr>
        <w:tc>
          <w:tcPr>
            <w:tcW w:type="dxa" w:w="1881"/>
          </w:tcPr>
          <w:p>
            <w:r/>
            <w:r>
              <w:rPr>
                <w:rFonts w:ascii="Times New Roman" w:hAnsi="Times New Roman" w:cs="Times New Roman"/>
                <w:b/>
                <w:i w:val="0"/>
                <w:sz w:val="18"/>
              </w:rPr>
              <w:t>R6</w:t>
            </w:r>
            <w:r>
              <w:rPr>
                <w:rFonts w:ascii="Times New Roman" w:hAnsi="Times New Roman" w:cs="Times New Roman"/>
                <w:b w:val="0"/>
                <w:i w:val="0"/>
                <w:sz w:val="18"/>
              </w:rPr>
              <w:t xml:space="preserve"> Board internacional</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Scopus</w:t>
            </w:r>
          </w:p>
        </w:tc>
      </w:tr>
      <w:tr>
        <w:tc>
          <w:tcPr>
            <w:tcW w:type="dxa" w:w="1881"/>
          </w:tcPr>
          <w:p>
            <w:r/>
            <w:r>
              <w:rPr>
                <w:rFonts w:ascii="Times New Roman" w:hAnsi="Times New Roman" w:cs="Times New Roman"/>
                <w:b/>
                <w:i w:val="0"/>
                <w:sz w:val="18"/>
              </w:rPr>
              <w:t>R7</w:t>
            </w:r>
            <w:r>
              <w:rPr>
                <w:rFonts w:ascii="Times New Roman" w:hAnsi="Times New Roman" w:cs="Times New Roman"/>
                <w:b w:val="0"/>
                <w:i w:val="0"/>
                <w:sz w:val="18"/>
              </w:rPr>
              <w:t xml:space="preserve"> Revisores externos</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Validacion Woodall</w:t>
            </w:r>
          </w:p>
        </w:tc>
      </w:tr>
      <w:tr>
        <w:tc>
          <w:tcPr>
            <w:tcW w:type="dxa" w:w="1881"/>
          </w:tcPr>
          <w:p>
            <w:r/>
            <w:r>
              <w:rPr>
                <w:rFonts w:ascii="Times New Roman" w:hAnsi="Times New Roman" w:cs="Times New Roman"/>
                <w:b/>
                <w:i w:val="0"/>
                <w:sz w:val="18"/>
              </w:rPr>
              <w:t>R8</w:t>
            </w:r>
            <w:r>
              <w:rPr>
                <w:rFonts w:ascii="Times New Roman" w:hAnsi="Times New Roman" w:cs="Times New Roman"/>
                <w:b w:val="0"/>
                <w:i w:val="0"/>
                <w:sz w:val="18"/>
              </w:rPr>
              <w:t xml:space="preserve"> Numeros especiales</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Coautoria intl</w:t>
            </w:r>
          </w:p>
        </w:tc>
      </w:tr>
      <w:tr>
        <w:tc>
          <w:tcPr>
            <w:tcW w:type="dxa" w:w="1881"/>
          </w:tcPr>
          <w:p>
            <w:r/>
            <w:r>
              <w:rPr>
                <w:rFonts w:ascii="Times New Roman" w:hAnsi="Times New Roman" w:cs="Times New Roman"/>
                <w:b w:val="0"/>
                <w:i w:val="0"/>
                <w:sz w:val="18"/>
              </w:rPr>
              <w:t>R9 Reserva teorica</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identidad revista</w:t>
            </w:r>
          </w:p>
        </w:tc>
      </w:tr>
      <w:tr>
        <w:tc>
          <w:tcPr>
            <w:tcW w:type="dxa" w:w="1881"/>
          </w:tcPr>
          <w:p>
            <w:r/>
            <w:r>
              <w:rPr>
                <w:rFonts w:ascii="Times New Roman" w:hAnsi="Times New Roman" w:cs="Times New Roman"/>
                <w:b/>
                <w:i w:val="0"/>
                <w:sz w:val="18"/>
              </w:rPr>
              <w:t>R10</w:t>
            </w:r>
            <w:r>
              <w:rPr>
                <w:rFonts w:ascii="Times New Roman" w:hAnsi="Times New Roman" w:cs="Times New Roman"/>
                <w:b w:val="0"/>
                <w:i w:val="0"/>
                <w:sz w:val="18"/>
              </w:rPr>
              <w:t xml:space="preserve"> Politica autocita</w:t>
            </w:r>
          </w:p>
        </w:tc>
        <w:tc>
          <w:tcPr>
            <w:tcW w:type="dxa" w:w="1881"/>
          </w:tcPr>
          <w:p>
            <w:r/>
            <w:r>
              <w:rPr>
                <w:rFonts w:ascii="Times New Roman" w:hAnsi="Times New Roman" w:cs="Times New Roman"/>
                <w:b w:val="0"/>
                <w:i w:val="0"/>
                <w:sz w:val="18"/>
              </w:rPr>
              <w:t>Bajo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Scopus</w:t>
            </w:r>
          </w:p>
        </w:tc>
      </w:tr>
      <w:tr>
        <w:tc>
          <w:tcPr>
            <w:tcW w:type="dxa" w:w="1881"/>
          </w:tcPr>
          <w:p>
            <w:r/>
            <w:r>
              <w:rPr>
                <w:rFonts w:ascii="Times New Roman" w:hAnsi="Times New Roman" w:cs="Times New Roman"/>
                <w:b/>
                <w:i w:val="0"/>
                <w:sz w:val="18"/>
              </w:rPr>
              <w:t>R11</w:t>
            </w:r>
            <w:r>
              <w:rPr>
                <w:rFonts w:ascii="Times New Roman" w:hAnsi="Times New Roman" w:cs="Times New Roman"/>
                <w:b w:val="0"/>
                <w:i w:val="0"/>
                <w:sz w:val="18"/>
              </w:rPr>
              <w:t xml:space="preserve"> OJS</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profesionalizacion</w:t>
            </w:r>
          </w:p>
        </w:tc>
      </w:tr>
      <w:tr>
        <w:tc>
          <w:tcPr>
            <w:tcW w:type="dxa" w:w="1881"/>
          </w:tcPr>
          <w:p>
            <w:r/>
            <w:r>
              <w:rPr>
                <w:rFonts w:ascii="Times New Roman" w:hAnsi="Times New Roman" w:cs="Times New Roman"/>
                <w:b/>
                <w:i w:val="0"/>
                <w:sz w:val="18"/>
              </w:rPr>
              <w:t>R12</w:t>
            </w:r>
            <w:r>
              <w:rPr>
                <w:rFonts w:ascii="Times New Roman" w:hAnsi="Times New Roman" w:cs="Times New Roman"/>
                <w:b w:val="0"/>
                <w:i w:val="0"/>
                <w:sz w:val="18"/>
              </w:rPr>
              <w:t xml:space="preserve"> Scopus</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Muy alto</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salto cualitativo</w:t>
            </w:r>
          </w:p>
        </w:tc>
      </w:tr>
      <w:tr>
        <w:tc>
          <w:tcPr>
            <w:tcW w:type="dxa" w:w="1881"/>
          </w:tcPr>
          <w:p>
            <w:r/>
            <w:r>
              <w:rPr>
                <w:rFonts w:ascii="Times New Roman" w:hAnsi="Times New Roman" w:cs="Times New Roman"/>
                <w:b w:val="0"/>
                <w:i w:val="0"/>
                <w:sz w:val="18"/>
              </w:rPr>
              <w:t>R13 ESCI</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Alto</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JCI observable</w:t>
            </w:r>
          </w:p>
        </w:tc>
      </w:tr>
      <w:tr>
        <w:tc>
          <w:tcPr>
            <w:tcW w:type="dxa" w:w="1881"/>
          </w:tcPr>
          <w:p>
            <w:r/>
            <w:r>
              <w:rPr>
                <w:rFonts w:ascii="Times New Roman" w:hAnsi="Times New Roman" w:cs="Times New Roman"/>
                <w:b w:val="0"/>
                <w:i w:val="0"/>
                <w:sz w:val="18"/>
              </w:rPr>
              <w:t>R14 Co-publisher</w:t>
            </w:r>
          </w:p>
        </w:tc>
        <w:tc>
          <w:tcPr>
            <w:tcW w:type="dxa" w:w="1881"/>
          </w:tcPr>
          <w:p>
            <w:r/>
            <w:r>
              <w:rPr>
                <w:rFonts w:ascii="Times New Roman" w:hAnsi="Times New Roman" w:cs="Times New Roman"/>
                <w:b w:val="0"/>
                <w:i w:val="0"/>
                <w:sz w:val="18"/>
              </w:rPr>
              <w:t>Muy alto</w:t>
            </w:r>
          </w:p>
        </w:tc>
        <w:tc>
          <w:tcPr>
            <w:tcW w:type="dxa" w:w="1881"/>
          </w:tcPr>
          <w:p>
            <w:r/>
            <w:r>
              <w:rPr>
                <w:rFonts w:ascii="Times New Roman" w:hAnsi="Times New Roman" w:cs="Times New Roman"/>
                <w:b w:val="0"/>
                <w:i w:val="0"/>
                <w:sz w:val="18"/>
              </w:rPr>
              <w:t>Muy alto</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prestigio</w:t>
            </w:r>
          </w:p>
        </w:tc>
      </w:tr>
      <w:tr>
        <w:tc>
          <w:tcPr>
            <w:tcW w:type="dxa" w:w="1881"/>
          </w:tcPr>
          <w:p>
            <w:r/>
            <w:r>
              <w:rPr>
                <w:rFonts w:ascii="Times New Roman" w:hAnsi="Times New Roman" w:cs="Times New Roman"/>
                <w:b w:val="0"/>
                <w:i w:val="0"/>
                <w:sz w:val="18"/>
              </w:rPr>
              <w:t>R15 Doble ciego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Medio</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transparencia</w:t>
            </w:r>
          </w:p>
        </w:tc>
      </w:tr>
    </w:tbl>
    <w:p/>
    <w:p>
      <w:pPr>
        <w:spacing w:after="80"/>
        <w:ind w:firstLine="340"/>
        <w:jc w:val="both"/>
      </w:pPr>
      <w:r>
        <w:rPr>
          <w:rFonts w:ascii="Times New Roman" w:hAnsi="Times New Roman" w:cs="Times New Roman"/>
          <w:b/>
          <w:i w:val="0"/>
          <w:sz w:val="20"/>
        </w:rPr>
        <w:t>Las seis acciones en negrita</w:t>
      </w:r>
      <w:r>
        <w:rPr>
          <w:rFonts w:ascii="Times New Roman" w:hAnsi="Times New Roman" w:cs="Times New Roman"/>
          <w:b w:val="0"/>
          <w:i w:val="0"/>
          <w:sz w:val="20"/>
        </w:rPr>
        <w:t xml:space="preserve"> constituyen el camino critico. Si solo se ejecutan esas, la revista avanza significativamente; si se ejecutan las otras nueve tambien, el salto al grupo de revistas indexadas en Scopus/ESCI es realista a 3 anos.</w:t>
      </w:r>
    </w:p>
    <w:p>
      <w:pPr>
        <w:spacing w:before="160" w:after="80"/>
        <w:jc w:val="left"/>
      </w:pPr>
      <w:r>
        <w:rPr>
          <w:rFonts w:ascii="Arial" w:hAnsi="Arial" w:cs="Arial"/>
          <w:b/>
          <w:i w:val="0"/>
          <w:sz w:val="22"/>
        </w:rPr>
        <w:t>7.7 Coste estimado y recursos necesarios</w:t>
      </w:r>
    </w:p>
    <w:p>
      <w:pPr>
        <w:spacing w:after="80"/>
        <w:ind w:firstLine="340"/>
        <w:jc w:val="both"/>
      </w:pPr>
      <w:r>
        <w:rPr>
          <w:rFonts w:ascii="Times New Roman" w:hAnsi="Times New Roman" w:cs="Times New Roman"/>
          <w:b w:val="0"/>
          <w:i w:val="0"/>
          <w:sz w:val="20"/>
        </w:rPr>
        <w:t>La ejecucion de las 15 recomendaciones implica:</w:t>
      </w:r>
    </w:p>
    <w:p>
      <w:pPr>
        <w:pStyle w:val="ListBullet"/>
        <w:spacing w:after="40" w:line="240" w:lineRule="auto"/>
      </w:pPr>
      <w:r>
        <w:rPr>
          <w:rFonts w:ascii="Times New Roman" w:hAnsi="Times New Roman" w:cs="Times New Roman"/>
          <w:b/>
          <w:i w:val="0"/>
          <w:sz w:val="20"/>
        </w:rPr>
        <w:t>Tiempo editorial del EiC</w:t>
      </w:r>
      <w:r>
        <w:rPr>
          <w:rFonts w:ascii="Times New Roman" w:hAnsi="Times New Roman" w:cs="Times New Roman"/>
          <w:b w:val="0"/>
          <w:i w:val="0"/>
          <w:sz w:val="20"/>
        </w:rPr>
        <w:t>: estimado 8-10 horas/semana durante 24</w:t>
      </w:r>
    </w:p>
    <w:p>
      <w:pPr>
        <w:spacing w:after="80"/>
        <w:ind w:firstLine="340"/>
        <w:jc w:val="both"/>
      </w:pPr>
      <w:r>
        <w:rPr>
          <w:rFonts w:ascii="Times New Roman" w:hAnsi="Times New Roman" w:cs="Times New Roman"/>
          <w:b w:val="0"/>
          <w:i w:val="0"/>
          <w:sz w:val="20"/>
        </w:rPr>
        <w:t>meses para coordinar R6, R7, R11, R12.</w:t>
      </w:r>
    </w:p>
    <w:p>
      <w:pPr>
        <w:pStyle w:val="ListBullet"/>
        <w:spacing w:after="40" w:line="240" w:lineRule="auto"/>
      </w:pPr>
      <w:r>
        <w:rPr>
          <w:rFonts w:ascii="Times New Roman" w:hAnsi="Times New Roman" w:cs="Times New Roman"/>
          <w:b/>
          <w:i w:val="0"/>
          <w:sz w:val="20"/>
        </w:rPr>
        <w:t>Trabajo tecnico</w:t>
      </w:r>
      <w:r>
        <w:rPr>
          <w:rFonts w:ascii="Times New Roman" w:hAnsi="Times New Roman" w:cs="Times New Roman"/>
          <w:b w:val="0"/>
          <w:i w:val="0"/>
          <w:sz w:val="20"/>
        </w:rPr>
        <w:t>: 2 semanas de desarrollo web para R2, 4 semanas</w:t>
      </w:r>
    </w:p>
    <w:p>
      <w:pPr>
        <w:spacing w:after="80"/>
        <w:ind w:firstLine="340"/>
        <w:jc w:val="both"/>
      </w:pPr>
      <w:r>
        <w:rPr>
          <w:rFonts w:ascii="Times New Roman" w:hAnsi="Times New Roman" w:cs="Times New Roman"/>
          <w:b w:val="0"/>
          <w:i w:val="0"/>
          <w:sz w:val="20"/>
        </w:rPr>
        <w:t>para R11.</w:t>
      </w:r>
    </w:p>
    <w:p>
      <w:pPr>
        <w:pStyle w:val="ListBullet"/>
        <w:spacing w:after="40" w:line="240" w:lineRule="auto"/>
      </w:pPr>
      <w:r>
        <w:rPr>
          <w:rFonts w:ascii="Times New Roman" w:hAnsi="Times New Roman" w:cs="Times New Roman"/>
          <w:b/>
          <w:i w:val="0"/>
          <w:sz w:val="20"/>
        </w:rPr>
        <w:t>Contribucion externa</w:t>
      </w:r>
      <w:r>
        <w:rPr>
          <w:rFonts w:ascii="Times New Roman" w:hAnsi="Times New Roman" w:cs="Times New Roman"/>
          <w:b w:val="0"/>
          <w:i w:val="0"/>
          <w:sz w:val="20"/>
        </w:rPr>
        <w:t>: Board member part-time de soporte al</w:t>
      </w:r>
    </w:p>
    <w:p>
      <w:pPr>
        <w:spacing w:after="80"/>
        <w:ind w:firstLine="340"/>
        <w:jc w:val="both"/>
      </w:pPr>
      <w:r>
        <w:rPr>
          <w:rFonts w:ascii="Times New Roman" w:hAnsi="Times New Roman" w:cs="Times New Roman"/>
          <w:b w:val="0"/>
          <w:i w:val="0"/>
          <w:sz w:val="20"/>
        </w:rPr>
        <w:t>proceso Scopus, 2-4 horas/semana.</w:t>
      </w:r>
    </w:p>
    <w:p>
      <w:pPr>
        <w:pStyle w:val="ListBullet"/>
        <w:spacing w:after="40" w:line="240" w:lineRule="auto"/>
      </w:pPr>
      <w:r>
        <w:rPr>
          <w:rFonts w:ascii="Times New Roman" w:hAnsi="Times New Roman" w:cs="Times New Roman"/>
          <w:b/>
          <w:i w:val="0"/>
          <w:sz w:val="20"/>
        </w:rPr>
        <w:t>Coste monetario</w:t>
      </w:r>
      <w:r>
        <w:rPr>
          <w:rFonts w:ascii="Times New Roman" w:hAnsi="Times New Roman" w:cs="Times New Roman"/>
          <w:b w:val="0"/>
          <w:i w:val="0"/>
          <w:sz w:val="20"/>
        </w:rPr>
        <w:t>: OJS hosting gestionado ~600 USD/ano, traduccion</w:t>
      </w:r>
    </w:p>
    <w:p>
      <w:pPr>
        <w:spacing w:after="80"/>
        <w:ind w:firstLine="340"/>
        <w:jc w:val="both"/>
      </w:pPr>
      <w:r>
        <w:rPr>
          <w:rFonts w:ascii="Times New Roman" w:hAnsi="Times New Roman" w:cs="Times New Roman"/>
          <w:b w:val="0"/>
          <w:i w:val="0"/>
          <w:sz w:val="20"/>
        </w:rPr>
        <w:t>profesional de instrucciones ~400 USD, costos administrativos ISSN y alta DOAJ ~0 USD. Total: ~1.000 USD/ano recurrente + ~2.000 USD iniciales.</w:t>
      </w:r>
    </w:p>
    <w:p>
      <w:pPr>
        <w:spacing w:after="80"/>
        <w:ind w:firstLine="340"/>
        <w:jc w:val="both"/>
      </w:pPr>
      <w:r>
        <w:rPr>
          <w:rFonts w:ascii="Times New Roman" w:hAnsi="Times New Roman" w:cs="Times New Roman"/>
          <w:b w:val="0"/>
          <w:i w:val="0"/>
          <w:sz w:val="20"/>
        </w:rPr>
        <w:t>Los costos son modestos; el cuello de botella es tiempo editorial del EiC y coordinacion del Editorial Board renovado. Un calendario realista distribuye las 15 acciones en cuatro oleadas trimestrales durante 36 meses.</w:t>
      </w:r>
    </w:p>
    <w:p>
      <w:pPr>
        <w:spacing w:before="240" w:after="120"/>
        <w:jc w:val="left"/>
      </w:pPr>
      <w:r>
        <w:rPr>
          <w:rFonts w:ascii="Arial" w:hAnsi="Arial" w:cs="Arial"/>
          <w:b/>
          <w:i w:val="0"/>
          <w:sz w:val="24"/>
        </w:rPr>
        <w:t>Referencias</w:t>
      </w:r>
    </w:p>
    <w:p>
      <w:pPr>
        <w:spacing w:after="60" w:line="240" w:lineRule="auto"/>
        <w:ind w:left="283" w:hanging="283"/>
        <w:jc w:val="left"/>
      </w:pPr>
      <w:r>
        <w:rPr>
          <w:rFonts w:ascii="Times New Roman" w:hAnsi="Times New Roman" w:cs="Times New Roman"/>
          <w:b/>
          <w:i w:val="0"/>
          <w:sz w:val="18"/>
        </w:rPr>
        <w:t xml:space="preserve">[1] </w:t>
      </w:r>
      <w:r>
        <w:rPr>
          <w:rFonts w:ascii="Times New Roman" w:hAnsi="Times New Roman" w:cs="Times New Roman"/>
          <w:b w:val="0"/>
          <w:i w:val="0"/>
          <w:sz w:val="18"/>
        </w:rPr>
        <w:t>Lotka, Alfred J.. 1926. The frequency distribution of scientific productivity. Journal of the Washington Academy of Sciences. 16(12). 317-323.</w:t>
      </w:r>
    </w:p>
    <w:p>
      <w:pPr>
        <w:spacing w:after="60" w:line="240" w:lineRule="auto"/>
        <w:ind w:left="283" w:hanging="283"/>
        <w:jc w:val="left"/>
      </w:pPr>
      <w:r>
        <w:rPr>
          <w:rFonts w:ascii="Times New Roman" w:hAnsi="Times New Roman" w:cs="Times New Roman"/>
          <w:b/>
          <w:i w:val="0"/>
          <w:sz w:val="18"/>
        </w:rPr>
        <w:t xml:space="preserve">[2] </w:t>
      </w:r>
      <w:r>
        <w:rPr>
          <w:rFonts w:ascii="Times New Roman" w:hAnsi="Times New Roman" w:cs="Times New Roman"/>
          <w:b w:val="0"/>
          <w:i w:val="0"/>
          <w:sz w:val="18"/>
        </w:rPr>
        <w:t>Bradford, Samuel C.. 1934. Sources of information on specific subjects. Engineering. 137(3550). 85-86.</w:t>
      </w:r>
    </w:p>
    <w:p>
      <w:pPr>
        <w:spacing w:after="60" w:line="240" w:lineRule="auto"/>
        <w:ind w:left="283" w:hanging="283"/>
        <w:jc w:val="left"/>
      </w:pPr>
      <w:r>
        <w:rPr>
          <w:rFonts w:ascii="Times New Roman" w:hAnsi="Times New Roman" w:cs="Times New Roman"/>
          <w:b/>
          <w:i w:val="0"/>
          <w:sz w:val="18"/>
        </w:rPr>
        <w:t xml:space="preserve">[3] </w:t>
      </w:r>
      <w:r>
        <w:rPr>
          <w:rFonts w:ascii="Times New Roman" w:hAnsi="Times New Roman" w:cs="Times New Roman"/>
          <w:b w:val="0"/>
          <w:i w:val="0"/>
          <w:sz w:val="18"/>
        </w:rPr>
        <w:t>Garfield, Eugene. 1972. Citation analysis as a tool in journal evaluation. Science. 178(4060). 471-479. https://doi.org/10.1126/science.178.4060.471</w:t>
      </w:r>
    </w:p>
    <w:p>
      <w:pPr>
        <w:spacing w:after="60" w:line="240" w:lineRule="auto"/>
        <w:ind w:left="283" w:hanging="283"/>
        <w:jc w:val="left"/>
      </w:pPr>
      <w:r>
        <w:rPr>
          <w:rFonts w:ascii="Times New Roman" w:hAnsi="Times New Roman" w:cs="Times New Roman"/>
          <w:b/>
          <w:i w:val="0"/>
          <w:sz w:val="18"/>
        </w:rPr>
        <w:t xml:space="preserve">[4] </w:t>
      </w:r>
      <w:r>
        <w:rPr>
          <w:rFonts w:ascii="Times New Roman" w:hAnsi="Times New Roman" w:cs="Times New Roman"/>
          <w:b w:val="0"/>
          <w:i w:val="0"/>
          <w:sz w:val="18"/>
        </w:rPr>
        <w:t>Seglen, Per O.. 1992. How representative is the journal impact factor?. Research Evaluation. 2(3). 143-149. https://doi.org/10.1093/rev/2.3.143</w:t>
      </w:r>
    </w:p>
    <w:p>
      <w:pPr>
        <w:spacing w:after="60" w:line="240" w:lineRule="auto"/>
        <w:ind w:left="283" w:hanging="283"/>
        <w:jc w:val="left"/>
      </w:pPr>
      <w:r>
        <w:rPr>
          <w:rFonts w:ascii="Times New Roman" w:hAnsi="Times New Roman" w:cs="Times New Roman"/>
          <w:b/>
          <w:i w:val="0"/>
          <w:sz w:val="18"/>
        </w:rPr>
        <w:t xml:space="preserve">[5] </w:t>
      </w:r>
      <w:r>
        <w:rPr>
          <w:rFonts w:ascii="Times New Roman" w:hAnsi="Times New Roman" w:cs="Times New Roman"/>
          <w:b w:val="0"/>
          <w:i w:val="0"/>
          <w:sz w:val="18"/>
        </w:rPr>
        <w:t>Haas, Peter M.. 1992. Introduction: Epistemic Communities and International Policy Coordination. International Organization. 46(1). 1-35. https://doi.org/10.1017/S0020818300001442</w:t>
      </w:r>
    </w:p>
    <w:p>
      <w:pPr>
        <w:spacing w:after="60" w:line="240" w:lineRule="auto"/>
        <w:ind w:left="283" w:hanging="283"/>
        <w:jc w:val="left"/>
      </w:pPr>
      <w:r>
        <w:rPr>
          <w:rFonts w:ascii="Times New Roman" w:hAnsi="Times New Roman" w:cs="Times New Roman"/>
          <w:b/>
          <w:i w:val="0"/>
          <w:sz w:val="18"/>
        </w:rPr>
        <w:t xml:space="preserve">[6] </w:t>
      </w:r>
      <w:r>
        <w:rPr>
          <w:rFonts w:ascii="Times New Roman" w:hAnsi="Times New Roman" w:cs="Times New Roman"/>
          <w:b w:val="0"/>
          <w:i w:val="0"/>
          <w:sz w:val="18"/>
        </w:rPr>
        <w:t>Newman, M. E. J.. 2005. Power laws, Pareto distributions and Zipf's law. Contemporary Physics. 46(5). 323-351. https://doi.org/10.1080/00107510500052444</w:t>
      </w:r>
    </w:p>
    <w:p>
      <w:pPr>
        <w:spacing w:after="60" w:line="240" w:lineRule="auto"/>
        <w:ind w:left="283" w:hanging="283"/>
        <w:jc w:val="left"/>
      </w:pPr>
      <w:r>
        <w:rPr>
          <w:rFonts w:ascii="Times New Roman" w:hAnsi="Times New Roman" w:cs="Times New Roman"/>
          <w:b/>
          <w:i w:val="0"/>
          <w:sz w:val="18"/>
        </w:rPr>
        <w:t xml:space="preserve">[7] </w:t>
      </w:r>
      <w:r>
        <w:rPr>
          <w:rFonts w:ascii="Times New Roman" w:hAnsi="Times New Roman" w:cs="Times New Roman"/>
          <w:b w:val="0"/>
          <w:i w:val="0"/>
          <w:sz w:val="18"/>
        </w:rPr>
        <w:t>Tarjan, Robert E.. 1975. Efficiency of a Good But Not Linear Set Union Algorithm. Journal of the ACM. 22(2). 215-225. https://doi.org/10.1145/321879.321884</w:t>
      </w:r>
    </w:p>
    <w:p>
      <w:pPr>
        <w:spacing w:after="60" w:line="240" w:lineRule="auto"/>
        <w:ind w:left="283" w:hanging="283"/>
        <w:jc w:val="left"/>
      </w:pPr>
      <w:r>
        <w:rPr>
          <w:rFonts w:ascii="Times New Roman" w:hAnsi="Times New Roman" w:cs="Times New Roman"/>
          <w:b/>
          <w:i w:val="0"/>
          <w:sz w:val="18"/>
        </w:rPr>
        <w:t xml:space="preserve">[8] </w:t>
      </w:r>
      <w:r>
        <w:rPr>
          <w:rFonts w:ascii="Times New Roman" w:hAnsi="Times New Roman" w:cs="Times New Roman"/>
          <w:b w:val="0"/>
          <w:i w:val="0"/>
          <w:sz w:val="18"/>
        </w:rPr>
        <w:t>Blondel, Vincent D., Guillaume, Jean-Loup, Lambiotte, Renaud, Lefebvre, Etienne. 2008. Fast unfolding of communities in large networks. Journal of Statistical Mechanics: Theory and Experiment. 2008(10). P10008. https://doi.org/10.1088/1742-5468/2008/10/P10008</w:t>
      </w:r>
    </w:p>
    <w:p>
      <w:pPr>
        <w:spacing w:after="60" w:line="240" w:lineRule="auto"/>
        <w:ind w:left="283" w:hanging="283"/>
        <w:jc w:val="left"/>
      </w:pPr>
      <w:r>
        <w:rPr>
          <w:rFonts w:ascii="Times New Roman" w:hAnsi="Times New Roman" w:cs="Times New Roman"/>
          <w:b/>
          <w:i w:val="0"/>
          <w:sz w:val="18"/>
        </w:rPr>
        <w:t xml:space="preserve">[9] </w:t>
      </w:r>
      <w:r>
        <w:rPr>
          <w:rFonts w:ascii="Times New Roman" w:hAnsi="Times New Roman" w:cs="Times New Roman"/>
          <w:b w:val="0"/>
          <w:i w:val="0"/>
          <w:sz w:val="18"/>
        </w:rPr>
        <w:t>Grootendorst, Maarten. 2022. BERTopic: Neural topic modeling with a class-based TF-IDF procedure. arXiv preprint arXiv:2203.05794. https://doi.org/10.48550/arXiv.2203.05794</w:t>
      </w:r>
    </w:p>
    <w:p>
      <w:pPr>
        <w:spacing w:after="60" w:line="240" w:lineRule="auto"/>
        <w:ind w:left="283" w:hanging="283"/>
        <w:jc w:val="left"/>
      </w:pPr>
      <w:r>
        <w:rPr>
          <w:rFonts w:ascii="Times New Roman" w:hAnsi="Times New Roman" w:cs="Times New Roman"/>
          <w:b/>
          <w:i w:val="0"/>
          <w:sz w:val="18"/>
        </w:rPr>
        <w:t xml:space="preserve">[10] </w:t>
      </w:r>
      <w:r>
        <w:rPr>
          <w:rFonts w:ascii="Times New Roman" w:hAnsi="Times New Roman" w:cs="Times New Roman"/>
          <w:b w:val="0"/>
          <w:i w:val="0"/>
          <w:sz w:val="18"/>
        </w:rPr>
        <w:t>McInnes, Leland, Healy, John, Melville, James. 2018. UMAP: Uniform Manifold Approximation and Projection for Dimension Reduction. arXiv preprint arXiv:1802.03426. https://doi.org/10.48550/arXiv.1802.03426</w:t>
      </w:r>
    </w:p>
    <w:p>
      <w:pPr>
        <w:spacing w:after="60" w:line="240" w:lineRule="auto"/>
        <w:ind w:left="283" w:hanging="283"/>
        <w:jc w:val="left"/>
      </w:pPr>
      <w:r>
        <w:rPr>
          <w:rFonts w:ascii="Times New Roman" w:hAnsi="Times New Roman" w:cs="Times New Roman"/>
          <w:b/>
          <w:i w:val="0"/>
          <w:sz w:val="18"/>
        </w:rPr>
        <w:t xml:space="preserve">[11] </w:t>
      </w:r>
      <w:r>
        <w:rPr>
          <w:rFonts w:ascii="Times New Roman" w:hAnsi="Times New Roman" w:cs="Times New Roman"/>
          <w:b w:val="0"/>
          <w:i w:val="0"/>
          <w:sz w:val="18"/>
        </w:rPr>
        <w:t>Reimers, Nils, Gurevych, Iryna. 2019. Sentence-BERT: Sentence Embeddings using Siamese BERT-Networks. Proceedings of the 2019 Conference on Empirical Methods in Natural Language Processing. https://doi.org/10.18653/v1/D19-1410</w:t>
      </w:r>
    </w:p>
    <w:p>
      <w:pPr>
        <w:spacing w:after="60" w:line="240" w:lineRule="auto"/>
        <w:ind w:left="283" w:hanging="283"/>
        <w:jc w:val="left"/>
      </w:pPr>
      <w:r>
        <w:rPr>
          <w:rFonts w:ascii="Times New Roman" w:hAnsi="Times New Roman" w:cs="Times New Roman"/>
          <w:b/>
          <w:i w:val="0"/>
          <w:sz w:val="18"/>
        </w:rPr>
        <w:t xml:space="preserve">[12] </w:t>
      </w:r>
      <w:r>
        <w:rPr>
          <w:rFonts w:ascii="Times New Roman" w:hAnsi="Times New Roman" w:cs="Times New Roman"/>
          <w:b w:val="0"/>
          <w:i w:val="0"/>
          <w:sz w:val="18"/>
        </w:rPr>
        <w:t>Harzing, Anne-Wil K., van der Wal, Ron. 2008. Google Scholar as a new source for citation analysis. Ethics in Science and Environmental Politics. 8(1). 61-73. https://doi.org/10.3354/esep00076</w:t>
      </w:r>
    </w:p>
    <w:p>
      <w:pPr>
        <w:spacing w:after="60" w:line="240" w:lineRule="auto"/>
        <w:ind w:left="283" w:hanging="283"/>
        <w:jc w:val="left"/>
      </w:pPr>
      <w:r>
        <w:rPr>
          <w:rFonts w:ascii="Times New Roman" w:hAnsi="Times New Roman" w:cs="Times New Roman"/>
          <w:b/>
          <w:i w:val="0"/>
          <w:sz w:val="18"/>
        </w:rPr>
        <w:t xml:space="preserve">[13] </w:t>
      </w:r>
      <w:r>
        <w:rPr>
          <w:rFonts w:ascii="Times New Roman" w:hAnsi="Times New Roman" w:cs="Times New Roman"/>
          <w:b w:val="0"/>
          <w:i w:val="0"/>
          <w:sz w:val="18"/>
        </w:rPr>
        <w:t>Mart\'\in-Mart\'\in, Alberto, Thelwall, Mike, Orduna-Malea, Enrique, Delgado L\'opez-C\'ozar, Emilio. 2021. Google Scholar, Microsoft Academic, Scopus, Dimensions, Web of Science, and OpenCitations' COCI: a multidisciplinary comparison of coverage via citations. Scientometrics. 126(1). 871-906. https://doi.org/10.1007/s11192-020-03690-4</w:t>
      </w:r>
    </w:p>
    <w:p>
      <w:pPr>
        <w:spacing w:after="60" w:line="240" w:lineRule="auto"/>
        <w:ind w:left="283" w:hanging="283"/>
        <w:jc w:val="left"/>
      </w:pPr>
      <w:r>
        <w:rPr>
          <w:rFonts w:ascii="Times New Roman" w:hAnsi="Times New Roman" w:cs="Times New Roman"/>
          <w:b/>
          <w:i w:val="0"/>
          <w:sz w:val="18"/>
        </w:rPr>
        <w:t xml:space="preserve">[14] </w:t>
      </w:r>
      <w:r>
        <w:rPr>
          <w:rFonts w:ascii="Times New Roman" w:hAnsi="Times New Roman" w:cs="Times New Roman"/>
          <w:b w:val="0"/>
          <w:i w:val="0"/>
          <w:sz w:val="18"/>
        </w:rPr>
        <w:t>Priem, Jason, Piwowar, Heather, Orr, Richard. 2022. OpenAlex: A fully-open index of scholarly works, authors, venues, institutions, and concepts. arXiv preprint arXiv:2205.01833. https://doi.org/10.48550/arXiv.2205.01833</w:t>
      </w:r>
    </w:p>
    <w:p>
      <w:pPr>
        <w:spacing w:after="60" w:line="240" w:lineRule="auto"/>
        <w:ind w:left="283" w:hanging="283"/>
        <w:jc w:val="left"/>
      </w:pPr>
      <w:r>
        <w:rPr>
          <w:rFonts w:ascii="Times New Roman" w:hAnsi="Times New Roman" w:cs="Times New Roman"/>
          <w:b/>
          <w:i w:val="0"/>
          <w:sz w:val="18"/>
        </w:rPr>
        <w:t xml:space="preserve">[15] </w:t>
      </w:r>
      <w:r>
        <w:rPr>
          <w:rFonts w:ascii="Times New Roman" w:hAnsi="Times New Roman" w:cs="Times New Roman"/>
          <w:b w:val="0"/>
          <w:i w:val="0"/>
          <w:sz w:val="18"/>
        </w:rPr>
        <w:t>Page, Matthew J., McKenzie, Joanne E., Bossuyt, Patrick M., Boutron, Isabelle, Hoffmann, Tammy C., Mulrow, Cynthia D., others. 2021. The PRISMA 2020 statement: an updated guideline for reporting systematic reviews. BMJ. 372. n71. https://doi.org/10.1136/bmj.n71</w:t>
      </w:r>
    </w:p>
    <w:p>
      <w:pPr>
        <w:spacing w:after="60" w:line="240" w:lineRule="auto"/>
        <w:ind w:left="283" w:hanging="283"/>
        <w:jc w:val="left"/>
      </w:pPr>
      <w:r>
        <w:rPr>
          <w:rFonts w:ascii="Times New Roman" w:hAnsi="Times New Roman" w:cs="Times New Roman"/>
          <w:b/>
          <w:i w:val="0"/>
          <w:sz w:val="18"/>
        </w:rPr>
        <w:t xml:space="preserve">[16] </w:t>
      </w:r>
      <w:r>
        <w:rPr>
          <w:rFonts w:ascii="Times New Roman" w:hAnsi="Times New Roman" w:cs="Times New Roman"/>
          <w:b w:val="0"/>
          <w:i w:val="0"/>
          <w:sz w:val="18"/>
        </w:rPr>
        <w:t>Smarandache, Florentin. 1998. A Unifying Field in Logics: Neutrosophic Logic. Neutrosophy, Neutrosophic Set, Neutrosophic Probability. American Research Press.</w:t>
      </w:r>
    </w:p>
    <w:p>
      <w:pPr>
        <w:spacing w:after="60" w:line="240" w:lineRule="auto"/>
        <w:ind w:left="283" w:hanging="283"/>
        <w:jc w:val="left"/>
      </w:pPr>
      <w:r>
        <w:rPr>
          <w:rFonts w:ascii="Times New Roman" w:hAnsi="Times New Roman" w:cs="Times New Roman"/>
          <w:b/>
          <w:i w:val="0"/>
          <w:sz w:val="18"/>
        </w:rPr>
        <w:t xml:space="preserve">[17] </w:t>
      </w:r>
      <w:r>
        <w:rPr>
          <w:rFonts w:ascii="Times New Roman" w:hAnsi="Times New Roman" w:cs="Times New Roman"/>
          <w:b w:val="0"/>
          <w:i w:val="0"/>
          <w:sz w:val="18"/>
        </w:rPr>
        <w:t>Smarandache, Florentin. 1999. A Unifying Field in Logics: Neutrosophic Logic. Neutrosophy, Neutrosophic Set, Neutrosophic Probability and Statistics. American Research Press.</w:t>
      </w:r>
    </w:p>
    <w:p>
      <w:pPr>
        <w:spacing w:after="60" w:line="240" w:lineRule="auto"/>
        <w:ind w:left="283" w:hanging="283"/>
        <w:jc w:val="left"/>
      </w:pPr>
      <w:r>
        <w:rPr>
          <w:rFonts w:ascii="Times New Roman" w:hAnsi="Times New Roman" w:cs="Times New Roman"/>
          <w:b/>
          <w:i w:val="0"/>
          <w:sz w:val="18"/>
        </w:rPr>
        <w:t xml:space="preserve">[18] </w:t>
      </w:r>
      <w:r>
        <w:rPr>
          <w:rFonts w:ascii="Times New Roman" w:hAnsi="Times New Roman" w:cs="Times New Roman"/>
          <w:b w:val="0"/>
          <w:i w:val="0"/>
          <w:sz w:val="18"/>
        </w:rPr>
        <w:t>Woodall, William H., Faltin, Frederick W., Reynolds, Marion R.. 2025. A critical evaluation of neutrosophic methods in statistical process control and decision making. Quality Engineering. https://doi.org/10.1080/08982112.2025.2482198</w:t>
      </w:r>
    </w:p>
    <w:p>
      <w:pPr>
        <w:spacing w:after="60" w:line="240" w:lineRule="auto"/>
        <w:ind w:left="283" w:hanging="283"/>
        <w:jc w:val="left"/>
      </w:pPr>
      <w:r>
        <w:rPr>
          <w:rFonts w:ascii="Times New Roman" w:hAnsi="Times New Roman" w:cs="Times New Roman"/>
          <w:b/>
          <w:i w:val="0"/>
          <w:sz w:val="18"/>
        </w:rPr>
        <w:t xml:space="preserve">[19] </w:t>
      </w:r>
      <w:r>
        <w:rPr>
          <w:rFonts w:ascii="Times New Roman" w:hAnsi="Times New Roman" w:cs="Times New Roman"/>
          <w:b w:val="0"/>
          <w:i w:val="0"/>
          <w:sz w:val="18"/>
        </w:rPr>
        <w:t>Hirsch, J. E.. 2005. An index to quantify an individual's scientific research output. Proceedings of the National Academy of Sciences. 102(46). 16569-16572. https://doi.org/10.1073/pnas.0507655102</w:t>
      </w:r>
    </w:p>
    <w:p>
      <w:pPr>
        <w:spacing w:after="60" w:line="240" w:lineRule="auto"/>
        <w:ind w:left="283" w:hanging="283"/>
        <w:jc w:val="left"/>
      </w:pPr>
      <w:r>
        <w:rPr>
          <w:rFonts w:ascii="Times New Roman" w:hAnsi="Times New Roman" w:cs="Times New Roman"/>
          <w:b/>
          <w:i w:val="0"/>
          <w:sz w:val="18"/>
        </w:rPr>
        <w:t xml:space="preserve">[20] </w:t>
      </w:r>
      <w:r>
        <w:rPr>
          <w:rFonts w:ascii="Times New Roman" w:hAnsi="Times New Roman" w:cs="Times New Roman"/>
          <w:b w:val="0"/>
          <w:i w:val="0"/>
          <w:sz w:val="18"/>
        </w:rPr>
        <w:t>Larsen, Peder Olesen, von Ins, Markus. 2010. The rate of growth in scientific publication and the decline in coverage provided by Science Citation Index. Scientometrics. 84(3). 575-603. https://doi.org/10.1007/s11192-010-0202-z</w:t>
      </w:r>
    </w:p>
    <w:p>
      <w:pPr>
        <w:spacing w:after="60" w:line="240" w:lineRule="auto"/>
        <w:ind w:left="283" w:hanging="283"/>
        <w:jc w:val="left"/>
      </w:pPr>
      <w:r>
        <w:rPr>
          <w:rFonts w:ascii="Times New Roman" w:hAnsi="Times New Roman" w:cs="Times New Roman"/>
          <w:b/>
          <w:i w:val="0"/>
          <w:sz w:val="18"/>
        </w:rPr>
        <w:t xml:space="preserve">[21] </w:t>
      </w:r>
      <w:r>
        <w:rPr>
          <w:rFonts w:ascii="Times New Roman" w:hAnsi="Times New Roman" w:cs="Times New Roman"/>
          <w:b w:val="0"/>
          <w:i w:val="0"/>
          <w:sz w:val="18"/>
        </w:rPr>
        <w:t>Petrou, Christos. 2020. MDPI's remarkable growth. The Scholarly Kitchen.</w:t>
      </w:r>
    </w:p>
    <w:p>
      <w:pPr>
        <w:spacing w:after="60" w:line="240" w:lineRule="auto"/>
        <w:ind w:left="283" w:hanging="283"/>
        <w:jc w:val="left"/>
      </w:pPr>
      <w:r>
        <w:rPr>
          <w:rFonts w:ascii="Times New Roman" w:hAnsi="Times New Roman" w:cs="Times New Roman"/>
          <w:b/>
          <w:i w:val="0"/>
          <w:sz w:val="18"/>
        </w:rPr>
        <w:t xml:space="preserve">[22] </w:t>
      </w:r>
      <w:r>
        <w:rPr>
          <w:rFonts w:ascii="Times New Roman" w:hAnsi="Times New Roman" w:cs="Times New Roman"/>
          <w:b w:val="0"/>
          <w:i w:val="0"/>
          <w:sz w:val="18"/>
        </w:rPr>
        <w:t>CERN, OpenAIRE. 2013--. Zenodo: Research. Shared.</w:t>
      </w:r>
    </w:p>
    <w:p>
      <w:pPr>
        <w:spacing w:after="60" w:line="240" w:lineRule="auto"/>
        <w:ind w:left="283" w:hanging="283"/>
        <w:jc w:val="left"/>
      </w:pPr>
      <w:r>
        <w:rPr>
          <w:rFonts w:ascii="Times New Roman" w:hAnsi="Times New Roman" w:cs="Times New Roman"/>
          <w:b/>
          <w:i w:val="0"/>
          <w:sz w:val="18"/>
        </w:rPr>
        <w:t xml:space="preserve">[23] </w:t>
      </w:r>
      <w:r>
        <w:rPr>
          <w:rFonts w:ascii="Times New Roman" w:hAnsi="Times New Roman" w:cs="Times New Roman"/>
          <w:b w:val="0"/>
          <w:i w:val="0"/>
          <w:sz w:val="18"/>
        </w:rPr>
        <w:t>Elsevier. 2024. Scopus Content Selection and Advisory Board (CSAB) evaluation criteria.</w:t>
      </w:r>
    </w:p>
    <w:sectPr w:rsidR="00FC693F" w:rsidRPr="0006063C" w:rsidSect="00034616">
      <w:headerReference w:type="default" r:id="rId9"/>
      <w:footerReference w:type="default" r:id="rId2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sz w:val="16"/>
      </w:rPr>
      <w:t>M. Leyva Vazquez, F. Smarandache et al. Retrospectiva bibliometrica NCML 2018-2026.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b/>
        <w:i w:val="0"/>
        <w:sz w:val="20"/>
      </w:rPr>
      <w:t>Neutrosophic Computing and Machine Learning, Vol. 42,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