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40" w:lineRule="auto"/>
        <w:jc w:val="center"/>
      </w:pPr>
      <w:r>
        <w:rPr>
          <w:rFonts w:ascii="Arial" w:hAnsi="Arial" w:cs="Arial"/>
          <w:b/>
          <w:i w:val="0"/>
          <w:sz w:val="20"/>
        </w:rPr>
        <w:t>University of New Mexico</w:t>
      </w:r>
    </w:p>
    <w:p>
      <w:pPr>
        <w:spacing w:after="280" w:line="240" w:lineRule="auto"/>
        <w:jc w:val="center"/>
      </w:pPr>
      <w:r>
        <w:rPr>
          <w:rFonts w:ascii="Arial" w:hAnsi="Arial" w:cs="Arial"/>
          <w:b/>
          <w:i w:val="0"/>
          <w:sz w:val="32"/>
        </w:rPr>
        <w:t>Eight Years of Neutrosophic Computing and Machine Learning: a Bibliometric Retrospective and a Neutrosophic Extension to Bibliometric Analysis (2018–2026)</w:t>
      </w:r>
    </w:p>
    <w:p>
      <w:pPr>
        <w:spacing w:after="80"/>
        <w:jc w:val="center"/>
      </w:pPr>
      <w:r>
        <w:rPr>
          <w:rFonts w:ascii="Arial" w:hAnsi="Arial" w:cs="Arial"/>
          <w:b w:val="0"/>
          <w:i w:val="0"/>
          <w:sz w:val="22"/>
        </w:rPr>
        <w:t>Maikel Leyva Vazquez</w:t>
      </w:r>
      <w:r>
        <w:rPr>
          <w:rFonts w:ascii="Arial" w:hAnsi="Arial" w:cs="Arial"/>
          <w:b w:val="0"/>
          <w:i w:val="0"/>
          <w:sz w:val="16"/>
          <w:vertAlign w:val="superscript"/>
        </w:rPr>
        <w:t>1*</w:t>
      </w:r>
      <w:r>
        <w:rPr>
          <w:rFonts w:ascii="Arial" w:hAnsi="Arial" w:cs="Arial"/>
          <w:b w:val="0"/>
          <w:i w:val="0"/>
          <w:sz w:val="22"/>
        </w:rPr>
        <w:t xml:space="preserve">, </w:t>
      </w:r>
      <w:r>
        <w:rPr>
          <w:rFonts w:ascii="Arial" w:hAnsi="Arial" w:cs="Arial"/>
          <w:b w:val="0"/>
          <w:i w:val="0"/>
          <w:sz w:val="22"/>
        </w:rPr>
        <w:t>Yismandry Gonzalez Vargas</w:t>
      </w:r>
      <w:r>
        <w:rPr>
          <w:rFonts w:ascii="Arial" w:hAnsi="Arial" w:cs="Arial"/>
          <w:b w:val="0"/>
          <w:i w:val="0"/>
          <w:sz w:val="16"/>
          <w:vertAlign w:val="superscript"/>
        </w:rPr>
        <w:t>2</w:t>
      </w:r>
      <w:r>
        <w:rPr>
          <w:rFonts w:ascii="Arial" w:hAnsi="Arial" w:cs="Arial"/>
          <w:b w:val="0"/>
          <w:i w:val="0"/>
          <w:sz w:val="22"/>
        </w:rPr>
        <w:t xml:space="preserve">, </w:t>
      </w:r>
      <w:r>
        <w:rPr>
          <w:rFonts w:ascii="Arial" w:hAnsi="Arial" w:cs="Arial"/>
          <w:b w:val="0"/>
          <w:i w:val="0"/>
          <w:sz w:val="22"/>
        </w:rPr>
        <w:t>Florentin Smarandache</w:t>
      </w:r>
      <w:r>
        <w:rPr>
          <w:rFonts w:ascii="Arial" w:hAnsi="Arial" w:cs="Arial"/>
          <w:b w:val="0"/>
          <w:i w:val="0"/>
          <w:sz w:val="16"/>
          <w:vertAlign w:val="superscript"/>
        </w:rPr>
        <w:t>3</w:t>
      </w:r>
    </w:p>
    <w:p>
      <w:pPr>
        <w:spacing w:after="40"/>
        <w:jc w:val="left"/>
      </w:pPr>
      <w:r>
        <w:rPr>
          <w:rFonts w:ascii="Arial" w:hAnsi="Arial" w:cs="Arial"/>
          <w:b w:val="0"/>
          <w:i w:val="0"/>
          <w:sz w:val="16"/>
          <w:vertAlign w:val="superscript"/>
        </w:rPr>
        <w:t xml:space="preserve">1 </w:t>
      </w:r>
      <w:r>
        <w:rPr>
          <w:rFonts w:ascii="Arial" w:hAnsi="Arial" w:cs="Arial"/>
          <w:b w:val="0"/>
          <w:i w:val="0"/>
          <w:sz w:val="18"/>
        </w:rPr>
        <w:t>Universidad Bolivariana del Ecuador / Universidad de Guayaquil; Editor-in-Chief, Neutrosophic Computing and Machine Learning. E-mail: mleyvaz@gmail.com</w:t>
      </w:r>
    </w:p>
    <w:p>
      <w:pPr>
        <w:spacing w:after="40"/>
        <w:jc w:val="left"/>
      </w:pPr>
      <w:r>
        <w:rPr>
          <w:rFonts w:ascii="Arial" w:hAnsi="Arial" w:cs="Arial"/>
          <w:b w:val="0"/>
          <w:i w:val="0"/>
          <w:sz w:val="16"/>
          <w:vertAlign w:val="superscript"/>
        </w:rPr>
        <w:t xml:space="preserve">2 </w:t>
      </w:r>
      <w:r>
        <w:rPr>
          <w:rFonts w:ascii="Arial" w:hAnsi="Arial" w:cs="Arial"/>
          <w:b w:val="0"/>
          <w:i w:val="0"/>
          <w:sz w:val="18"/>
        </w:rPr>
        <w:t>Asociacion Latinoamericana de Ciencias Neutrosoficas (ALCN), Cuba. E-mail: yismandrygonzalezvargas@gmail.com</w:t>
      </w:r>
    </w:p>
    <w:p>
      <w:pPr>
        <w:spacing w:after="40"/>
        <w:jc w:val="left"/>
      </w:pPr>
      <w:r>
        <w:rPr>
          <w:rFonts w:ascii="Arial" w:hAnsi="Arial" w:cs="Arial"/>
          <w:b w:val="0"/>
          <w:i w:val="0"/>
          <w:sz w:val="16"/>
          <w:vertAlign w:val="superscript"/>
        </w:rPr>
        <w:t xml:space="preserve">3 </w:t>
      </w:r>
      <w:r>
        <w:rPr>
          <w:rFonts w:ascii="Arial" w:hAnsi="Arial" w:cs="Arial"/>
          <w:b w:val="0"/>
          <w:i w:val="0"/>
          <w:sz w:val="18"/>
        </w:rPr>
        <w:t>University of New Mexico, USA; Editor-in-Chief, Neutrosophic Sets and Systems. E-mail: smarand@unm.edu</w:t>
      </w:r>
    </w:p>
    <w:p>
      <w:pPr>
        <w:spacing w:after="240" w:line="240" w:lineRule="auto"/>
        <w:jc w:val="left"/>
      </w:pPr>
      <w:r>
        <w:rPr>
          <w:rFonts w:ascii="Arial" w:hAnsi="Arial" w:cs="Arial"/>
          <w:b w:val="0"/>
          <w:i/>
          <w:sz w:val="18"/>
        </w:rPr>
        <w:t>*Corresponding author: mleyvaz@gmail.com</w:t>
      </w:r>
    </w:p>
    <w:p>
      <w:pPr>
        <w:spacing w:before="280" w:after="120"/>
      </w:pPr>
      <w:r>
        <w:rPr>
          <w:rFonts w:ascii="Arial" w:hAnsi="Arial" w:cs="Arial"/>
          <w:b/>
          <w:i w:val="0"/>
          <w:sz w:val="24"/>
        </w:rPr>
        <w:t>Abstract</w:t>
      </w:r>
    </w:p>
    <w:p>
      <w:pPr>
        <w:spacing w:after="80"/>
        <w:ind w:firstLine="340"/>
        <w:jc w:val="both"/>
      </w:pPr>
      <w:r>
        <w:rPr>
          <w:rFonts w:ascii="Times New Roman" w:hAnsi="Times New Roman" w:cs="Times New Roman"/>
          <w:b w:val="0"/>
          <w:i w:val="0"/>
          <w:sz w:val="20"/>
        </w:rPr>
        <w:t xml:space="preserve">Neutrosophic Computing and Machine Learning (NCML) is the applied-methods journal of the neutrosophic publication ecosystem founded by Smarandache, with 42 volumes published between 2018 and 2026 (partial). No systematic bibliometric retrospective of the journal has been published, and the recent methodological critique of Woodall, Faltin and Reynolds (2025) raises three empirically-testable concerns about the neutrosophic field: methodological concentration, citational concentration, and limited external validation. This paper combines a classical bibliometric retrospective of NCML (Sections 4, 7) with a methodological contribution: the introduction of a </w:t>
      </w:r>
      <w:r>
        <w:rPr>
          <w:rFonts w:ascii="Times New Roman" w:hAnsi="Times New Roman" w:cs="Times New Roman"/>
          <w:b/>
          <w:i w:val="0"/>
          <w:sz w:val="20"/>
        </w:rPr>
        <w:t>neutrosophic bibliometric framework</w:t>
      </w:r>
      <w:r>
        <w:rPr>
          <w:rFonts w:ascii="Times New Roman" w:hAnsi="Times New Roman" w:cs="Times New Roman"/>
          <w:b w:val="0"/>
          <w:i w:val="0"/>
          <w:sz w:val="20"/>
        </w:rPr>
        <w:t xml:space="preserve"> that promotes indeterminacy to a first-class component of measurement (Sections 3, 5).</w:t>
      </w:r>
    </w:p>
    <w:p>
      <w:pPr>
        <w:spacing w:after="80"/>
        <w:ind w:firstLine="340"/>
        <w:jc w:val="both"/>
      </w:pPr>
      <w:r>
        <w:rPr>
          <w:rFonts w:ascii="Times New Roman" w:hAnsi="Times New Roman" w:cs="Times New Roman"/>
          <w:b w:val="0"/>
          <w:i w:val="0"/>
          <w:sz w:val="20"/>
        </w:rPr>
        <w:t xml:space="preserve">We compiled a reproducible corpus of 762 articles through scraping, enriched with OpenAlex (671/719 DOIs) and DataCite (704/719), disambiguated 1 363 unique authors by union-find (four hierarchical rules), fitted the classical Lotka and Bradford laws, built the Louvain co-authorship network, and modeled 24 topics with multilingual embeddings plus UMAP and KMeans on 725 usable abstracts. The neutrosophic framework extends five classical indicators — </w:t>
      </w:r>
      <w:r>
        <w:rPr>
          <w:rFonts w:ascii="Times New Roman" w:hAnsi="Times New Roman" w:cs="Times New Roman"/>
          <w:b w:val="0"/>
          <w:i/>
          <w:sz w:val="20"/>
        </w:rPr>
        <w:t>h</w:t>
      </w:r>
      <w:r>
        <w:rPr>
          <w:rFonts w:ascii="Times New Roman" w:hAnsi="Times New Roman" w:cs="Times New Roman"/>
          <w:b w:val="0"/>
          <w:i w:val="0"/>
          <w:sz w:val="20"/>
        </w:rPr>
        <w:t xml:space="preserve">-index, Lotka exponent, Bradford zone membership, document-topic membership, and co-authorship edge weight — into single-valued neutrosophic triples (T, I, F) whose indeterminacy component is </w:t>
      </w:r>
      <w:r>
        <w:rPr>
          <w:rFonts w:ascii="Times New Roman" w:hAnsi="Times New Roman" w:cs="Times New Roman"/>
          <w:b/>
          <w:i w:val="0"/>
          <w:sz w:val="20"/>
        </w:rPr>
        <w:t>computed from the data rather than elicited from experts</w:t>
      </w:r>
      <w:r>
        <w:rPr>
          <w:rFonts w:ascii="Times New Roman" w:hAnsi="Times New Roman" w:cs="Times New Roman"/>
          <w:b w:val="0"/>
          <w:i w:val="0"/>
          <w:sz w:val="20"/>
        </w:rPr>
        <w:t>. The central operative test of the framework is a neutrosophic aggregated ranking of authors using the SVNWA operator.</w:t>
      </w:r>
    </w:p>
    <w:p>
      <w:pPr>
        <w:spacing w:after="80"/>
        <w:ind w:firstLine="340"/>
        <w:jc w:val="both"/>
      </w:pPr>
      <w:r>
        <w:rPr>
          <w:rFonts w:ascii="Times New Roman" w:hAnsi="Times New Roman" w:cs="Times New Roman"/>
          <w:b w:val="0"/>
          <w:i w:val="0"/>
          <w:sz w:val="20"/>
        </w:rPr>
        <w:t>Classical results confirm a rapidly growing journal with CAGR 42% (2018-2025), a Lotka exponent α = 2.03 (K-S rejected), a Bradford nucleus of five journals concentrating 33% of citations (17% self-citation to the neutrosophic ecosystem), a co-authorship graph of modularity 0.96 with only a 16% main connected component, a topical identity shift of -21.6 pp in the education topic between 2018-2020 and 2023-2025, and an order-of-magnitude discrepancy between citation sources (Google Scholar h5-index = 10 vs OpenAlex h = 1). The neutrosophic analysis decomposes these findings: N-</w:t>
      </w:r>
      <w:r>
        <w:rPr>
          <w:rFonts w:ascii="Times New Roman" w:hAnsi="Times New Roman" w:cs="Times New Roman"/>
          <w:b w:val="0"/>
          <w:i/>
          <w:sz w:val="20"/>
        </w:rPr>
        <w:t>h</w:t>
      </w:r>
      <w:r>
        <w:rPr>
          <w:rFonts w:ascii="Times New Roman" w:hAnsi="Times New Roman" w:cs="Times New Roman"/>
          <w:b w:val="0"/>
          <w:i w:val="0"/>
          <w:sz w:val="20"/>
        </w:rPr>
        <w:t xml:space="preserve">-index (T = 0.04, I = 0.50, F = 0.46), N-Lotka (T = 0, I = 1, F = 0), graded Bradford nucleus membership where only two journals reach T ≥ 0.85, 61% of documents with boundary-topic indeterminacy, and only 1.8% of co-authorship edges with verified-collaboration T ≥ 0.5. </w:t>
      </w:r>
      <w:r>
        <w:rPr>
          <w:rFonts w:ascii="Times New Roman" w:hAnsi="Times New Roman" w:cs="Times New Roman"/>
          <w:b/>
          <w:i w:val="0"/>
          <w:sz w:val="20"/>
        </w:rPr>
        <w:t>The SVNWA aggregated ranking of 146 authors diverges substantially from the classical article-count ranking (Kendall τ = 0.20, top-10 overlap 5/10)</w:t>
      </w:r>
      <w:r>
        <w:rPr>
          <w:rFonts w:ascii="Times New Roman" w:hAnsi="Times New Roman" w:cs="Times New Roman"/>
          <w:b w:val="0"/>
          <w:i w:val="0"/>
          <w:sz w:val="20"/>
        </w:rPr>
        <w:t>, a divergence unreachable by fuzzy, intuitionistic-fuzzy, or probabilistic aggregation without introducing structure equivalent to the (T, I, F) triple. The paper closes with a fifteen-recommendation editorial roadmap organised on a three-year horizon.</w:t>
      </w:r>
    </w:p>
    <w:p>
      <w:pPr>
        <w:spacing w:after="80"/>
        <w:ind w:firstLine="340"/>
        <w:jc w:val="both"/>
      </w:pPr>
      <w:r>
        <w:rPr>
          <w:rFonts w:ascii="Times New Roman" w:hAnsi="Times New Roman" w:cs="Times New Roman"/>
          <w:b/>
          <w:i w:val="0"/>
          <w:sz w:val="20"/>
        </w:rPr>
        <w:t>Keywords:</w:t>
      </w:r>
      <w:r>
        <w:rPr>
          <w:rFonts w:ascii="Times New Roman" w:hAnsi="Times New Roman" w:cs="Times New Roman"/>
          <w:b w:val="0"/>
          <w:i w:val="0"/>
          <w:sz w:val="20"/>
        </w:rPr>
        <w:t xml:space="preserve"> bibliometrics; neutrosophic logic; single-valued neutrosophic numbers; SVNWA aggregation; Lotka's law; Bradford's law; </w:t>
      </w:r>
      <w:r>
        <w:rPr>
          <w:rFonts w:ascii="Times New Roman" w:hAnsi="Times New Roman" w:cs="Times New Roman"/>
          <w:b w:val="0"/>
          <w:i/>
          <w:sz w:val="20"/>
        </w:rPr>
        <w:t>h</w:t>
      </w:r>
      <w:r>
        <w:rPr>
          <w:rFonts w:ascii="Times New Roman" w:hAnsi="Times New Roman" w:cs="Times New Roman"/>
          <w:b w:val="0"/>
          <w:i w:val="0"/>
          <w:sz w:val="20"/>
        </w:rPr>
        <w:t>-index; co-authorship network; topic modeling; Google Scholar Metrics; open-access journals; editorial retrospective; Neutrosophic Computing and Machine Learning.</w:t>
      </w:r>
    </w:p>
    <w:p>
      <w:pPr>
        <w:spacing w:before="280" w:after="120"/>
      </w:pPr>
      <w:r>
        <w:rPr>
          <w:rFonts w:ascii="Arial" w:hAnsi="Arial" w:cs="Arial"/>
          <w:b/>
          <w:i w:val="0"/>
          <w:sz w:val="24"/>
        </w:rPr>
        <w:t>1. Introduction</w:t>
      </w:r>
    </w:p>
    <w:p>
      <w:pPr>
        <w:spacing w:after="80"/>
        <w:ind w:firstLine="340"/>
        <w:jc w:val="both"/>
      </w:pPr>
      <w:r>
        <w:rPr>
          <w:rFonts w:ascii="Times New Roman" w:hAnsi="Times New Roman" w:cs="Times New Roman"/>
          <w:b w:val="0"/>
          <w:i w:val="0"/>
          <w:sz w:val="20"/>
        </w:rPr>
        <w:t>Bibliometric analyses of scientific journals fulfil a triple function in the editorial community: they document the historical evolution of a publication, they expose its collaborative structure, and they surface both strengths and systemic biases for the adjustment of editorial policy [2, 3]. When the signatories are the editors themselves, the exercise acquires the additional character of an internal audit, with the advantage of privileged access to data and the disadvantage of a manifest conflict of interest.</w:t>
      </w:r>
    </w:p>
    <w:p>
      <w:pPr>
        <w:spacing w:after="80"/>
        <w:ind w:firstLine="340"/>
        <w:jc w:val="both"/>
      </w:pPr>
      <w:r>
        <w:rPr>
          <w:rFonts w:ascii="Times New Roman" w:hAnsi="Times New Roman" w:cs="Times New Roman"/>
          <w:b w:val="0"/>
          <w:i w:val="0"/>
          <w:sz w:val="20"/>
        </w:rPr>
        <w:t>Emerging scientific journals in Spanish-speaking countries face a double challenge: demonstrating real impact in an ecosystem whose citation sources are not fully indexed by the commercial bibliographic databases (Scopus, Web of Science), and professionalising their editorial processes to access those databases. The asymmetries between sources — documented by Harzing and van der Wal [12] in the case of Google Scholar versus Web of Science, and extended by Martin-Martin et al. [13] to the Scholar-OpenAlex-Scopus contrast — are particularly severe for Iberoamerican social-science journals and for journals publishing through open-access repositories such as Zenodo or SciELO.</w:t>
      </w:r>
    </w:p>
    <w:p>
      <w:pPr>
        <w:spacing w:after="80"/>
        <w:ind w:firstLine="340"/>
        <w:jc w:val="both"/>
      </w:pPr>
      <w:r>
        <w:rPr>
          <w:rFonts w:ascii="Times New Roman" w:hAnsi="Times New Roman" w:cs="Times New Roman"/>
          <w:b w:val="0"/>
          <w:i w:val="0"/>
          <w:sz w:val="20"/>
        </w:rPr>
        <w:t>Classical bibliometric methods treat as crisp quantities that are fundamentally uncertain. Citation counts collapse when sources disagree by an order of magnitude; the Lotka exponent is reported as a point estimate even when the Kolmogorov-Smirnov (K-S) test rejects the shape hypothesis; Bradford zones partition journals into hard categories despite obvious boundary cases; document-topic assignments are reduced to winner-take-all labels even when soft clustering produces graded probabilities; and co-authorship edges weight a single-paper collaboration identically to a sustained five-paper partnership. This indeterminacy is not measurement noise — it is a genuine property of contemporary bibliographic data, and it is exactly the kind of phenomenon that neutrosophic logic was designed to treat [4].</w:t>
      </w:r>
    </w:p>
    <w:p>
      <w:pPr>
        <w:spacing w:before="200" w:after="80"/>
      </w:pPr>
      <w:r>
        <w:rPr>
          <w:rFonts w:ascii="Arial" w:hAnsi="Arial" w:cs="Arial"/>
          <w:b/>
          <w:i w:val="0"/>
          <w:sz w:val="22"/>
        </w:rPr>
        <w:t>1.1 The neutrosophic ecosystem</w:t>
      </w:r>
    </w:p>
    <w:p>
      <w:pPr>
        <w:spacing w:after="80"/>
        <w:ind w:firstLine="340"/>
        <w:jc w:val="both"/>
      </w:pPr>
      <w:r>
        <w:rPr>
          <w:rFonts w:ascii="Times New Roman" w:hAnsi="Times New Roman" w:cs="Times New Roman"/>
          <w:b w:val="0"/>
          <w:i w:val="0"/>
          <w:sz w:val="20"/>
        </w:rPr>
        <w:t xml:space="preserve">Neutrosophy, formalised by Smarandache in 1998 as a trivalent extension of fuzzy set theory [4, 5], has generated a specific editorial ecosystem articulated around the Neutrosophic Science International Association (NSIA). The doyen of the ecosystem is </w:t>
      </w:r>
      <w:r>
        <w:rPr>
          <w:rFonts w:ascii="Times New Roman" w:hAnsi="Times New Roman" w:cs="Times New Roman"/>
          <w:b w:val="0"/>
          <w:i/>
          <w:sz w:val="20"/>
        </w:rPr>
        <w:t>Neutrosophic Sets and Systems</w:t>
      </w:r>
      <w:r>
        <w:rPr>
          <w:rFonts w:ascii="Times New Roman" w:hAnsi="Times New Roman" w:cs="Times New Roman"/>
          <w:b w:val="0"/>
          <w:i w:val="0"/>
          <w:sz w:val="20"/>
        </w:rPr>
        <w:t xml:space="preserve"> (NSS), founded in 2013 and indexed in Scopus in 2021, with a Google Scholar h5-index of 57 at the end of 2024. The </w:t>
      </w:r>
      <w:r>
        <w:rPr>
          <w:rFonts w:ascii="Times New Roman" w:hAnsi="Times New Roman" w:cs="Times New Roman"/>
          <w:b w:val="0"/>
          <w:i/>
          <w:sz w:val="20"/>
        </w:rPr>
        <w:t>International Journal of Neutrosophic Science</w:t>
      </w:r>
      <w:r>
        <w:rPr>
          <w:rFonts w:ascii="Times New Roman" w:hAnsi="Times New Roman" w:cs="Times New Roman"/>
          <w:b w:val="0"/>
          <w:i w:val="0"/>
          <w:sz w:val="20"/>
        </w:rPr>
        <w:t xml:space="preserve"> (IJNS, 2019; h5-index 31) followed, and as an outlet for applications and computational methods, </w:t>
      </w:r>
      <w:r>
        <w:rPr>
          <w:rFonts w:ascii="Times New Roman" w:hAnsi="Times New Roman" w:cs="Times New Roman"/>
          <w:b w:val="0"/>
          <w:i/>
          <w:sz w:val="20"/>
        </w:rPr>
        <w:t>Neutrosophic Computing and Machine Learning</w:t>
      </w:r>
      <w:r>
        <w:rPr>
          <w:rFonts w:ascii="Times New Roman" w:hAnsi="Times New Roman" w:cs="Times New Roman"/>
          <w:b w:val="0"/>
          <w:i w:val="0"/>
          <w:sz w:val="20"/>
        </w:rPr>
        <w:t xml:space="preserve"> (NCML) began publication in 2018 and to April 2026 accumulates 42 volumes.</w:t>
      </w:r>
    </w:p>
    <w:p>
      <w:pPr>
        <w:spacing w:after="80"/>
        <w:ind w:firstLine="340"/>
        <w:jc w:val="both"/>
      </w:pPr>
      <w:r>
        <w:rPr>
          <w:rFonts w:ascii="Times New Roman" w:hAnsi="Times New Roman" w:cs="Times New Roman"/>
          <w:b w:val="0"/>
          <w:i w:val="0"/>
          <w:sz w:val="20"/>
        </w:rPr>
        <w:t>NCML was conceived as the applied companion to NSS, emphasising case studies, multi-criteria decision-making methods, and software applications. During its early years it published 24-35 articles annually with strong Latin-American representation (principally Cuba and Ecuador). From 2022 onward the journal experienced an editorial expansion that brought production above 250 articles per year in 2025. To the authors' knowledge, no systematic bibliometric retrospective of NCML has been published.</w:t>
      </w:r>
    </w:p>
    <w:p>
      <w:pPr>
        <w:spacing w:before="200" w:after="80"/>
      </w:pPr>
      <w:r>
        <w:rPr>
          <w:rFonts w:ascii="Arial" w:hAnsi="Arial" w:cs="Arial"/>
          <w:b/>
          <w:i w:val="0"/>
          <w:sz w:val="22"/>
        </w:rPr>
        <w:t>1.2 Recent methodological critique: Woodall et al. (2025)</w:t>
      </w:r>
    </w:p>
    <w:p>
      <w:pPr>
        <w:spacing w:after="80"/>
        <w:ind w:firstLine="340"/>
        <w:jc w:val="both"/>
      </w:pPr>
      <w:r>
        <w:rPr>
          <w:rFonts w:ascii="Times New Roman" w:hAnsi="Times New Roman" w:cs="Times New Roman"/>
          <w:b w:val="0"/>
          <w:i w:val="0"/>
          <w:sz w:val="20"/>
        </w:rPr>
        <w:t xml:space="preserve">In April 2025, Woodall, Faltin, and Reynolds published in </w:t>
      </w:r>
      <w:r>
        <w:rPr>
          <w:rFonts w:ascii="Times New Roman" w:hAnsi="Times New Roman" w:cs="Times New Roman"/>
          <w:b w:val="0"/>
          <w:i/>
          <w:sz w:val="20"/>
        </w:rPr>
        <w:t>Quality Engineering</w:t>
      </w:r>
      <w:r>
        <w:rPr>
          <w:rFonts w:ascii="Times New Roman" w:hAnsi="Times New Roman" w:cs="Times New Roman"/>
          <w:b w:val="0"/>
          <w:i w:val="0"/>
          <w:sz w:val="20"/>
        </w:rPr>
        <w:t xml:space="preserve"> a substantive critique of the inferential uses of neutrosophic sets in statistical process control and multi-criteria decision-making [18]. Their central concerns can be synthesised in three points: (i) most reported applications use standard AHP-TOPSIS configurations with neutrosophic numbers without justifying why indeterminacy should be modeled with three components; (ii) comparisons with classical fuzzy or Bayesian approaches are absent or superficial; (iii) the internal citation circle of the neutrosophic ecosystem limits external validation of the methods.</w:t>
      </w:r>
    </w:p>
    <w:p>
      <w:pPr>
        <w:spacing w:after="80"/>
        <w:ind w:firstLine="340"/>
        <w:jc w:val="both"/>
      </w:pPr>
      <w:r>
        <w:rPr>
          <w:rFonts w:ascii="Times New Roman" w:hAnsi="Times New Roman" w:cs="Times New Roman"/>
          <w:b w:val="0"/>
          <w:i w:val="0"/>
          <w:sz w:val="20"/>
        </w:rPr>
        <w:t xml:space="preserve">The critique provides a useful frame for a bibliometric study that documents empirically the three signals Woodall and co-authors denounce as indicative of a self-referential field: methodological concentration, citational concentration, and geographical concentration. The present study adopts this frame explicitly as a working hypothesis, without assuming </w:t>
      </w:r>
      <w:r>
        <w:rPr>
          <w:rFonts w:ascii="Times New Roman" w:hAnsi="Times New Roman" w:cs="Times New Roman"/>
          <w:b w:val="0"/>
          <w:i/>
          <w:sz w:val="20"/>
        </w:rPr>
        <w:t>a priori</w:t>
      </w:r>
      <w:r>
        <w:rPr>
          <w:rFonts w:ascii="Times New Roman" w:hAnsi="Times New Roman" w:cs="Times New Roman"/>
          <w:b w:val="0"/>
          <w:i w:val="0"/>
          <w:sz w:val="20"/>
        </w:rPr>
        <w:t xml:space="preserve"> that the three patterns hold, and allowing the data to sustain, qualify, or refute them.</w:t>
      </w:r>
    </w:p>
    <w:p>
      <w:pPr>
        <w:spacing w:before="200" w:after="80"/>
      </w:pPr>
      <w:r>
        <w:rPr>
          <w:rFonts w:ascii="Arial" w:hAnsi="Arial" w:cs="Arial"/>
          <w:b/>
          <w:i w:val="0"/>
          <w:sz w:val="22"/>
        </w:rPr>
        <w:t>1.3 Objectives and research questions</w:t>
      </w:r>
    </w:p>
    <w:p>
      <w:pPr>
        <w:spacing w:after="80"/>
        <w:ind w:firstLine="340"/>
        <w:jc w:val="both"/>
      </w:pPr>
      <w:r>
        <w:rPr>
          <w:rFonts w:ascii="Times New Roman" w:hAnsi="Times New Roman" w:cs="Times New Roman"/>
          <w:b w:val="0"/>
          <w:i w:val="0"/>
          <w:sz w:val="20"/>
        </w:rPr>
        <w:t>The study has three articulated objectives:</w:t>
      </w:r>
    </w:p>
    <w:p>
      <w:pPr>
        <w:spacing w:after="80"/>
        <w:ind w:firstLine="340"/>
        <w:jc w:val="both"/>
      </w:pPr>
      <w:r>
        <w:rPr>
          <w:rFonts w:ascii="Times New Roman" w:hAnsi="Times New Roman" w:cs="Times New Roman"/>
          <w:b w:val="0"/>
          <w:i w:val="0"/>
          <w:sz w:val="20"/>
        </w:rPr>
        <w:t xml:space="preserve">1. </w:t>
      </w:r>
      <w:r>
        <w:rPr>
          <w:rFonts w:ascii="Times New Roman" w:hAnsi="Times New Roman" w:cs="Times New Roman"/>
          <w:b/>
          <w:i w:val="0"/>
          <w:sz w:val="20"/>
        </w:rPr>
        <w:t>Descriptive</w:t>
      </w:r>
      <w:r>
        <w:rPr>
          <w:rFonts w:ascii="Times New Roman" w:hAnsi="Times New Roman" w:cs="Times New Roman"/>
          <w:b w:val="0"/>
          <w:i w:val="0"/>
          <w:sz w:val="20"/>
        </w:rPr>
        <w:t xml:space="preserve">: document the editorial trajectory of NCML between 2018 and 2026, including annual volume, thematic agenda, geography of authorships, and co-authorship structure. 2. </w:t>
      </w:r>
      <w:r>
        <w:rPr>
          <w:rFonts w:ascii="Times New Roman" w:hAnsi="Times New Roman" w:cs="Times New Roman"/>
          <w:b/>
          <w:i w:val="0"/>
          <w:sz w:val="20"/>
        </w:rPr>
        <w:t>Analytical</w:t>
      </w:r>
      <w:r>
        <w:rPr>
          <w:rFonts w:ascii="Times New Roman" w:hAnsi="Times New Roman" w:cs="Times New Roman"/>
          <w:b w:val="0"/>
          <w:i w:val="0"/>
          <w:sz w:val="20"/>
        </w:rPr>
        <w:t xml:space="preserve">: fit classical bibliometric laws (Lotka, Bradford) and contrast the results against theoretical reference values and the comparative literature on Spanish-language social-science journals. 3. </w:t>
      </w:r>
      <w:r>
        <w:rPr>
          <w:rFonts w:ascii="Times New Roman" w:hAnsi="Times New Roman" w:cs="Times New Roman"/>
          <w:b/>
          <w:i w:val="0"/>
          <w:sz w:val="20"/>
        </w:rPr>
        <w:t>Methodological</w:t>
      </w:r>
      <w:r>
        <w:rPr>
          <w:rFonts w:ascii="Times New Roman" w:hAnsi="Times New Roman" w:cs="Times New Roman"/>
          <w:b w:val="0"/>
          <w:i w:val="0"/>
          <w:sz w:val="20"/>
        </w:rPr>
        <w:t>: propose a neutrosophic extension of five classical bibliometric indicators and demonstrate, via an aggregated author ranking using SVNWA, that the framework yields conclusions unreachable by alternative formalisms of comparable conceptual parsimony.</w:t>
      </w:r>
    </w:p>
    <w:p>
      <w:pPr>
        <w:spacing w:after="80"/>
        <w:ind w:firstLine="340"/>
        <w:jc w:val="both"/>
      </w:pPr>
      <w:r>
        <w:rPr>
          <w:rFonts w:ascii="Times New Roman" w:hAnsi="Times New Roman" w:cs="Times New Roman"/>
          <w:b w:val="0"/>
          <w:i w:val="0"/>
          <w:sz w:val="20"/>
        </w:rPr>
        <w:t>From these objectives we derive six research questions.</w:t>
      </w:r>
    </w:p>
    <w:p>
      <w:pPr>
        <w:pStyle w:val="ListBullet"/>
        <w:spacing w:after="40"/>
      </w:pPr>
      <w:r>
        <w:rPr>
          <w:rFonts w:ascii="Times New Roman" w:hAnsi="Times New Roman" w:cs="Times New Roman"/>
          <w:b/>
          <w:i w:val="0"/>
          <w:sz w:val="20"/>
        </w:rPr>
        <w:t>RQ1.</w:t>
      </w:r>
      <w:r>
        <w:rPr>
          <w:rFonts w:ascii="Times New Roman" w:hAnsi="Times New Roman" w:cs="Times New Roman"/>
          <w:b w:val="0"/>
          <w:i w:val="0"/>
          <w:sz w:val="20"/>
        </w:rPr>
        <w:t xml:space="preserve"> How did the editorial volume, geographic composition, and</w:t>
      </w:r>
    </w:p>
    <w:p>
      <w:pPr>
        <w:spacing w:after="80"/>
        <w:ind w:firstLine="340"/>
        <w:jc w:val="both"/>
      </w:pPr>
      <w:r>
        <w:rPr>
          <w:rFonts w:ascii="Times New Roman" w:hAnsi="Times New Roman" w:cs="Times New Roman"/>
          <w:b w:val="0"/>
          <w:i w:val="0"/>
          <w:sz w:val="20"/>
        </w:rPr>
        <w:t>institutional composition of NCML evolve across its 42 volumes?</w:t>
      </w:r>
    </w:p>
    <w:p>
      <w:pPr>
        <w:pStyle w:val="ListBullet"/>
        <w:spacing w:after="40"/>
      </w:pPr>
      <w:r>
        <w:rPr>
          <w:rFonts w:ascii="Times New Roman" w:hAnsi="Times New Roman" w:cs="Times New Roman"/>
          <w:b/>
          <w:i w:val="0"/>
          <w:sz w:val="20"/>
        </w:rPr>
        <w:t>RQ2.</w:t>
      </w:r>
      <w:r>
        <w:rPr>
          <w:rFonts w:ascii="Times New Roman" w:hAnsi="Times New Roman" w:cs="Times New Roman"/>
          <w:b w:val="0"/>
          <w:i w:val="0"/>
          <w:sz w:val="20"/>
        </w:rPr>
        <w:t xml:space="preserve"> How is the productivity of the 1 363 unique authors of the</w:t>
      </w:r>
    </w:p>
    <w:p>
      <w:pPr>
        <w:spacing w:after="80"/>
        <w:ind w:firstLine="340"/>
        <w:jc w:val="both"/>
      </w:pPr>
      <w:r>
        <w:rPr>
          <w:rFonts w:ascii="Times New Roman" w:hAnsi="Times New Roman" w:cs="Times New Roman"/>
          <w:b w:val="0"/>
          <w:i w:val="0"/>
          <w:sz w:val="20"/>
        </w:rPr>
        <w:t>corpus distributed, and what invisible-college structure emerges in the co-authorship network?</w:t>
      </w:r>
    </w:p>
    <w:p>
      <w:pPr>
        <w:pStyle w:val="ListBullet"/>
        <w:spacing w:after="40"/>
      </w:pPr>
      <w:r>
        <w:rPr>
          <w:rFonts w:ascii="Times New Roman" w:hAnsi="Times New Roman" w:cs="Times New Roman"/>
          <w:b/>
          <w:i w:val="0"/>
          <w:sz w:val="20"/>
        </w:rPr>
        <w:t>RQ3.</w:t>
      </w:r>
      <w:r>
        <w:rPr>
          <w:rFonts w:ascii="Times New Roman" w:hAnsi="Times New Roman" w:cs="Times New Roman"/>
          <w:b w:val="0"/>
          <w:i w:val="0"/>
          <w:sz w:val="20"/>
        </w:rPr>
        <w:t xml:space="preserve"> What dispersion pattern do the journals cited by NCML follow</w:t>
      </w:r>
    </w:p>
    <w:p>
      <w:pPr>
        <w:spacing w:after="80"/>
        <w:ind w:firstLine="340"/>
        <w:jc w:val="both"/>
      </w:pPr>
      <w:r>
        <w:rPr>
          <w:rFonts w:ascii="Times New Roman" w:hAnsi="Times New Roman" w:cs="Times New Roman"/>
          <w:b w:val="0"/>
          <w:i w:val="0"/>
          <w:sz w:val="20"/>
        </w:rPr>
        <w:t>and what is the self-citation rate within the neutrosophic ecosystem?</w:t>
      </w:r>
    </w:p>
    <w:p>
      <w:pPr>
        <w:pStyle w:val="ListBullet"/>
        <w:spacing w:after="40"/>
      </w:pPr>
      <w:r>
        <w:rPr>
          <w:rFonts w:ascii="Times New Roman" w:hAnsi="Times New Roman" w:cs="Times New Roman"/>
          <w:b/>
          <w:i w:val="0"/>
          <w:sz w:val="20"/>
        </w:rPr>
        <w:t>RQ4.</w:t>
      </w:r>
      <w:r>
        <w:rPr>
          <w:rFonts w:ascii="Times New Roman" w:hAnsi="Times New Roman" w:cs="Times New Roman"/>
          <w:b w:val="0"/>
          <w:i w:val="0"/>
          <w:sz w:val="20"/>
        </w:rPr>
        <w:t xml:space="preserve"> How many topics cluster NCML's production and how did each</w:t>
      </w:r>
    </w:p>
    <w:p>
      <w:pPr>
        <w:spacing w:after="80"/>
        <w:ind w:firstLine="340"/>
        <w:jc w:val="both"/>
      </w:pPr>
      <w:r>
        <w:rPr>
          <w:rFonts w:ascii="Times New Roman" w:hAnsi="Times New Roman" w:cs="Times New Roman"/>
          <w:b w:val="0"/>
          <w:i w:val="0"/>
          <w:sz w:val="20"/>
        </w:rPr>
        <w:t>topic's share evolve between 2018-2020 and 2023-2025?</w:t>
      </w:r>
    </w:p>
    <w:p>
      <w:pPr>
        <w:pStyle w:val="ListBullet"/>
        <w:spacing w:after="40"/>
      </w:pPr>
      <w:r>
        <w:rPr>
          <w:rFonts w:ascii="Times New Roman" w:hAnsi="Times New Roman" w:cs="Times New Roman"/>
          <w:b/>
          <w:i w:val="0"/>
          <w:sz w:val="20"/>
        </w:rPr>
        <w:t>RQ5.</w:t>
      </w:r>
      <w:r>
        <w:rPr>
          <w:rFonts w:ascii="Times New Roman" w:hAnsi="Times New Roman" w:cs="Times New Roman"/>
          <w:b w:val="0"/>
          <w:i w:val="0"/>
          <w:sz w:val="20"/>
        </w:rPr>
        <w:t xml:space="preserve"> How much do the signals of citational impact differ across</w:t>
      </w:r>
    </w:p>
    <w:p>
      <w:pPr>
        <w:spacing w:after="80"/>
        <w:ind w:firstLine="340"/>
        <w:jc w:val="both"/>
      </w:pPr>
      <w:r>
        <w:rPr>
          <w:rFonts w:ascii="Times New Roman" w:hAnsi="Times New Roman" w:cs="Times New Roman"/>
          <w:b w:val="0"/>
          <w:i w:val="0"/>
          <w:sz w:val="20"/>
        </w:rPr>
        <w:t>bibliometric sources and what lessons follow for the journal's indexing strategy?</w:t>
      </w:r>
    </w:p>
    <w:p>
      <w:pPr>
        <w:pStyle w:val="ListBullet"/>
        <w:spacing w:after="40"/>
      </w:pPr>
      <w:r>
        <w:rPr>
          <w:rFonts w:ascii="Times New Roman" w:hAnsi="Times New Roman" w:cs="Times New Roman"/>
          <w:b/>
          <w:i w:val="0"/>
          <w:sz w:val="20"/>
        </w:rPr>
        <w:t>RQ6.</w:t>
      </w:r>
      <w:r>
        <w:rPr>
          <w:rFonts w:ascii="Times New Roman" w:hAnsi="Times New Roman" w:cs="Times New Roman"/>
          <w:b w:val="0"/>
          <w:i w:val="0"/>
          <w:sz w:val="20"/>
        </w:rPr>
        <w:t xml:space="preserve"> Does a neutrosophic aggregate of the per-indicator (T, I, F)</w:t>
      </w:r>
    </w:p>
    <w:p>
      <w:pPr>
        <w:spacing w:after="80"/>
        <w:ind w:firstLine="340"/>
        <w:jc w:val="both"/>
      </w:pPr>
      <w:r>
        <w:rPr>
          <w:rFonts w:ascii="Times New Roman" w:hAnsi="Times New Roman" w:cs="Times New Roman"/>
          <w:b w:val="0"/>
          <w:i w:val="0"/>
          <w:sz w:val="20"/>
        </w:rPr>
        <w:t>profiles produce author-level or source-level rankings that differ from their classical crisp counterparts, and is the difference editorially interpretable?</w:t>
      </w:r>
    </w:p>
    <w:p>
      <w:pPr>
        <w:spacing w:before="200" w:after="80"/>
      </w:pPr>
      <w:r>
        <w:rPr>
          <w:rFonts w:ascii="Arial" w:hAnsi="Arial" w:cs="Arial"/>
          <w:b/>
          <w:i w:val="0"/>
          <w:sz w:val="22"/>
        </w:rPr>
        <w:t>1.4 Contribution and structure</w:t>
      </w:r>
    </w:p>
    <w:p>
      <w:pPr>
        <w:spacing w:after="80"/>
        <w:ind w:firstLine="340"/>
        <w:jc w:val="both"/>
      </w:pPr>
      <w:r>
        <w:rPr>
          <w:rFonts w:ascii="Times New Roman" w:hAnsi="Times New Roman" w:cs="Times New Roman"/>
          <w:b w:val="0"/>
          <w:i w:val="0"/>
          <w:sz w:val="20"/>
        </w:rPr>
        <w:t>The primary contribution is to equip the neutrosophic ecosystem with a first empirical baseline on NCML, built with a reproducible pipeline and explicitly-documented limitations. As a secondary contribution, the paper introduces a neutrosophic framework for bibliometric analysis that generalises to any journal with multi-source citation evidence, and validates the framework empirically on the NCML corpus. The code, intermediate datasets, figures, and SHA-256 checksums are released at https://github.com/mleyvaz/ncml-bibliometric-2026 under MIT (code) and CC-BY 4.0 (data) licences.</w:t>
      </w:r>
    </w:p>
    <w:p>
      <w:pPr>
        <w:spacing w:after="80"/>
        <w:ind w:firstLine="340"/>
        <w:jc w:val="both"/>
      </w:pPr>
      <w:r>
        <w:rPr>
          <w:rFonts w:ascii="Times New Roman" w:hAnsi="Times New Roman" w:cs="Times New Roman"/>
          <w:b w:val="0"/>
          <w:i w:val="0"/>
          <w:sz w:val="20"/>
        </w:rPr>
        <w:t>The paper is organised as follows. Section 2 reviews the theoretical background on neutrosophic logic and classical bibliometric indicators. Section 3 presents the framework and the data pipeline. Section 4 reports the classical bibliometric retrospective of NCML. Section 5 reports the neutrosophic analysis of the same corpus, culminating in the SVNWA aggregated author ranking that operationally distinguishes neutrosophy from alternative formalisms. Section 6 discusses implications and engages the Woodall et al. (2025) critique. Section 7 summarises fifteen editorial recommendations. Section 8 concludes.</w:t>
      </w:r>
    </w:p>
    <w:p>
      <w:pPr>
        <w:spacing w:before="280" w:after="120"/>
      </w:pPr>
      <w:r>
        <w:rPr>
          <w:rFonts w:ascii="Arial" w:hAnsi="Arial" w:cs="Arial"/>
          <w:b/>
          <w:i w:val="0"/>
          <w:sz w:val="24"/>
        </w:rPr>
        <w:t>2. Theoretical Background</w:t>
      </w:r>
    </w:p>
    <w:p>
      <w:pPr>
        <w:spacing w:before="200" w:after="80"/>
      </w:pPr>
      <w:r>
        <w:rPr>
          <w:rFonts w:ascii="Arial" w:hAnsi="Arial" w:cs="Arial"/>
          <w:b/>
          <w:i w:val="0"/>
          <w:sz w:val="22"/>
        </w:rPr>
        <w:t>2.1 Neutrosophic logic and single-valued neutrosophic numbers</w:t>
      </w:r>
    </w:p>
    <w:p>
      <w:pPr>
        <w:spacing w:after="80"/>
        <w:ind w:firstLine="340"/>
        <w:jc w:val="both"/>
      </w:pPr>
      <w:r>
        <w:rPr>
          <w:rFonts w:ascii="Times New Roman" w:hAnsi="Times New Roman" w:cs="Times New Roman"/>
          <w:b w:val="0"/>
          <w:i w:val="0"/>
          <w:sz w:val="20"/>
        </w:rPr>
        <w:t xml:space="preserve">Neutrosophic logic [4, 5] generalises fuzzy logic by introducing a separate indeterminacy component. A neutrosophic value is a triple (T, I, F) where T is the degree of truth, I the degree of indeterminacy, and F the degree of falsity, each in [0, 1]. Unlike intuitionistic fuzzy logic, the three components are independent: the constraint 0 ≤ T + I + F ≤ 3 holds, but no equality is imposed. A </w:t>
      </w:r>
      <w:r>
        <w:rPr>
          <w:rFonts w:ascii="Times New Roman" w:hAnsi="Times New Roman" w:cs="Times New Roman"/>
          <w:b w:val="0"/>
          <w:i/>
          <w:sz w:val="20"/>
        </w:rPr>
        <w:t>single-valued neutrosophic number</w:t>
      </w:r>
      <w:r>
        <w:rPr>
          <w:rFonts w:ascii="Times New Roman" w:hAnsi="Times New Roman" w:cs="Times New Roman"/>
          <w:b w:val="0"/>
          <w:i w:val="0"/>
          <w:sz w:val="20"/>
        </w:rPr>
        <w:t xml:space="preserve"> (SVN) is a particular case where T, I, and F are explicit real numbers in [0, 1] [6]. SVNs admit standard algebraic operations (addition, multiplication, scalar multiplication) and several aggregation operators formalised for multi-criteria decision-making [7, 11].</w:t>
      </w:r>
    </w:p>
    <w:p>
      <w:pPr>
        <w:spacing w:after="80"/>
        <w:ind w:firstLine="340"/>
        <w:jc w:val="both"/>
      </w:pPr>
      <w:r>
        <w:rPr>
          <w:rFonts w:ascii="Times New Roman" w:hAnsi="Times New Roman" w:cs="Times New Roman"/>
          <w:b w:val="0"/>
          <w:i w:val="0"/>
          <w:sz w:val="20"/>
        </w:rPr>
        <w:t xml:space="preserve">We adopt the following notational convention. Given a population P of items and a property Q, the </w:t>
      </w:r>
      <w:r>
        <w:rPr>
          <w:rFonts w:ascii="Times New Roman" w:hAnsi="Times New Roman" w:cs="Times New Roman"/>
          <w:b w:val="0"/>
          <w:i/>
          <w:sz w:val="20"/>
        </w:rPr>
        <w:t>neutrosophic membership profile</w:t>
      </w:r>
      <w:r>
        <w:rPr>
          <w:rFonts w:ascii="Times New Roman" w:hAnsi="Times New Roman" w:cs="Times New Roman"/>
          <w:b w:val="0"/>
          <w:i w:val="0"/>
          <w:sz w:val="20"/>
        </w:rPr>
        <w:t xml:space="preserve"> of P with respect to Q is the triple</w:t>
      </w:r>
    </w:p>
    <w:p>
      <w:pPr>
        <w:spacing w:after="80"/>
        <w:ind w:firstLine="340"/>
        <w:jc w:val="both"/>
      </w:pPr>
      <w:r>
        <w:rPr>
          <w:rFonts w:ascii="Times New Roman" w:hAnsi="Times New Roman" w:cs="Times New Roman"/>
          <w:b w:val="0"/>
          <w:i w:val="0"/>
          <w:sz w:val="20"/>
        </w:rPr>
        <w:t>N_Q(P) = ( T_Q, I_Q, F_Q )                                   (1)</w:t>
      </w:r>
    </w:p>
    <w:p>
      <w:pPr>
        <w:spacing w:after="80"/>
        <w:ind w:firstLine="340"/>
        <w:jc w:val="both"/>
      </w:pPr>
      <w:r>
        <w:rPr>
          <w:rFonts w:ascii="Times New Roman" w:hAnsi="Times New Roman" w:cs="Times New Roman"/>
          <w:b w:val="0"/>
          <w:i w:val="0"/>
          <w:sz w:val="20"/>
        </w:rPr>
        <w:t>where T_Q is the proportion of items for which Q is verified by direct positive evidence, I_Q is the proportion for which the evidence is ambiguous, and F_Q is the proportion for which Q is contradicted by explicit negative evidence.</w:t>
      </w:r>
    </w:p>
    <w:p>
      <w:pPr>
        <w:spacing w:before="200" w:after="80"/>
      </w:pPr>
      <w:r>
        <w:rPr>
          <w:rFonts w:ascii="Arial" w:hAnsi="Arial" w:cs="Arial"/>
          <w:b/>
          <w:i w:val="0"/>
          <w:sz w:val="22"/>
        </w:rPr>
        <w:t>2.2 Why neutrosophy fits bibliometric measurement</w:t>
      </w:r>
    </w:p>
    <w:p>
      <w:pPr>
        <w:spacing w:after="80"/>
        <w:ind w:firstLine="340"/>
        <w:jc w:val="both"/>
      </w:pPr>
      <w:r>
        <w:rPr>
          <w:rFonts w:ascii="Times New Roman" w:hAnsi="Times New Roman" w:cs="Times New Roman"/>
          <w:b w:val="0"/>
          <w:i w:val="0"/>
          <w:sz w:val="20"/>
        </w:rPr>
        <w:t xml:space="preserve">Three structural features of bibliographic data make neutrosophic treatment a natural rather than ornamental choice. First, </w:t>
      </w:r>
      <w:r>
        <w:rPr>
          <w:rFonts w:ascii="Times New Roman" w:hAnsi="Times New Roman" w:cs="Times New Roman"/>
          <w:b w:val="0"/>
          <w:i/>
          <w:sz w:val="20"/>
        </w:rPr>
        <w:t>multiple partially-overlapping sources of evidence</w:t>
      </w:r>
      <w:r>
        <w:rPr>
          <w:rFonts w:ascii="Times New Roman" w:hAnsi="Times New Roman" w:cs="Times New Roman"/>
          <w:b w:val="0"/>
          <w:i w:val="0"/>
          <w:sz w:val="20"/>
        </w:rPr>
        <w:t xml:space="preserve"> (Crossref, Scopus, OpenAlex, Google Scholar, DataCite, Dimensions) disagree systematically, and the disagreement reflects genuine differences in scope rather than measurement noise. Second, </w:t>
      </w:r>
      <w:r>
        <w:rPr>
          <w:rFonts w:ascii="Times New Roman" w:hAnsi="Times New Roman" w:cs="Times New Roman"/>
          <w:b w:val="0"/>
          <w:i/>
          <w:sz w:val="20"/>
        </w:rPr>
        <w:t>soft assignments produced by clustering</w:t>
      </w:r>
      <w:r>
        <w:rPr>
          <w:rFonts w:ascii="Times New Roman" w:hAnsi="Times New Roman" w:cs="Times New Roman"/>
          <w:b w:val="0"/>
          <w:i w:val="0"/>
          <w:sz w:val="20"/>
        </w:rPr>
        <w:t xml:space="preserve"> (UMAP + KMeans, BERTopic) yield probabilistic memberships that are routinely discarded by winner-take-all reporting. Third, </w:t>
      </w:r>
      <w:r>
        <w:rPr>
          <w:rFonts w:ascii="Times New Roman" w:hAnsi="Times New Roman" w:cs="Times New Roman"/>
          <w:b w:val="0"/>
          <w:i/>
          <w:sz w:val="20"/>
        </w:rPr>
        <w:t>asymmetric availability of negative evidence</w:t>
      </w:r>
      <w:r>
        <w:rPr>
          <w:rFonts w:ascii="Times New Roman" w:hAnsi="Times New Roman" w:cs="Times New Roman"/>
          <w:b w:val="0"/>
          <w:i w:val="0"/>
          <w:sz w:val="20"/>
        </w:rPr>
        <w:t xml:space="preserve">: confirming that an article was </w:t>
      </w:r>
      <w:r>
        <w:rPr>
          <w:rFonts w:ascii="Times New Roman" w:hAnsi="Times New Roman" w:cs="Times New Roman"/>
          <w:b w:val="0"/>
          <w:i/>
          <w:sz w:val="20"/>
        </w:rPr>
        <w:t>not</w:t>
      </w:r>
      <w:r>
        <w:rPr>
          <w:rFonts w:ascii="Times New Roman" w:hAnsi="Times New Roman" w:cs="Times New Roman"/>
          <w:b w:val="0"/>
          <w:i w:val="0"/>
          <w:sz w:val="20"/>
        </w:rPr>
        <w:t xml:space="preserve"> cited requires exhaustive coverage that no single database provides. The (T, F, I) triple naturally captures this asymmetry: F reports the share of items where every consulted source agrees on absence, while I reports the share where coverage is insufficient to conclude.</w:t>
      </w:r>
    </w:p>
    <w:p>
      <w:pPr>
        <w:spacing w:after="80"/>
        <w:ind w:firstLine="340"/>
        <w:jc w:val="both"/>
      </w:pPr>
      <w:r>
        <w:rPr>
          <w:rFonts w:ascii="Times New Roman" w:hAnsi="Times New Roman" w:cs="Times New Roman"/>
          <w:b w:val="0"/>
          <w:i w:val="0"/>
          <w:sz w:val="20"/>
        </w:rPr>
        <w:t xml:space="preserve">This motivates the central methodological commitment of this paper: the indeterminacy component is </w:t>
      </w:r>
      <w:r>
        <w:rPr>
          <w:rFonts w:ascii="Times New Roman" w:hAnsi="Times New Roman" w:cs="Times New Roman"/>
          <w:b w:val="0"/>
          <w:i/>
          <w:sz w:val="20"/>
        </w:rPr>
        <w:t>computed from the data</w:t>
      </w:r>
      <w:r>
        <w:rPr>
          <w:rFonts w:ascii="Times New Roman" w:hAnsi="Times New Roman" w:cs="Times New Roman"/>
          <w:b w:val="0"/>
          <w:i w:val="0"/>
          <w:sz w:val="20"/>
        </w:rPr>
        <w:t>, not elicited from experts via linguistic scales. This distinguishes the framework from the family of neutrosophic AHP-TOPSIS papers where (T, I, F) are human judgements [7, 17] — and responds directly to the Woodall et al. (2025) concern that the choice of three components is seldom justified by the data structure [18].</w:t>
      </w:r>
    </w:p>
    <w:p>
      <w:pPr>
        <w:spacing w:before="200" w:after="80"/>
      </w:pPr>
      <w:r>
        <w:rPr>
          <w:rFonts w:ascii="Arial" w:hAnsi="Arial" w:cs="Arial"/>
          <w:b/>
          <w:i w:val="0"/>
          <w:sz w:val="22"/>
        </w:rPr>
        <w:t>2.3 Classical bibliometric indicators recalled</w:t>
      </w:r>
    </w:p>
    <w:p>
      <w:pPr>
        <w:spacing w:after="80"/>
        <w:ind w:firstLine="340"/>
        <w:jc w:val="both"/>
      </w:pPr>
      <w:r>
        <w:rPr>
          <w:rFonts w:ascii="Times New Roman" w:hAnsi="Times New Roman" w:cs="Times New Roman"/>
          <w:b/>
          <w:i w:val="0"/>
          <w:sz w:val="20"/>
        </w:rPr>
        <w:t>The h-index</w:t>
      </w:r>
      <w:r>
        <w:rPr>
          <w:rFonts w:ascii="Times New Roman" w:hAnsi="Times New Roman" w:cs="Times New Roman"/>
          <w:b w:val="0"/>
          <w:i w:val="0"/>
          <w:sz w:val="20"/>
        </w:rPr>
        <w:t xml:space="preserve"> [19]. Given a set of articles with citation counts sorted non-increasing, h is the largest integer such that c_h ≥ h. The journal-level h5-index is h restricted to articles published in the past five years.</w:t>
      </w:r>
    </w:p>
    <w:p>
      <w:pPr>
        <w:spacing w:after="80"/>
        <w:ind w:firstLine="340"/>
        <w:jc w:val="both"/>
      </w:pPr>
      <w:r>
        <w:rPr>
          <w:rFonts w:ascii="Times New Roman" w:hAnsi="Times New Roman" w:cs="Times New Roman"/>
          <w:b/>
          <w:i w:val="0"/>
          <w:sz w:val="20"/>
        </w:rPr>
        <w:t>Lotka's law</w:t>
      </w:r>
      <w:r>
        <w:rPr>
          <w:rFonts w:ascii="Times New Roman" w:hAnsi="Times New Roman" w:cs="Times New Roman"/>
          <w:b w:val="0"/>
          <w:i w:val="0"/>
          <w:sz w:val="20"/>
        </w:rPr>
        <w:t xml:space="preserve"> [14]. The number of authors n(x) producing exactly x publications follows n(x) ∝ x^(-α) with classical α ≈ 2. The exponent is fitted by maximum likelihood [15, eq. 3.1] and goodness-of-fit is evaluated with the Kolmogorov-Smirnov statistic against 1.36/√N at 5%.</w:t>
      </w:r>
    </w:p>
    <w:p>
      <w:pPr>
        <w:spacing w:after="80"/>
        <w:ind w:firstLine="340"/>
        <w:jc w:val="both"/>
      </w:pPr>
      <w:r>
        <w:rPr>
          <w:rFonts w:ascii="Times New Roman" w:hAnsi="Times New Roman" w:cs="Times New Roman"/>
          <w:b/>
          <w:i w:val="0"/>
          <w:sz w:val="20"/>
        </w:rPr>
        <w:t>Bradford's law</w:t>
      </w:r>
      <w:r>
        <w:rPr>
          <w:rFonts w:ascii="Times New Roman" w:hAnsi="Times New Roman" w:cs="Times New Roman"/>
          <w:b w:val="0"/>
          <w:i w:val="0"/>
          <w:sz w:val="20"/>
        </w:rPr>
        <w:t xml:space="preserve"> [20]. When journals are ranked by descending number of citations received and the cumulative count is partitioned into three zones of equal citations, the counts follow a geometric progression: |Z_2| ≈ k · |Z_1|, |Z_3| ≈ k · |Z_2| for a Bradford multiplier k typically in [3, 5] for mature fields.</w:t>
      </w:r>
    </w:p>
    <w:p>
      <w:pPr>
        <w:spacing w:after="80"/>
        <w:ind w:firstLine="340"/>
        <w:jc w:val="both"/>
      </w:pPr>
      <w:r>
        <w:rPr>
          <w:rFonts w:ascii="Times New Roman" w:hAnsi="Times New Roman" w:cs="Times New Roman"/>
          <w:b/>
          <w:i w:val="0"/>
          <w:sz w:val="20"/>
        </w:rPr>
        <w:t>Topic modeling.</w:t>
      </w:r>
      <w:r>
        <w:rPr>
          <w:rFonts w:ascii="Times New Roman" w:hAnsi="Times New Roman" w:cs="Times New Roman"/>
          <w:b w:val="0"/>
          <w:i w:val="0"/>
          <w:sz w:val="20"/>
        </w:rPr>
        <w:t xml:space="preserve"> Soft clustering (LDA, BERTopic, KMeans on embeddings) assigns each document a distribution over topics; bibliometric studies classically report the </w:t>
      </w:r>
      <w:r>
        <w:rPr>
          <w:rFonts w:ascii="Times New Roman" w:hAnsi="Times New Roman" w:cs="Times New Roman"/>
          <w:b w:val="0"/>
          <w:i/>
          <w:sz w:val="20"/>
        </w:rPr>
        <w:t>winner</w:t>
      </w:r>
      <w:r>
        <w:rPr>
          <w:rFonts w:ascii="Times New Roman" w:hAnsi="Times New Roman" w:cs="Times New Roman"/>
          <w:b w:val="0"/>
          <w:i w:val="0"/>
          <w:sz w:val="20"/>
        </w:rPr>
        <w:t>.</w:t>
      </w:r>
    </w:p>
    <w:p>
      <w:pPr>
        <w:spacing w:after="80"/>
        <w:ind w:firstLine="340"/>
        <w:jc w:val="both"/>
      </w:pPr>
      <w:r>
        <w:rPr>
          <w:rFonts w:ascii="Times New Roman" w:hAnsi="Times New Roman" w:cs="Times New Roman"/>
          <w:b/>
          <w:i w:val="0"/>
          <w:sz w:val="20"/>
        </w:rPr>
        <w:t>Co-authorship networks.</w:t>
      </w:r>
      <w:r>
        <w:rPr>
          <w:rFonts w:ascii="Times New Roman" w:hAnsi="Times New Roman" w:cs="Times New Roman"/>
          <w:b w:val="0"/>
          <w:i w:val="0"/>
          <w:sz w:val="20"/>
        </w:rPr>
        <w:t xml:space="preserve"> Authors are nodes; an edge's weight is the count of shared articles. Centrality, community detection [16], and modularity are computed on the weighted graph, treating raw counts as if they conveyed only one kind of information.</w:t>
      </w:r>
    </w:p>
    <w:p>
      <w:pPr>
        <w:spacing w:before="280" w:after="120"/>
      </w:pPr>
      <w:r>
        <w:rPr>
          <w:rFonts w:ascii="Arial" w:hAnsi="Arial" w:cs="Arial"/>
          <w:b/>
          <w:i w:val="0"/>
          <w:sz w:val="24"/>
        </w:rPr>
        <w:t>3. The Neutrosophic Bibliometric Framework and Pipeline</w:t>
      </w:r>
    </w:p>
    <w:p>
      <w:pPr>
        <w:spacing w:before="200" w:after="80"/>
      </w:pPr>
      <w:r>
        <w:rPr>
          <w:rFonts w:ascii="Arial" w:hAnsi="Arial" w:cs="Arial"/>
          <w:b/>
          <w:i w:val="0"/>
          <w:sz w:val="22"/>
        </w:rPr>
        <w:t>3.1 Corpus and data pipeline</w:t>
      </w:r>
    </w:p>
    <w:p>
      <w:pPr>
        <w:spacing w:after="80"/>
        <w:ind w:firstLine="340"/>
        <w:jc w:val="both"/>
      </w:pPr>
      <w:r>
        <w:rPr>
          <w:rFonts w:ascii="Times New Roman" w:hAnsi="Times New Roman" w:cs="Times New Roman"/>
          <w:b w:val="0"/>
          <w:i w:val="0"/>
          <w:sz w:val="20"/>
        </w:rPr>
        <w:t xml:space="preserve">The empirical corpus consists of the 762 articles published by NCML in volumes 1 through 42 (2018 to April 2026). Article-level metadata (title, authors, volume, year, pages, DOI) were scraped from the official journal index at </w:t>
      </w:r>
      <w:r>
        <w:rPr>
          <w:rFonts w:ascii="Consolas" w:hAnsi="Consolas" w:cs="Consolas"/>
          <w:b w:val="0"/>
          <w:i w:val="0"/>
          <w:sz w:val="18"/>
        </w:rPr>
        <w:t>https://fs.unm.edu/NCML/Articles.htm</w:t>
      </w:r>
      <w:r>
        <w:rPr>
          <w:rFonts w:ascii="Times New Roman" w:hAnsi="Times New Roman" w:cs="Times New Roman"/>
          <w:b w:val="0"/>
          <w:i w:val="0"/>
          <w:sz w:val="20"/>
        </w:rPr>
        <w:t xml:space="preserve"> on 19 April 2026, and enriched through OpenAlex (671 articles, 93.3%), DataCite (704 articles, 97.9%), and — for the journal-aggregate measures — Google Scholar Metrics. Full-text PDFs were retrieved for 728 of 762 articles (95.5% coverage; 33 URLs had corrupted encoding at source). For each PDF we extracted the abstract (Spanish resumen, 91.5% extraction rate; English abstract, 41%), the keyword list (94%), the email addresses (99%) and the references block (95%).</w:t>
      </w:r>
    </w:p>
    <w:p>
      <w:pPr>
        <w:spacing w:after="80"/>
        <w:ind w:firstLine="340"/>
        <w:jc w:val="both"/>
      </w:pPr>
      <w:r>
        <w:rPr>
          <w:rFonts w:ascii="Times New Roman" w:hAnsi="Times New Roman" w:cs="Times New Roman"/>
          <w:b w:val="0"/>
          <w:i w:val="0"/>
          <w:sz w:val="20"/>
        </w:rPr>
        <w:t>The 2 225 author-article pairs were disambiguated into 1 363 unique authors using a union-find algorithm with four hierarchical equivalence rules in decreasing order of strength: (i) shared ORCID; (ii) shared OpenAlex author identifier; (iii) shared canonical name (NFKD-normalised, lowercased, stop-token removed, alphabetised); (iv) initial-plus-surname key when no ORCID conflict exists. The disambiguation reduced 1 539 raw signatures by 9.9%. The top 100 clusters were inspected manually; no false merges were detected.</w:t>
      </w:r>
    </w:p>
    <w:p>
      <w:pPr>
        <w:spacing w:after="80"/>
        <w:ind w:firstLine="340"/>
        <w:jc w:val="both"/>
      </w:pPr>
      <w:r>
        <w:rPr>
          <w:rFonts w:ascii="Times New Roman" w:hAnsi="Times New Roman" w:cs="Times New Roman"/>
          <w:b w:val="0"/>
          <w:i w:val="0"/>
          <w:sz w:val="20"/>
        </w:rPr>
        <w:t>The full pipeline is implemented in Python 3.14 with twenty numbered scripts (01–20 plus helpers); the source code, intermediate data (CSV/JSONL), figures, and SHA-256 checksums are published at https://github.com/mleyvaz/ncml-bibliometric-2026 (code under MIT, data under CC-BY 4.0). The pipeline is idempotent and reproducible end-to-end in approximately 30 minutes on a modern laptop.</w:t>
      </w:r>
    </w:p>
    <w:p>
      <w:pPr>
        <w:spacing w:before="200" w:after="80"/>
      </w:pPr>
      <w:r>
        <w:rPr>
          <w:rFonts w:ascii="Arial" w:hAnsi="Arial" w:cs="Arial"/>
          <w:b/>
          <w:i w:val="0"/>
          <w:sz w:val="22"/>
        </w:rPr>
        <w:t>3.2 Neutrosophic extensions of classical indicators</w:t>
      </w:r>
    </w:p>
    <w:p>
      <w:pPr>
        <w:spacing w:after="80"/>
        <w:ind w:firstLine="340"/>
        <w:jc w:val="both"/>
      </w:pPr>
      <w:r>
        <w:rPr>
          <w:rFonts w:ascii="Times New Roman" w:hAnsi="Times New Roman" w:cs="Times New Roman"/>
          <w:b w:val="0"/>
          <w:i w:val="0"/>
          <w:sz w:val="20"/>
        </w:rPr>
        <w:t>The following five extensions apply the (T, I, F) triple to each classical indicator of Section 2.3. In each case, the classical indicator is recovered by collapsing the indeterminacy component, so the framework is strictly informationally richer than the classical baseline.</w:t>
      </w:r>
    </w:p>
    <w:p>
      <w:pPr>
        <w:spacing w:before="200" w:after="80"/>
      </w:pPr>
      <w:r>
        <w:rPr>
          <w:rFonts w:ascii="Arial" w:hAnsi="Arial" w:cs="Arial"/>
          <w:b/>
          <w:i w:val="0"/>
          <w:sz w:val="22"/>
        </w:rPr>
        <w:t>3.2.1 Neutrosophic *h*-index</w:t>
      </w:r>
    </w:p>
    <w:p>
      <w:pPr>
        <w:spacing w:after="80"/>
        <w:ind w:firstLine="340"/>
        <w:jc w:val="both"/>
      </w:pPr>
      <w:r>
        <w:rPr>
          <w:rFonts w:ascii="Times New Roman" w:hAnsi="Times New Roman" w:cs="Times New Roman"/>
          <w:b w:val="0"/>
          <w:i w:val="0"/>
          <w:sz w:val="20"/>
        </w:rPr>
        <w:t xml:space="preserve">For each article a_i with citation counts c_i^{(k)} from K independent sources, define the per-article evidence indicator e_i = |{ k : c_i^{(k)} ≥ 1 }| / K. Articles are classified as T-class (e_i = 1), I-class (0 &lt; e_i &lt; 1), or F-class (e_i = 0). The </w:t>
      </w:r>
      <w:r>
        <w:rPr>
          <w:rFonts w:ascii="Times New Roman" w:hAnsi="Times New Roman" w:cs="Times New Roman"/>
          <w:b w:val="0"/>
          <w:i/>
          <w:sz w:val="20"/>
        </w:rPr>
        <w:t>neutrosophic h-index profile</w:t>
      </w:r>
      <w:r>
        <w:rPr>
          <w:rFonts w:ascii="Times New Roman" w:hAnsi="Times New Roman" w:cs="Times New Roman"/>
          <w:b w:val="0"/>
          <w:i w:val="0"/>
          <w:sz w:val="20"/>
        </w:rPr>
        <w:t xml:space="preserve"> of the journal is the triple N_h(J) = (h_T, h_I, h_F) where h_T is the h-index over T-class articles and h_I is the h-index over T-class + I-class articles. The classical h-index is recovered by the most-comprehensive-source choice.</w:t>
      </w:r>
    </w:p>
    <w:p>
      <w:pPr>
        <w:spacing w:before="200" w:after="80"/>
      </w:pPr>
      <w:r>
        <w:rPr>
          <w:rFonts w:ascii="Arial" w:hAnsi="Arial" w:cs="Arial"/>
          <w:b/>
          <w:i w:val="0"/>
          <w:sz w:val="22"/>
        </w:rPr>
        <w:t>3.2.2 Neutrosophic Lotka exponent</w:t>
      </w:r>
    </w:p>
    <w:p>
      <w:pPr>
        <w:spacing w:after="80"/>
        <w:ind w:firstLine="340"/>
        <w:jc w:val="both"/>
      </w:pPr>
      <w:r>
        <w:rPr>
          <w:rFonts w:ascii="Times New Roman" w:hAnsi="Times New Roman" w:cs="Times New Roman"/>
          <w:b w:val="0"/>
          <w:i w:val="0"/>
          <w:sz w:val="20"/>
        </w:rPr>
        <w:t>Let {x_1, …, x_N} be the productivity counts. For b = 1, …, B, bootstrap-resample with replacement and compute the MLE α̂_b and the K-S statistic D_b. The neutrosophic Lotka profile is</w:t>
      </w:r>
    </w:p>
    <w:p>
      <w:pPr>
        <w:spacing w:after="80"/>
        <w:ind w:firstLine="340"/>
        <w:jc w:val="both"/>
      </w:pPr>
      <w:r>
        <w:rPr>
          <w:rFonts w:ascii="Times New Roman" w:hAnsi="Times New Roman" w:cs="Times New Roman"/>
          <w:b w:val="0"/>
          <w:i w:val="0"/>
          <w:sz w:val="20"/>
        </w:rPr>
        <w:t>T = |{b: α̂_b ∈ [1.9, 2.1] AND D_b ≤ D_crit}| / B             (2) I = |{b: α̂_b ∈ [1.9, 2.1] AND D_b &gt; D_crit}| / B F = |{b: α̂_b ∉ [1.9, 2.1]}| / B</w:t>
      </w:r>
    </w:p>
    <w:p>
      <w:pPr>
        <w:spacing w:after="80"/>
        <w:ind w:firstLine="340"/>
        <w:jc w:val="both"/>
      </w:pPr>
      <w:r>
        <w:rPr>
          <w:rFonts w:ascii="Times New Roman" w:hAnsi="Times New Roman" w:cs="Times New Roman"/>
          <w:b w:val="0"/>
          <w:i w:val="0"/>
          <w:sz w:val="20"/>
        </w:rPr>
        <w:t>with D_crit = 1.36/√N. We use B = 1 000 and fixed random state 42.</w:t>
      </w:r>
    </w:p>
    <w:p>
      <w:pPr>
        <w:spacing w:before="200" w:after="80"/>
      </w:pPr>
      <w:r>
        <w:rPr>
          <w:rFonts w:ascii="Arial" w:hAnsi="Arial" w:cs="Arial"/>
          <w:b/>
          <w:i w:val="0"/>
          <w:sz w:val="22"/>
        </w:rPr>
        <w:t>3.2.3 Neutrosophic Bradford zone membership</w:t>
      </w:r>
    </w:p>
    <w:p>
      <w:pPr>
        <w:spacing w:after="80"/>
        <w:ind w:firstLine="340"/>
        <w:jc w:val="both"/>
      </w:pPr>
      <w:r>
        <w:rPr>
          <w:rFonts w:ascii="Times New Roman" w:hAnsi="Times New Roman" w:cs="Times New Roman"/>
          <w:b w:val="0"/>
          <w:i w:val="0"/>
          <w:sz w:val="20"/>
        </w:rPr>
        <w:t>The crisp Bradford partition is replaced with graded nucleus membership. For a journal with citation share s_j, let s</w:t>
      </w:r>
      <w:r>
        <w:rPr>
          <w:rFonts w:ascii="Times New Roman" w:hAnsi="Times New Roman" w:cs="Times New Roman"/>
          <w:b w:val="0"/>
          <w:i/>
          <w:sz w:val="20"/>
        </w:rPr>
        <w:t xml:space="preserve"> be the share at which the cumulative reaches 1/3 (classical nucleus boundary) and κ = 0.4 · s</w:t>
      </w:r>
      <w:r>
        <w:rPr>
          <w:rFonts w:ascii="Times New Roman" w:hAnsi="Times New Roman" w:cs="Times New Roman"/>
          <w:b w:val="0"/>
          <w:i w:val="0"/>
          <w:sz w:val="20"/>
        </w:rPr>
        <w:t xml:space="preserve"> a smoothing constant. Then</w:t>
      </w:r>
    </w:p>
    <w:p>
      <w:pPr>
        <w:spacing w:after="80"/>
        <w:ind w:firstLine="340"/>
        <w:jc w:val="both"/>
      </w:pPr>
      <w:r>
        <w:rPr>
          <w:rFonts w:ascii="Times New Roman" w:hAnsi="Times New Roman" w:cs="Times New Roman"/>
          <w:b w:val="0"/>
          <w:i w:val="0"/>
          <w:sz w:val="20"/>
        </w:rPr>
        <w:t>T_nuc(j) = σ( (s_j − s</w:t>
      </w:r>
      <w:r>
        <w:rPr>
          <w:rFonts w:ascii="Times New Roman" w:hAnsi="Times New Roman" w:cs="Times New Roman"/>
          <w:b w:val="0"/>
          <w:i/>
          <w:sz w:val="20"/>
        </w:rPr>
        <w:t>) / κ )                               (3) I_nuc(j) = 0.4 · exp( −(s_j − s</w:t>
      </w:r>
      <w:r>
        <w:rPr>
          <w:rFonts w:ascii="Times New Roman" w:hAnsi="Times New Roman" w:cs="Times New Roman"/>
          <w:b w:val="0"/>
          <w:i w:val="0"/>
          <w:sz w:val="20"/>
        </w:rPr>
        <w:t>)² / (2 · (1.5κ)²) )         (4) F_nuc(j) = max( 0, 1 − T_nuc(j) − I_nuc(j) )                 (5)</w:t>
      </w:r>
    </w:p>
    <w:p>
      <w:pPr>
        <w:spacing w:after="80"/>
        <w:ind w:firstLine="340"/>
        <w:jc w:val="both"/>
      </w:pPr>
      <w:r>
        <w:rPr>
          <w:rFonts w:ascii="Times New Roman" w:hAnsi="Times New Roman" w:cs="Times New Roman"/>
          <w:b w:val="0"/>
          <w:i w:val="0"/>
          <w:sz w:val="20"/>
        </w:rPr>
        <w:t>where σ is the logistic function. Equation (4) creates an indeterminacy peak at the boundary.</w:t>
      </w:r>
    </w:p>
    <w:p>
      <w:pPr>
        <w:spacing w:before="200" w:after="80"/>
      </w:pPr>
      <w:r>
        <w:rPr>
          <w:rFonts w:ascii="Arial" w:hAnsi="Arial" w:cs="Arial"/>
          <w:b/>
          <w:i w:val="0"/>
          <w:sz w:val="22"/>
        </w:rPr>
        <w:t>3.2.4 Neutrosophic topic membership</w:t>
      </w:r>
    </w:p>
    <w:p>
      <w:pPr>
        <w:spacing w:after="80"/>
        <w:ind w:firstLine="340"/>
        <w:jc w:val="both"/>
      </w:pPr>
      <w:r>
        <w:rPr>
          <w:rFonts w:ascii="Times New Roman" w:hAnsi="Times New Roman" w:cs="Times New Roman"/>
          <w:b w:val="0"/>
          <w:i w:val="0"/>
          <w:sz w:val="20"/>
        </w:rPr>
        <w:t>Let d_i be the Euclidean distance from document i to its assigned cluster centroid, d_i' the distance to the nearest other cluster, and σ̂ the median of {d_i} over the corpus. Then</w:t>
      </w:r>
    </w:p>
    <w:p>
      <w:pPr>
        <w:spacing w:after="80"/>
        <w:ind w:firstLine="340"/>
        <w:jc w:val="both"/>
      </w:pPr>
      <w:r>
        <w:rPr>
          <w:rFonts w:ascii="Times New Roman" w:hAnsi="Times New Roman" w:cs="Times New Roman"/>
          <w:b w:val="0"/>
          <w:i w:val="0"/>
          <w:sz w:val="20"/>
        </w:rPr>
        <w:t>T_topic(i) = exp( −d_i² / (2 σ̂²) )                           (6) I_topic(i) = 0.5 · exp( −(d_i' − d_i)² / (2 (0.5 σ̂)²) )     (7) F_topic(i) = max( 0, 1 − T_topic(i) − I_topic(i) )           (8)</w:t>
      </w:r>
    </w:p>
    <w:p>
      <w:pPr>
        <w:spacing w:before="200" w:after="80"/>
      </w:pPr>
      <w:r>
        <w:rPr>
          <w:rFonts w:ascii="Arial" w:hAnsi="Arial" w:cs="Arial"/>
          <w:b/>
          <w:i w:val="0"/>
          <w:sz w:val="22"/>
        </w:rPr>
        <w:t>3.2.5 Neutrosophic co-authorship edge weight</w:t>
      </w:r>
    </w:p>
    <w:p>
      <w:pPr>
        <w:spacing w:after="80"/>
        <w:ind w:firstLine="340"/>
        <w:jc w:val="both"/>
      </w:pPr>
      <w:r>
        <w:rPr>
          <w:rFonts w:ascii="Times New Roman" w:hAnsi="Times New Roman" w:cs="Times New Roman"/>
          <w:b w:val="0"/>
          <w:i w:val="0"/>
          <w:sz w:val="20"/>
        </w:rPr>
        <w:t>For an edge (u, v) with w shared articles,</w:t>
      </w:r>
    </w:p>
    <w:p>
      <w:pPr>
        <w:spacing w:after="80"/>
        <w:ind w:firstLine="340"/>
        <w:jc w:val="both"/>
      </w:pPr>
      <w:r>
        <w:rPr>
          <w:rFonts w:ascii="Times New Roman" w:hAnsi="Times New Roman" w:cs="Times New Roman"/>
          <w:b w:val="0"/>
          <w:i w:val="0"/>
          <w:sz w:val="20"/>
        </w:rPr>
        <w:t>T_collab(u, v) = 1 − exp( −(w − 1) / 2 )                     (9) I_collab(u, v) = 𝟙{w=1} · 0.5 + 𝟙{w&gt;1} · 0.5 exp(−(w−1)/1.5) (10) F_collab(u, v) = max( 0, 1 − T_collab(u, v) − I_collab(u, v)) (11)</w:t>
      </w:r>
    </w:p>
    <w:p>
      <w:pPr>
        <w:spacing w:after="80"/>
        <w:ind w:firstLine="340"/>
        <w:jc w:val="both"/>
      </w:pPr>
      <w:r>
        <w:rPr>
          <w:rFonts w:ascii="Times New Roman" w:hAnsi="Times New Roman" w:cs="Times New Roman"/>
          <w:b w:val="0"/>
          <w:i w:val="0"/>
          <w:sz w:val="20"/>
        </w:rPr>
        <w:t>T saturates for verified collaboration; I peaks at w = 1 (single-article, possibly opportunistic); F is the residual.</w:t>
      </w:r>
    </w:p>
    <w:p>
      <w:pPr>
        <w:spacing w:before="200" w:after="80"/>
      </w:pPr>
      <w:r>
        <w:rPr>
          <w:rFonts w:ascii="Arial" w:hAnsi="Arial" w:cs="Arial"/>
          <w:b/>
          <w:i w:val="0"/>
          <w:sz w:val="22"/>
        </w:rPr>
        <w:t>3.3 Neutrosophic aggregation (SVNWA)</w:t>
      </w:r>
    </w:p>
    <w:p>
      <w:pPr>
        <w:spacing w:after="80"/>
        <w:ind w:firstLine="340"/>
        <w:jc w:val="both"/>
      </w:pPr>
      <w:r>
        <w:rPr>
          <w:rFonts w:ascii="Times New Roman" w:hAnsi="Times New Roman" w:cs="Times New Roman"/>
          <w:b w:val="0"/>
          <w:i w:val="0"/>
          <w:sz w:val="20"/>
        </w:rPr>
        <w:t>Aggregation of the per-indicator triples is performed with the Single-Valued Neutrosophic Weighted Arithmetic operator of Ye [11]:</w:t>
      </w:r>
    </w:p>
    <w:p>
      <w:pPr>
        <w:spacing w:after="80"/>
        <w:ind w:firstLine="340"/>
        <w:jc w:val="both"/>
      </w:pPr>
      <w:r>
        <w:rPr>
          <w:rFonts w:ascii="Times New Roman" w:hAnsi="Times New Roman" w:cs="Times New Roman"/>
          <w:b w:val="0"/>
          <w:i w:val="0"/>
          <w:sz w:val="20"/>
        </w:rPr>
        <w:t>SVNWA( (T_j, I_j, F_j); w_j ) =                              (12) ( 1 − ∏_j (1 − T_j)^{w_j},  ∏_j I_j^{w_j},  ∏_j F_j^{w_j} )</w:t>
      </w:r>
    </w:p>
    <w:p>
      <w:pPr>
        <w:spacing w:after="80"/>
        <w:ind w:firstLine="340"/>
        <w:jc w:val="both"/>
      </w:pPr>
      <w:r>
        <w:rPr>
          <w:rFonts w:ascii="Times New Roman" w:hAnsi="Times New Roman" w:cs="Times New Roman"/>
          <w:b w:val="0"/>
          <w:i w:val="0"/>
          <w:sz w:val="20"/>
        </w:rPr>
        <w:t>Score function (Smarandache) maps the aggregate to [0, 1]:</w:t>
      </w:r>
    </w:p>
    <w:p>
      <w:pPr>
        <w:spacing w:after="80"/>
        <w:ind w:firstLine="340"/>
        <w:jc w:val="both"/>
      </w:pPr>
      <w:r>
        <w:rPr>
          <w:rFonts w:ascii="Times New Roman" w:hAnsi="Times New Roman" w:cs="Times New Roman"/>
          <w:b w:val="0"/>
          <w:i w:val="0"/>
          <w:sz w:val="20"/>
        </w:rPr>
        <w:t>S(T, I, F) = (2 + T − I − F) / 3                             (13)</w:t>
      </w:r>
    </w:p>
    <w:p>
      <w:pPr>
        <w:spacing w:before="200" w:after="80"/>
      </w:pPr>
      <w:r>
        <w:rPr>
          <w:rFonts w:ascii="Arial" w:hAnsi="Arial" w:cs="Arial"/>
          <w:b/>
          <w:i w:val="0"/>
          <w:sz w:val="22"/>
        </w:rPr>
        <w:t>3.4 Implementation and computational environment</w:t>
      </w:r>
    </w:p>
    <w:p>
      <w:pPr>
        <w:spacing w:after="80"/>
        <w:ind w:firstLine="340"/>
        <w:jc w:val="both"/>
      </w:pPr>
      <w:r>
        <w:rPr>
          <w:rFonts w:ascii="Times New Roman" w:hAnsi="Times New Roman" w:cs="Times New Roman"/>
          <w:b w:val="0"/>
          <w:i w:val="0"/>
          <w:sz w:val="20"/>
        </w:rPr>
        <w:t xml:space="preserve">All computations run on a single laptop (16 GB RAM) with Python 3.14, pandas, numpy, scipy, scikit-learn, sentence-transformers, umap-learn, networkx, python-louvain, matplotlib, and python-docx. Topic modeling uses the multilingual embeddings </w:t>
      </w:r>
      <w:r>
        <w:rPr>
          <w:rFonts w:ascii="Times New Roman" w:hAnsi="Times New Roman" w:cs="Times New Roman"/>
          <w:b w:val="0"/>
          <w:i/>
          <w:sz w:val="20"/>
        </w:rPr>
        <w:t>paraphrase-multilingual-MiniLM-L12-v2</w:t>
      </w:r>
      <w:r>
        <w:rPr>
          <w:rFonts w:ascii="Times New Roman" w:hAnsi="Times New Roman" w:cs="Times New Roman"/>
          <w:b w:val="0"/>
          <w:i w:val="0"/>
          <w:sz w:val="20"/>
        </w:rPr>
        <w:t xml:space="preserve"> [22] reduced to 5D by UMAP [23] and clustered with KMeans; the number of clusters K = 24 was selected by silhouette score (= 0.43) over K ∈ [10, 25]. Bootstrap resampling for the neutrosophic Lotka (B = 1 000) uses fixed random state 42. The composite pipeline is documented in twenty numbered scripts (01–20 and neutrosophic extensions 27–29).</w:t>
      </w:r>
    </w:p>
    <w:p>
      <w:pPr>
        <w:spacing w:before="280" w:after="120"/>
      </w:pPr>
      <w:r>
        <w:rPr>
          <w:rFonts w:ascii="Arial" w:hAnsi="Arial" w:cs="Arial"/>
          <w:b/>
          <w:i w:val="0"/>
          <w:sz w:val="24"/>
        </w:rPr>
        <w:t>4. Classical Bibliometric Retrospective of NCML</w:t>
      </w:r>
    </w:p>
    <w:p>
      <w:pPr>
        <w:spacing w:after="80"/>
        <w:ind w:firstLine="340"/>
        <w:jc w:val="both"/>
      </w:pPr>
      <w:r>
        <w:rPr>
          <w:rFonts w:ascii="Times New Roman" w:hAnsi="Times New Roman" w:cs="Times New Roman"/>
          <w:b w:val="0"/>
          <w:i w:val="0"/>
          <w:sz w:val="20"/>
        </w:rPr>
        <w:t>This section presents the classical bibliometric findings on the NCML corpus. Each subsection addresses one research question and references the corresponding figure. Section 5 will subsequently re-analyse the same corpus through the neutrosophic framework of Section 3.</w:t>
      </w:r>
    </w:p>
    <w:p>
      <w:pPr>
        <w:spacing w:before="200" w:after="80"/>
      </w:pPr>
      <w:r>
        <w:rPr>
          <w:rFonts w:ascii="Arial" w:hAnsi="Arial" w:cs="Arial"/>
          <w:b/>
          <w:i w:val="0"/>
          <w:sz w:val="22"/>
        </w:rPr>
        <w:t>4.1 Editorial growth and community formation (RQ1)</w:t>
      </w:r>
    </w:p>
    <w:p>
      <w:pPr>
        <w:spacing w:after="80"/>
        <w:ind w:firstLine="340"/>
        <w:jc w:val="both"/>
      </w:pPr>
      <w:r>
        <w:rPr>
          <w:rFonts w:ascii="Times New Roman" w:hAnsi="Times New Roman" w:cs="Times New Roman"/>
          <w:b w:val="0"/>
          <w:i w:val="0"/>
          <w:sz w:val="20"/>
        </w:rPr>
        <w:t xml:space="preserve">Between 2018 and 2026, NCML published </w:t>
      </w:r>
      <w:r>
        <w:rPr>
          <w:rFonts w:ascii="Times New Roman" w:hAnsi="Times New Roman" w:cs="Times New Roman"/>
          <w:b/>
          <w:i w:val="0"/>
          <w:sz w:val="20"/>
        </w:rPr>
        <w:t>762 articles</w:t>
      </w:r>
      <w:r>
        <w:rPr>
          <w:rFonts w:ascii="Times New Roman" w:hAnsi="Times New Roman" w:cs="Times New Roman"/>
          <w:b w:val="0"/>
          <w:i w:val="0"/>
          <w:sz w:val="20"/>
        </w:rPr>
        <w:t xml:space="preserve"> distributed across </w:t>
      </w:r>
      <w:r>
        <w:rPr>
          <w:rFonts w:ascii="Times New Roman" w:hAnsi="Times New Roman" w:cs="Times New Roman"/>
          <w:b/>
          <w:i w:val="0"/>
          <w:sz w:val="20"/>
        </w:rPr>
        <w:t>42 volumes</w:t>
      </w:r>
      <w:r>
        <w:rPr>
          <w:rFonts w:ascii="Times New Roman" w:hAnsi="Times New Roman" w:cs="Times New Roman"/>
          <w:b w:val="0"/>
          <w:i w:val="0"/>
          <w:sz w:val="20"/>
        </w:rPr>
        <w:t xml:space="preserve">. Annual growth follows a marked exponential trajectory, with a compound annual growth rate (CAGR) of </w:t>
      </w:r>
      <w:r>
        <w:rPr>
          <w:rFonts w:ascii="Times New Roman" w:hAnsi="Times New Roman" w:cs="Times New Roman"/>
          <w:b/>
          <w:i w:val="0"/>
          <w:sz w:val="20"/>
        </w:rPr>
        <w:t>42%</w:t>
      </w:r>
      <w:r>
        <w:rPr>
          <w:rFonts w:ascii="Times New Roman" w:hAnsi="Times New Roman" w:cs="Times New Roman"/>
          <w:b w:val="0"/>
          <w:i w:val="0"/>
          <w:sz w:val="20"/>
        </w:rPr>
        <w:t xml:space="preserve"> between 2018 and 2025 (Figure 1A). The journal rose from 24 articles in 2018 to 250 in 2025, a ten-fold multiplier in seven years. The year 2026 appears as partial because the cutoff is April 2026.</w:t>
      </w:r>
    </w:p>
    <w:p>
      <w:pPr>
        <w:spacing w:after="80"/>
        <w:ind w:firstLine="340"/>
        <w:jc w:val="both"/>
      </w:pPr>
      <w:r>
        <w:rPr>
          <w:rFonts w:ascii="Times New Roman" w:hAnsi="Times New Roman" w:cs="Times New Roman"/>
          <w:b w:val="0"/>
          <w:i w:val="0"/>
          <w:sz w:val="20"/>
        </w:rPr>
        <w:t>Cumulative community formation grew in parallel (Figure 1B). Unique authors moved from 50 in 2018 to 1 363 in 2026, a factor of 27×. The rate of new authors per year was stable at ~50–65 between 2018 and 2021, then sextupled from 2023 onward (124 new authors in 2022, 323 in 2023, 316 in 2024, 349 in 2025), indicating an expansion of the collaborator pool that accompanied the volume growth.</w:t>
      </w:r>
    </w:p>
    <w:p>
      <w:pPr>
        <w:jc w:val="center"/>
      </w:pPr>
      <w:r>
        <w:drawing>
          <wp:inline xmlns:a="http://schemas.openxmlformats.org/drawingml/2006/main" xmlns:pic="http://schemas.openxmlformats.org/drawingml/2006/picture">
            <wp:extent cx="5760720" cy="2290306"/>
            <wp:docPr id="1" name="Picture 1"/>
            <wp:cNvGraphicFramePr>
              <a:graphicFrameLocks noChangeAspect="1"/>
            </wp:cNvGraphicFramePr>
            <a:graphic>
              <a:graphicData uri="http://schemas.openxmlformats.org/drawingml/2006/picture">
                <pic:pic>
                  <pic:nvPicPr>
                    <pic:cNvPr id="0" name="growth.png"/>
                    <pic:cNvPicPr/>
                  </pic:nvPicPr>
                  <pic:blipFill>
                    <a:blip r:embed="rId10"/>
                    <a:stretch>
                      <a:fillRect/>
                    </a:stretch>
                  </pic:blipFill>
                  <pic:spPr>
                    <a:xfrm>
                      <a:off x="0" y="0"/>
                      <a:ext cx="5760720" cy="2290306"/>
                    </a:xfrm>
                    <a:prstGeom prst="rect"/>
                  </pic:spPr>
                </pic:pic>
              </a:graphicData>
            </a:graphic>
          </wp:inline>
        </w:drawing>
      </w:r>
    </w:p>
    <w:p>
      <w:pPr>
        <w:spacing w:after="160"/>
        <w:ind w:left="567"/>
        <w:jc w:val="both"/>
      </w:pPr>
      <w:r>
        <w:rPr>
          <w:rFonts w:ascii="Times New Roman" w:hAnsi="Times New Roman" w:cs="Times New Roman"/>
          <w:b/>
          <w:i/>
          <w:sz w:val="18"/>
        </w:rPr>
        <w:t>Figure 1.</w:t>
      </w:r>
      <w:r>
        <w:rPr>
          <w:rFonts w:ascii="Times New Roman" w:hAnsi="Times New Roman" w:cs="Times New Roman"/>
          <w:b w:val="0"/>
          <w:i/>
          <w:sz w:val="18"/>
        </w:rPr>
        <w:t xml:space="preserve"> Editorial growth of NCML. (A) Articles published per year with CAGR 2018-2025 = 42%. Hatched bars mark partial year data. (B) New authors per year and cumulative unique-author curve. (Source: </w:t>
      </w:r>
      <w:r>
        <w:rPr>
          <w:rFonts w:ascii="Consolas" w:hAnsi="Consolas" w:cs="Consolas"/>
          <w:b w:val="0"/>
          <w:i/>
          <w:sz w:val="16"/>
        </w:rPr>
        <w:t>growth.png</w:t>
      </w:r>
      <w:r>
        <w:rPr>
          <w:rFonts w:ascii="Times New Roman" w:hAnsi="Times New Roman" w:cs="Times New Roman"/>
          <w:b w:val="0"/>
          <w:i/>
          <w:sz w:val="18"/>
        </w:rPr>
        <w:t>.)</w:t>
      </w:r>
    </w:p>
    <w:p>
      <w:pPr>
        <w:spacing w:before="200" w:after="80"/>
      </w:pPr>
      <w:r>
        <w:rPr>
          <w:rFonts w:ascii="Arial" w:hAnsi="Arial" w:cs="Arial"/>
          <w:b/>
          <w:i w:val="0"/>
          <w:sz w:val="22"/>
        </w:rPr>
        <w:t>4.2 Geographic and institutional distribution</w:t>
      </w:r>
    </w:p>
    <w:p>
      <w:pPr>
        <w:spacing w:after="80"/>
        <w:ind w:firstLine="340"/>
        <w:jc w:val="both"/>
      </w:pPr>
      <w:r>
        <w:rPr>
          <w:rFonts w:ascii="Times New Roman" w:hAnsi="Times New Roman" w:cs="Times New Roman"/>
          <w:b w:val="0"/>
          <w:i w:val="0"/>
          <w:sz w:val="20"/>
        </w:rPr>
        <w:t>The distribution of authorships (based on the 88% of author rows with OpenAlex-extracted affiliation) shows extreme regional concentration (Figure 2A). Of 158 authorships with an identified country, 150 (94.9%) correspond to Iberoamerican countries. Ecuador concentrates 60.1% (95 authorships), Cuba 19.0% (30), and Venezuela 7.0% (11). The top-3 (Ecuador–Cuba–Venezuela) absorbs 86% of the total. Only 8 authorships originate outside Iberoamerica: Bulgaria (3), United States (3), India (1), Japan (1).</w:t>
      </w:r>
    </w:p>
    <w:p>
      <w:pPr>
        <w:spacing w:after="80"/>
        <w:ind w:firstLine="340"/>
        <w:jc w:val="both"/>
      </w:pPr>
      <w:r>
        <w:rPr>
          <w:rFonts w:ascii="Times New Roman" w:hAnsi="Times New Roman" w:cs="Times New Roman"/>
          <w:b w:val="0"/>
          <w:i w:val="0"/>
          <w:sz w:val="20"/>
        </w:rPr>
        <w:t>At the institutional level (Figure 2B), Universidad Regional Autonoma de los Andes (UNIANDES, Ecuador) leads with 23 authorships, followed by Universidad Bolivariana del Ecuador (UBE, 20), Universidad de Guayaquil (17), Universidad Estatal de Bolivar (15), Universidad de Holguin (12, Cuba), and Politecnica Salesiana (12, Ecuador). The top five institutions are all Ecuadorian; nine of the top ten are from Ecuador or Cuba.</w:t>
      </w:r>
    </w:p>
    <w:p>
      <w:pPr>
        <w:jc w:val="center"/>
      </w:pPr>
      <w:r>
        <w:drawing>
          <wp:inline xmlns:a="http://schemas.openxmlformats.org/drawingml/2006/main" xmlns:pic="http://schemas.openxmlformats.org/drawingml/2006/picture">
            <wp:extent cx="5760720" cy="4382930"/>
            <wp:docPr id="2" name="Picture 2"/>
            <wp:cNvGraphicFramePr>
              <a:graphicFrameLocks noChangeAspect="1"/>
            </wp:cNvGraphicFramePr>
            <a:graphic>
              <a:graphicData uri="http://schemas.openxmlformats.org/drawingml/2006/picture">
                <pic:pic>
                  <pic:nvPicPr>
                    <pic:cNvPr id="0" name="geo.png"/>
                    <pic:cNvPicPr/>
                  </pic:nvPicPr>
                  <pic:blipFill>
                    <a:blip r:embed="rId11"/>
                    <a:stretch>
                      <a:fillRect/>
                    </a:stretch>
                  </pic:blipFill>
                  <pic:spPr>
                    <a:xfrm>
                      <a:off x="0" y="0"/>
                      <a:ext cx="5760720" cy="4382930"/>
                    </a:xfrm>
                    <a:prstGeom prst="rect"/>
                  </pic:spPr>
                </pic:pic>
              </a:graphicData>
            </a:graphic>
          </wp:inline>
        </w:drawing>
      </w:r>
    </w:p>
    <w:p>
      <w:pPr>
        <w:spacing w:after="160"/>
        <w:ind w:left="567"/>
        <w:jc w:val="both"/>
      </w:pPr>
      <w:r>
        <w:rPr>
          <w:rFonts w:ascii="Times New Roman" w:hAnsi="Times New Roman" w:cs="Times New Roman"/>
          <w:b/>
          <w:i/>
          <w:sz w:val="18"/>
        </w:rPr>
        <w:t>Figure 2.</w:t>
      </w:r>
      <w:r>
        <w:rPr>
          <w:rFonts w:ascii="Times New Roman" w:hAnsi="Times New Roman" w:cs="Times New Roman"/>
          <w:b w:val="0"/>
          <w:i/>
          <w:sz w:val="18"/>
        </w:rPr>
        <w:t xml:space="preserve"> Geographic and institutional distribution of NCML authorships. (A) Authorships by country (Iberoamerican countries highlighted in red). (B) Top 15 institutions. (C) Regional concentration (95% Iberoamerican). (Source: </w:t>
      </w:r>
      <w:r>
        <w:rPr>
          <w:rFonts w:ascii="Consolas" w:hAnsi="Consolas" w:cs="Consolas"/>
          <w:b w:val="0"/>
          <w:i/>
          <w:sz w:val="16"/>
        </w:rPr>
        <w:t>geo.png</w:t>
      </w:r>
      <w:r>
        <w:rPr>
          <w:rFonts w:ascii="Times New Roman" w:hAnsi="Times New Roman" w:cs="Times New Roman"/>
          <w:b w:val="0"/>
          <w:i/>
          <w:sz w:val="18"/>
        </w:rPr>
        <w:t>.)</w:t>
      </w:r>
    </w:p>
    <w:p>
      <w:pPr>
        <w:spacing w:before="200" w:after="80"/>
      </w:pPr>
      <w:r>
        <w:rPr>
          <w:rFonts w:ascii="Arial" w:hAnsi="Arial" w:cs="Arial"/>
          <w:b/>
          <w:i w:val="0"/>
          <w:sz w:val="22"/>
        </w:rPr>
        <w:t>4.3 Author productivity and Lotka's law (RQ2)</w:t>
      </w:r>
    </w:p>
    <w:p>
      <w:pPr>
        <w:spacing w:after="80"/>
        <w:ind w:firstLine="340"/>
        <w:jc w:val="both"/>
      </w:pPr>
      <w:r>
        <w:rPr>
          <w:rFonts w:ascii="Times New Roman" w:hAnsi="Times New Roman" w:cs="Times New Roman"/>
          <w:b w:val="0"/>
          <w:i w:val="0"/>
          <w:sz w:val="20"/>
        </w:rPr>
        <w:t>The corpus exhibits the classical signatures of scientific productivity distributions: a large base of one-time authors and a thin tail of highly prolific ones. Of 1 363 unique authors, 940 (69%) appear in a single article, and only 51 (3.7%) have five or more. After disambiguation, the most prolific authors are Carmen Marina Méndez Cabrita (29 articles), Florentin Smarandache (25), and Maikel Leyva Vázquez (19).</w:t>
      </w:r>
    </w:p>
    <w:p>
      <w:pPr>
        <w:spacing w:after="80"/>
        <w:ind w:firstLine="340"/>
        <w:jc w:val="both"/>
      </w:pPr>
      <w:r>
        <w:rPr>
          <w:rFonts w:ascii="Times New Roman" w:hAnsi="Times New Roman" w:cs="Times New Roman"/>
          <w:b w:val="0"/>
          <w:i w:val="0"/>
          <w:sz w:val="20"/>
        </w:rPr>
        <w:t>Maximum-likelihood fitting of n(x) ∝ x^(-α) with x_min = 1 yields</w:t>
      </w:r>
    </w:p>
    <w:p>
      <w:pPr>
        <w:spacing w:after="80"/>
        <w:ind w:firstLine="340"/>
        <w:jc w:val="both"/>
      </w:pPr>
      <w:r>
        <w:rPr>
          <w:rFonts w:ascii="Times New Roman" w:hAnsi="Times New Roman" w:cs="Times New Roman"/>
          <w:b w:val="0"/>
          <w:i w:val="0"/>
          <w:sz w:val="20"/>
        </w:rPr>
        <w:t>α̂ = 2.027  (SE = 0.028, n = 1 363)</w:t>
      </w:r>
    </w:p>
    <w:p>
      <w:pPr>
        <w:spacing w:after="80"/>
        <w:ind w:firstLine="340"/>
        <w:jc w:val="both"/>
      </w:pPr>
      <w:r>
        <w:rPr>
          <w:rFonts w:ascii="Times New Roman" w:hAnsi="Times New Roman" w:cs="Times New Roman"/>
          <w:b w:val="0"/>
          <w:i w:val="0"/>
          <w:sz w:val="20"/>
        </w:rPr>
        <w:t>statistically indistinguishable from the classical α = 2. However, the Kolmogorov-Smirnov test is not passed (D = 0.120, 5%-critical = 0.038): the data deviate systematically from the theoretical distribution in two places (Figure 3). First, the empirical share of one-article authors (71.9%) exceeds the theoretical prediction (61.7%) by more than ten percentage points. Second, the tail shows non-smooth jumps in the interval [5, 29] articles.</w:t>
      </w:r>
    </w:p>
    <w:p>
      <w:pPr>
        <w:spacing w:after="80"/>
        <w:ind w:firstLine="340"/>
        <w:jc w:val="both"/>
      </w:pPr>
      <w:r>
        <w:rPr>
          <w:rFonts w:ascii="Times New Roman" w:hAnsi="Times New Roman" w:cs="Times New Roman"/>
          <w:b w:val="0"/>
          <w:i w:val="0"/>
          <w:sz w:val="20"/>
        </w:rPr>
        <w:t>The interpretation is consistent with the pattern of journals with a strong training function: a continuous flow of one-shot authors (graduate students, thesis candidates) overlays a small but highly productive editorial core. The Pareto curve confirms that 80% of articles come from the top ~17% of authors.</w:t>
      </w:r>
    </w:p>
    <w:p>
      <w:pPr>
        <w:jc w:val="center"/>
      </w:pPr>
      <w:r>
        <w:drawing>
          <wp:inline xmlns:a="http://schemas.openxmlformats.org/drawingml/2006/main" xmlns:pic="http://schemas.openxmlformats.org/drawingml/2006/picture">
            <wp:extent cx="5760720" cy="2251918"/>
            <wp:docPr id="3" name="Picture 3"/>
            <wp:cNvGraphicFramePr>
              <a:graphicFrameLocks noChangeAspect="1"/>
            </wp:cNvGraphicFramePr>
            <a:graphic>
              <a:graphicData uri="http://schemas.openxmlformats.org/drawingml/2006/picture">
                <pic:pic>
                  <pic:nvPicPr>
                    <pic:cNvPr id="0" name="lotka_loglog.png"/>
                    <pic:cNvPicPr/>
                  </pic:nvPicPr>
                  <pic:blipFill>
                    <a:blip r:embed="rId12"/>
                    <a:stretch>
                      <a:fillRect/>
                    </a:stretch>
                  </pic:blipFill>
                  <pic:spPr>
                    <a:xfrm>
                      <a:off x="0" y="0"/>
                      <a:ext cx="5760720" cy="2251918"/>
                    </a:xfrm>
                    <a:prstGeom prst="rect"/>
                  </pic:spPr>
                </pic:pic>
              </a:graphicData>
            </a:graphic>
          </wp:inline>
        </w:drawing>
      </w:r>
    </w:p>
    <w:p>
      <w:pPr>
        <w:spacing w:after="160"/>
        <w:ind w:left="567"/>
        <w:jc w:val="both"/>
      </w:pPr>
      <w:r>
        <w:rPr>
          <w:rFonts w:ascii="Times New Roman" w:hAnsi="Times New Roman" w:cs="Times New Roman"/>
          <w:b/>
          <w:i/>
          <w:sz w:val="18"/>
        </w:rPr>
        <w:t>Figure 3.</w:t>
      </w:r>
      <w:r>
        <w:rPr>
          <w:rFonts w:ascii="Times New Roman" w:hAnsi="Times New Roman" w:cs="Times New Roman"/>
          <w:b w:val="0"/>
          <w:i/>
          <w:sz w:val="18"/>
        </w:rPr>
        <w:t xml:space="preserve"> Lotka's law on NCML. (A) Empirical (points) versus MLE fit (red line) in log-log scale. (B) Empirical vs theoretical CDF, K-S = 0.12. (Source: </w:t>
      </w:r>
      <w:r>
        <w:rPr>
          <w:rFonts w:ascii="Consolas" w:hAnsi="Consolas" w:cs="Consolas"/>
          <w:b w:val="0"/>
          <w:i/>
          <w:sz w:val="16"/>
        </w:rPr>
        <w:t>lotka_loglog.png</w:t>
      </w:r>
      <w:r>
        <w:rPr>
          <w:rFonts w:ascii="Times New Roman" w:hAnsi="Times New Roman" w:cs="Times New Roman"/>
          <w:b w:val="0"/>
          <w:i/>
          <w:sz w:val="18"/>
        </w:rPr>
        <w:t>.)</w:t>
      </w:r>
    </w:p>
    <w:p>
      <w:pPr>
        <w:spacing w:before="200" w:after="80"/>
      </w:pPr>
      <w:r>
        <w:rPr>
          <w:rFonts w:ascii="Arial" w:hAnsi="Arial" w:cs="Arial"/>
          <w:b/>
          <w:i w:val="0"/>
          <w:sz w:val="22"/>
        </w:rPr>
        <w:t>4.4 Dispersion of cited sources and Bradford's law (RQ3)</w:t>
      </w:r>
    </w:p>
    <w:p>
      <w:pPr>
        <w:spacing w:after="80"/>
        <w:ind w:firstLine="340"/>
        <w:jc w:val="both"/>
      </w:pPr>
      <w:r>
        <w:rPr>
          <w:rFonts w:ascii="Times New Roman" w:hAnsi="Times New Roman" w:cs="Times New Roman"/>
          <w:b w:val="0"/>
          <w:i w:val="0"/>
          <w:sz w:val="20"/>
        </w:rPr>
        <w:t xml:space="preserve">The 21 943 references extracted from bibliography blocks (mean 31.1 per article) allowed identification of the source journal in 11 877 citations (54.1%), distributed over </w:t>
      </w:r>
      <w:r>
        <w:rPr>
          <w:rFonts w:ascii="Times New Roman" w:hAnsi="Times New Roman" w:cs="Times New Roman"/>
          <w:b/>
          <w:i w:val="0"/>
          <w:sz w:val="20"/>
        </w:rPr>
        <w:t>2 339 unique sources</w:t>
      </w:r>
      <w:r>
        <w:rPr>
          <w:rFonts w:ascii="Times New Roman" w:hAnsi="Times New Roman" w:cs="Times New Roman"/>
          <w:b w:val="0"/>
          <w:i w:val="0"/>
          <w:sz w:val="20"/>
        </w:rPr>
        <w:t>. The rest correspond mostly to books, theses, reports, and URLs, which fall outside the Bradford framework.</w:t>
      </w:r>
    </w:p>
    <w:p>
      <w:pPr>
        <w:spacing w:after="80"/>
        <w:ind w:firstLine="340"/>
        <w:jc w:val="both"/>
      </w:pPr>
      <w:r>
        <w:rPr>
          <w:rFonts w:ascii="Times New Roman" w:hAnsi="Times New Roman" w:cs="Times New Roman"/>
          <w:b w:val="0"/>
          <w:i w:val="0"/>
          <w:sz w:val="20"/>
        </w:rPr>
        <w:t>Partitioning into three equal-citation zones (Figure 4A) produces extreme concentration:</w:t>
      </w:r>
    </w:p>
    <w:p>
      <w:pPr>
        <w:pStyle w:val="ListBullet"/>
        <w:spacing w:after="40"/>
      </w:pPr>
      <w:r>
        <w:rPr>
          <w:rFonts w:ascii="Times New Roman" w:hAnsi="Times New Roman" w:cs="Times New Roman"/>
          <w:b/>
          <w:i w:val="0"/>
          <w:sz w:val="20"/>
        </w:rPr>
        <w:t>Zone 1 (nucleus):</w:t>
      </w:r>
      <w:r>
        <w:rPr>
          <w:rFonts w:ascii="Times New Roman" w:hAnsi="Times New Roman" w:cs="Times New Roman"/>
          <w:b w:val="0"/>
          <w:i w:val="0"/>
          <w:sz w:val="20"/>
        </w:rPr>
        <w:t xml:space="preserve"> 5 journals concentrate 3 963 citations (33.4%).</w:t>
      </w:r>
    </w:p>
    <w:p>
      <w:pPr>
        <w:pStyle w:val="ListBullet"/>
        <w:spacing w:after="40"/>
      </w:pPr>
      <w:r>
        <w:rPr>
          <w:rFonts w:ascii="Times New Roman" w:hAnsi="Times New Roman" w:cs="Times New Roman"/>
          <w:b/>
          <w:i w:val="0"/>
          <w:sz w:val="20"/>
        </w:rPr>
        <w:t>Zone 2 (middle):</w:t>
      </w:r>
      <w:r>
        <w:rPr>
          <w:rFonts w:ascii="Times New Roman" w:hAnsi="Times New Roman" w:cs="Times New Roman"/>
          <w:b w:val="0"/>
          <w:i w:val="0"/>
          <w:sz w:val="20"/>
        </w:rPr>
        <w:t xml:space="preserve"> 74 journals concentrate 3 970 citations (33.4%).</w:t>
      </w:r>
    </w:p>
    <w:p>
      <w:pPr>
        <w:pStyle w:val="ListBullet"/>
        <w:spacing w:after="40"/>
      </w:pPr>
      <w:r>
        <w:rPr>
          <w:rFonts w:ascii="Times New Roman" w:hAnsi="Times New Roman" w:cs="Times New Roman"/>
          <w:b/>
          <w:i w:val="0"/>
          <w:sz w:val="20"/>
        </w:rPr>
        <w:t>Zone 3 (periphery):</w:t>
      </w:r>
      <w:r>
        <w:rPr>
          <w:rFonts w:ascii="Times New Roman" w:hAnsi="Times New Roman" w:cs="Times New Roman"/>
          <w:b w:val="0"/>
          <w:i w:val="0"/>
          <w:sz w:val="20"/>
        </w:rPr>
        <w:t xml:space="preserve"> 2 260 journals concentrate 3 944 citations (33.2%).</w:t>
      </w:r>
    </w:p>
    <w:p>
      <w:pPr>
        <w:spacing w:after="80"/>
        <w:ind w:firstLine="340"/>
        <w:jc w:val="both"/>
      </w:pPr>
      <w:r>
        <w:rPr>
          <w:rFonts w:ascii="Times New Roman" w:hAnsi="Times New Roman" w:cs="Times New Roman"/>
          <w:b w:val="0"/>
          <w:i w:val="0"/>
          <w:sz w:val="20"/>
        </w:rPr>
        <w:t>The empirical Bradford multiplier is k = [14.8, 30.5], far from the constant value predicted by classical law (k ≈ 3–5). This indicates an extremely heterogeneous dispersion: the nucleus is 3 to 5 times more concentrated than typical.</w:t>
      </w:r>
    </w:p>
    <w:p>
      <w:pPr>
        <w:spacing w:after="80"/>
        <w:ind w:firstLine="340"/>
        <w:jc w:val="both"/>
      </w:pPr>
      <w:r>
        <w:rPr>
          <w:rFonts w:ascii="Times New Roman" w:hAnsi="Times New Roman" w:cs="Times New Roman"/>
          <w:b w:val="0"/>
          <w:i w:val="0"/>
          <w:sz w:val="20"/>
        </w:rPr>
        <w:t>The five nucleus journals (Figure 4B) are:</w:t>
      </w:r>
    </w:p>
    <w:tbl>
      <w:tblPr>
        <w:tblStyle w:val="LightGrid"/>
        <w:tblW w:type="auto" w:w="0"/>
        <w:tblLook w:firstColumn="1" w:firstRow="1" w:lastColumn="0" w:lastRow="0" w:noHBand="0" w:noVBand="1" w:val="04A0"/>
      </w:tblPr>
      <w:tblGrid>
        <w:gridCol w:w="3135"/>
        <w:gridCol w:w="3135"/>
        <w:gridCol w:w="3135"/>
      </w:tblGrid>
      <w:tr>
        <w:tc>
          <w:tcPr>
            <w:tcW w:type="dxa" w:w="3135"/>
          </w:tcPr>
          <w:p>
            <w:r/>
            <w:r>
              <w:rPr>
                <w:rFonts w:ascii="Arial" w:hAnsi="Arial" w:cs="Arial"/>
                <w:b/>
                <w:i w:val="0"/>
                <w:sz w:val="18"/>
              </w:rPr>
              <w:t>Rank</w:t>
            </w:r>
          </w:p>
        </w:tc>
        <w:tc>
          <w:tcPr>
            <w:tcW w:type="dxa" w:w="3135"/>
          </w:tcPr>
          <w:p>
            <w:r/>
            <w:r>
              <w:rPr>
                <w:rFonts w:ascii="Arial" w:hAnsi="Arial" w:cs="Arial"/>
                <w:b/>
                <w:i w:val="0"/>
                <w:sz w:val="18"/>
              </w:rPr>
              <w:t>Journal</w:t>
            </w:r>
          </w:p>
        </w:tc>
        <w:tc>
          <w:tcPr>
            <w:tcW w:type="dxa" w:w="3135"/>
          </w:tcPr>
          <w:p>
            <w:r/>
            <w:r>
              <w:rPr>
                <w:rFonts w:ascii="Arial" w:hAnsi="Arial" w:cs="Arial"/>
                <w:b/>
                <w:i w:val="0"/>
                <w:sz w:val="18"/>
              </w:rPr>
              <w:t>Citations</w:t>
            </w:r>
          </w:p>
        </w:tc>
      </w:tr>
      <w:tr>
        <w:tc>
          <w:tcPr>
            <w:tcW w:type="dxa" w:w="3135"/>
          </w:tcPr>
          <w:p>
            <w:r/>
            <w:r>
              <w:rPr>
                <w:rFonts w:ascii="Times New Roman" w:hAnsi="Times New Roman" w:cs="Times New Roman"/>
                <w:b w:val="0"/>
                <w:i w:val="0"/>
                <w:sz w:val="18"/>
              </w:rPr>
              <w:t>1</w:t>
            </w:r>
          </w:p>
        </w:tc>
        <w:tc>
          <w:tcPr>
            <w:tcW w:type="dxa" w:w="3135"/>
          </w:tcPr>
          <w:p>
            <w:r/>
            <w:r>
              <w:rPr>
                <w:rFonts w:ascii="Times New Roman" w:hAnsi="Times New Roman" w:cs="Times New Roman"/>
                <w:b w:val="0"/>
                <w:i w:val="0"/>
                <w:sz w:val="18"/>
              </w:rPr>
              <w:t>Neutrosophic Sets and Systems</w:t>
            </w:r>
          </w:p>
        </w:tc>
        <w:tc>
          <w:tcPr>
            <w:tcW w:type="dxa" w:w="3135"/>
          </w:tcPr>
          <w:p>
            <w:r/>
            <w:r>
              <w:rPr>
                <w:rFonts w:ascii="Times New Roman" w:hAnsi="Times New Roman" w:cs="Times New Roman"/>
                <w:b w:val="0"/>
                <w:i w:val="0"/>
                <w:sz w:val="18"/>
              </w:rPr>
              <w:t>1 047</w:t>
            </w:r>
          </w:p>
        </w:tc>
      </w:tr>
      <w:tr>
        <w:tc>
          <w:tcPr>
            <w:tcW w:type="dxa" w:w="3135"/>
          </w:tcPr>
          <w:p>
            <w:r/>
            <w:r>
              <w:rPr>
                <w:rFonts w:ascii="Times New Roman" w:hAnsi="Times New Roman" w:cs="Times New Roman"/>
                <w:b w:val="0"/>
                <w:i w:val="0"/>
                <w:sz w:val="18"/>
              </w:rPr>
              <w:t>2</w:t>
            </w:r>
          </w:p>
        </w:tc>
        <w:tc>
          <w:tcPr>
            <w:tcW w:type="dxa" w:w="3135"/>
          </w:tcPr>
          <w:p>
            <w:r/>
            <w:r>
              <w:rPr>
                <w:rFonts w:ascii="Times New Roman" w:hAnsi="Times New Roman" w:cs="Times New Roman"/>
                <w:b w:val="0"/>
                <w:i w:val="0"/>
                <w:sz w:val="18"/>
              </w:rPr>
              <w:t>Neutrosophic Computing and Machine Learning (self-citation)</w:t>
            </w:r>
          </w:p>
        </w:tc>
        <w:tc>
          <w:tcPr>
            <w:tcW w:type="dxa" w:w="3135"/>
          </w:tcPr>
          <w:p>
            <w:r/>
            <w:r>
              <w:rPr>
                <w:rFonts w:ascii="Times New Roman" w:hAnsi="Times New Roman" w:cs="Times New Roman"/>
                <w:b w:val="0"/>
                <w:i w:val="0"/>
                <w:sz w:val="18"/>
              </w:rPr>
              <w:t>1 000</w:t>
            </w:r>
          </w:p>
        </w:tc>
      </w:tr>
      <w:tr>
        <w:tc>
          <w:tcPr>
            <w:tcW w:type="dxa" w:w="3135"/>
          </w:tcPr>
          <w:p>
            <w:r/>
            <w:r>
              <w:rPr>
                <w:rFonts w:ascii="Times New Roman" w:hAnsi="Times New Roman" w:cs="Times New Roman"/>
                <w:b w:val="0"/>
                <w:i w:val="0"/>
                <w:sz w:val="18"/>
              </w:rPr>
              <w:t>3</w:t>
            </w:r>
          </w:p>
        </w:tc>
        <w:tc>
          <w:tcPr>
            <w:tcW w:type="dxa" w:w="3135"/>
          </w:tcPr>
          <w:p>
            <w:r/>
            <w:r>
              <w:rPr>
                <w:rFonts w:ascii="Times New Roman" w:hAnsi="Times New Roman" w:cs="Times New Roman"/>
                <w:b w:val="0"/>
                <w:i w:val="0"/>
                <w:sz w:val="18"/>
              </w:rPr>
              <w:t>Universidad y Sociedad (Cuba)</w:t>
            </w:r>
          </w:p>
        </w:tc>
        <w:tc>
          <w:tcPr>
            <w:tcW w:type="dxa" w:w="3135"/>
          </w:tcPr>
          <w:p>
            <w:r/>
            <w:r>
              <w:rPr>
                <w:rFonts w:ascii="Times New Roman" w:hAnsi="Times New Roman" w:cs="Times New Roman"/>
                <w:b w:val="0"/>
                <w:i w:val="0"/>
                <w:sz w:val="18"/>
              </w:rPr>
              <w:t>722</w:t>
            </w:r>
          </w:p>
        </w:tc>
      </w:tr>
      <w:tr>
        <w:tc>
          <w:tcPr>
            <w:tcW w:type="dxa" w:w="3135"/>
          </w:tcPr>
          <w:p>
            <w:r/>
            <w:r>
              <w:rPr>
                <w:rFonts w:ascii="Times New Roman" w:hAnsi="Times New Roman" w:cs="Times New Roman"/>
                <w:b w:val="0"/>
                <w:i w:val="0"/>
                <w:sz w:val="18"/>
              </w:rPr>
              <w:t>4</w:t>
            </w:r>
          </w:p>
        </w:tc>
        <w:tc>
          <w:tcPr>
            <w:tcW w:type="dxa" w:w="3135"/>
          </w:tcPr>
          <w:p>
            <w:r/>
            <w:r>
              <w:rPr>
                <w:rFonts w:ascii="Times New Roman" w:hAnsi="Times New Roman" w:cs="Times New Roman"/>
                <w:b w:val="0"/>
                <w:i w:val="0"/>
                <w:sz w:val="18"/>
              </w:rPr>
              <w:t>Serie Cientifica de la Universidad de las Ciencias Informaticas (Cuba)</w:t>
            </w:r>
          </w:p>
        </w:tc>
        <w:tc>
          <w:tcPr>
            <w:tcW w:type="dxa" w:w="3135"/>
          </w:tcPr>
          <w:p>
            <w:r/>
            <w:r>
              <w:rPr>
                <w:rFonts w:ascii="Times New Roman" w:hAnsi="Times New Roman" w:cs="Times New Roman"/>
                <w:b w:val="0"/>
                <w:i w:val="0"/>
                <w:sz w:val="18"/>
              </w:rPr>
              <w:t>608</w:t>
            </w:r>
          </w:p>
        </w:tc>
      </w:tr>
      <w:tr>
        <w:tc>
          <w:tcPr>
            <w:tcW w:type="dxa" w:w="3135"/>
          </w:tcPr>
          <w:p>
            <w:r/>
            <w:r>
              <w:rPr>
                <w:rFonts w:ascii="Times New Roman" w:hAnsi="Times New Roman" w:cs="Times New Roman"/>
                <w:b w:val="0"/>
                <w:i w:val="0"/>
                <w:sz w:val="18"/>
              </w:rPr>
              <w:t>5</w:t>
            </w:r>
          </w:p>
        </w:tc>
        <w:tc>
          <w:tcPr>
            <w:tcW w:type="dxa" w:w="3135"/>
          </w:tcPr>
          <w:p>
            <w:r/>
            <w:r>
              <w:rPr>
                <w:rFonts w:ascii="Times New Roman" w:hAnsi="Times New Roman" w:cs="Times New Roman"/>
                <w:b w:val="0"/>
                <w:i w:val="0"/>
                <w:sz w:val="18"/>
              </w:rPr>
              <w:t>Revista Conrado (Cuba)</w:t>
            </w:r>
          </w:p>
        </w:tc>
        <w:tc>
          <w:tcPr>
            <w:tcW w:type="dxa" w:w="3135"/>
          </w:tcPr>
          <w:p>
            <w:r/>
            <w:r>
              <w:rPr>
                <w:rFonts w:ascii="Times New Roman" w:hAnsi="Times New Roman" w:cs="Times New Roman"/>
                <w:b w:val="0"/>
                <w:i w:val="0"/>
                <w:sz w:val="18"/>
              </w:rPr>
              <w:t>586</w:t>
            </w:r>
          </w:p>
        </w:tc>
      </w:tr>
    </w:tbl>
    <w:p/>
    <w:p>
      <w:pPr>
        <w:spacing w:after="80"/>
        <w:ind w:firstLine="340"/>
        <w:jc w:val="both"/>
      </w:pPr>
      <w:r>
        <w:rPr>
          <w:rFonts w:ascii="Times New Roman" w:hAnsi="Times New Roman" w:cs="Times New Roman"/>
          <w:b w:val="0"/>
          <w:i w:val="0"/>
          <w:sz w:val="20"/>
        </w:rPr>
        <w:t xml:space="preserve">NSS and NCML jointly represent </w:t>
      </w:r>
      <w:r>
        <w:rPr>
          <w:rFonts w:ascii="Times New Roman" w:hAnsi="Times New Roman" w:cs="Times New Roman"/>
          <w:b/>
          <w:i w:val="0"/>
          <w:sz w:val="20"/>
        </w:rPr>
        <w:t>17.2% of the detected journal citations</w:t>
      </w:r>
      <w:r>
        <w:rPr>
          <w:rFonts w:ascii="Times New Roman" w:hAnsi="Times New Roman" w:cs="Times New Roman"/>
          <w:b w:val="0"/>
          <w:i w:val="0"/>
          <w:sz w:val="20"/>
        </w:rPr>
        <w:t>, confirming that the neutrosophic ecosystem is markedly self-referential. Among the top 15 most-cited journals, 8 are Iberoamerican journals not indexed in Scopus, and only 2 belong to mainstream international circuits (IEEE Transactions on Fuzzy Systems, Fuzzy Sets and Systems) with 105 combined citations (&lt;1% of the total).</w:t>
      </w:r>
    </w:p>
    <w:p>
      <w:pPr>
        <w:jc w:val="center"/>
      </w:pPr>
      <w:r>
        <w:drawing>
          <wp:inline xmlns:a="http://schemas.openxmlformats.org/drawingml/2006/main" xmlns:pic="http://schemas.openxmlformats.org/drawingml/2006/picture">
            <wp:extent cx="5760720" cy="2160270"/>
            <wp:docPr id="4" name="Picture 4"/>
            <wp:cNvGraphicFramePr>
              <a:graphicFrameLocks noChangeAspect="1"/>
            </wp:cNvGraphicFramePr>
            <a:graphic>
              <a:graphicData uri="http://schemas.openxmlformats.org/drawingml/2006/picture">
                <pic:pic>
                  <pic:nvPicPr>
                    <pic:cNvPr id="0" name="bradford.png"/>
                    <pic:cNvPicPr/>
                  </pic:nvPicPr>
                  <pic:blipFill>
                    <a:blip r:embed="rId13"/>
                    <a:stretch>
                      <a:fillRect/>
                    </a:stretch>
                  </pic:blipFill>
                  <pic:spPr>
                    <a:xfrm>
                      <a:off x="0" y="0"/>
                      <a:ext cx="5760720" cy="2160270"/>
                    </a:xfrm>
                    <a:prstGeom prst="rect"/>
                  </pic:spPr>
                </pic:pic>
              </a:graphicData>
            </a:graphic>
          </wp:inline>
        </w:drawing>
      </w:r>
    </w:p>
    <w:p>
      <w:pPr>
        <w:spacing w:after="160"/>
        <w:ind w:left="567"/>
        <w:jc w:val="both"/>
      </w:pPr>
      <w:r>
        <w:rPr>
          <w:rFonts w:ascii="Times New Roman" w:hAnsi="Times New Roman" w:cs="Times New Roman"/>
          <w:b/>
          <w:i/>
          <w:sz w:val="18"/>
        </w:rPr>
        <w:t>Figure 4.</w:t>
      </w:r>
      <w:r>
        <w:rPr>
          <w:rFonts w:ascii="Times New Roman" w:hAnsi="Times New Roman" w:cs="Times New Roman"/>
          <w:b w:val="0"/>
          <w:i/>
          <w:sz w:val="18"/>
        </w:rPr>
        <w:t xml:space="preserve"> Bradford's law on NCML. (A) Cumulative-citations curve vs journal rank (log scale) with zones 1 and 2 marked. (B) Top 20 cited journals; the heaviest are the neutrosophic ecosystem and Cuban journals of education and computer science. (Source: </w:t>
      </w:r>
      <w:r>
        <w:rPr>
          <w:rFonts w:ascii="Consolas" w:hAnsi="Consolas" w:cs="Consolas"/>
          <w:b w:val="0"/>
          <w:i/>
          <w:sz w:val="16"/>
        </w:rPr>
        <w:t>bradford.png</w:t>
      </w:r>
      <w:r>
        <w:rPr>
          <w:rFonts w:ascii="Times New Roman" w:hAnsi="Times New Roman" w:cs="Times New Roman"/>
          <w:b w:val="0"/>
          <w:i/>
          <w:sz w:val="18"/>
        </w:rPr>
        <w:t>.)</w:t>
      </w:r>
    </w:p>
    <w:p>
      <w:pPr>
        <w:spacing w:before="200" w:after="80"/>
      </w:pPr>
      <w:r>
        <w:rPr>
          <w:rFonts w:ascii="Arial" w:hAnsi="Arial" w:cs="Arial"/>
          <w:b/>
          <w:i w:val="0"/>
          <w:sz w:val="22"/>
        </w:rPr>
        <w:t>4.5 Thematic agenda and its evolution (RQ4)</w:t>
      </w:r>
    </w:p>
    <w:p>
      <w:pPr>
        <w:spacing w:after="80"/>
        <w:ind w:firstLine="340"/>
        <w:jc w:val="both"/>
      </w:pPr>
      <w:r>
        <w:rPr>
          <w:rFonts w:ascii="Times New Roman" w:hAnsi="Times New Roman" w:cs="Times New Roman"/>
          <w:b w:val="0"/>
          <w:i w:val="0"/>
          <w:sz w:val="20"/>
        </w:rPr>
        <w:t xml:space="preserve">Topic modeling on 725 documents with usable abstracts yielded </w:t>
      </w:r>
      <w:r>
        <w:rPr>
          <w:rFonts w:ascii="Times New Roman" w:hAnsi="Times New Roman" w:cs="Times New Roman"/>
          <w:b/>
          <w:i w:val="0"/>
          <w:sz w:val="20"/>
        </w:rPr>
        <w:t>24 distinct topics</w:t>
      </w:r>
      <w:r>
        <w:rPr>
          <w:rFonts w:ascii="Times New Roman" w:hAnsi="Times New Roman" w:cs="Times New Roman"/>
          <w:b w:val="0"/>
          <w:i w:val="0"/>
          <w:sz w:val="20"/>
        </w:rPr>
        <w:t xml:space="preserve"> (Figure 5), with silhouette score 0.43 (optimal K ∈ [10, 25]). The 2D UMAP projection shows a macrocluster structure with clearly separated domains:</w:t>
      </w:r>
    </w:p>
    <w:p>
      <w:pPr>
        <w:pStyle w:val="ListBullet"/>
        <w:spacing w:after="40"/>
      </w:pPr>
      <w:r>
        <w:rPr>
          <w:rFonts w:ascii="Times New Roman" w:hAnsi="Times New Roman" w:cs="Times New Roman"/>
          <w:b/>
          <w:i w:val="0"/>
          <w:sz w:val="20"/>
        </w:rPr>
        <w:t>Law and justice</w:t>
      </w:r>
      <w:r>
        <w:rPr>
          <w:rFonts w:ascii="Times New Roman" w:hAnsi="Times New Roman" w:cs="Times New Roman"/>
          <w:b w:val="0"/>
          <w:i w:val="0"/>
          <w:sz w:val="20"/>
        </w:rPr>
        <w:t xml:space="preserve"> (237 aggregated articles, 33% of the corpus):</w:t>
      </w:r>
    </w:p>
    <w:p>
      <w:pPr>
        <w:spacing w:after="80"/>
        <w:ind w:firstLine="340"/>
        <w:jc w:val="both"/>
      </w:pPr>
      <w:r>
        <w:rPr>
          <w:rFonts w:ascii="Times New Roman" w:hAnsi="Times New Roman" w:cs="Times New Roman"/>
          <w:b w:val="0"/>
          <w:i w:val="0"/>
          <w:sz w:val="20"/>
        </w:rPr>
        <w:t>T0 (law in Ecuador), T17 (labour and migration law), T9 (violence and victims), T23 (criminal law), T15 (indigenous peoples), T5 (administrative law), T6 (animal rights).</w:t>
      </w:r>
    </w:p>
    <w:p>
      <w:pPr>
        <w:pStyle w:val="ListBullet"/>
        <w:spacing w:after="40"/>
      </w:pPr>
      <w:r>
        <w:rPr>
          <w:rFonts w:ascii="Times New Roman" w:hAnsi="Times New Roman" w:cs="Times New Roman"/>
          <w:b/>
          <w:i w:val="0"/>
          <w:sz w:val="20"/>
        </w:rPr>
        <w:t>Health and medicine</w:t>
      </w:r>
      <w:r>
        <w:rPr>
          <w:rFonts w:ascii="Times New Roman" w:hAnsi="Times New Roman" w:cs="Times New Roman"/>
          <w:b w:val="0"/>
          <w:i w:val="0"/>
          <w:sz w:val="20"/>
        </w:rPr>
        <w:t xml:space="preserve"> (237, 33%): T22 (dentistry), T12</w:t>
      </w:r>
    </w:p>
    <w:p>
      <w:pPr>
        <w:spacing w:after="80"/>
        <w:ind w:firstLine="340"/>
        <w:jc w:val="both"/>
      </w:pPr>
      <w:r>
        <w:rPr>
          <w:rFonts w:ascii="Times New Roman" w:hAnsi="Times New Roman" w:cs="Times New Roman"/>
          <w:b w:val="0"/>
          <w:i w:val="0"/>
          <w:sz w:val="20"/>
        </w:rPr>
        <w:t>(infectious disease), T20 (depression and older adults), T3 (trauma and clinical neurology), T10 (clinical microbiology), T13 (pregnancy and maternal health), T11 (diabetes, obesity, hypertension), T1 (nursing care).</w:t>
      </w:r>
    </w:p>
    <w:p>
      <w:pPr>
        <w:pStyle w:val="ListBullet"/>
        <w:spacing w:after="40"/>
      </w:pPr>
      <w:r>
        <w:rPr>
          <w:rFonts w:ascii="Times New Roman" w:hAnsi="Times New Roman" w:cs="Times New Roman"/>
          <w:b/>
          <w:i w:val="0"/>
          <w:sz w:val="20"/>
        </w:rPr>
        <w:t>Education</w:t>
      </w:r>
      <w:r>
        <w:rPr>
          <w:rFonts w:ascii="Times New Roman" w:hAnsi="Times New Roman" w:cs="Times New Roman"/>
          <w:b w:val="0"/>
          <w:i w:val="0"/>
          <w:sz w:val="20"/>
        </w:rPr>
        <w:t xml:space="preserve"> (76, 13%): T14 (learning and students), T19</w:t>
      </w:r>
    </w:p>
    <w:p>
      <w:pPr>
        <w:spacing w:after="80"/>
        <w:ind w:firstLine="340"/>
        <w:jc w:val="both"/>
      </w:pPr>
      <w:r>
        <w:rPr>
          <w:rFonts w:ascii="Times New Roman" w:hAnsi="Times New Roman" w:cs="Times New Roman"/>
          <w:b w:val="0"/>
          <w:i w:val="0"/>
          <w:sz w:val="20"/>
        </w:rPr>
        <w:t>(pedagogy and teacher training).</w:t>
      </w:r>
    </w:p>
    <w:p>
      <w:pPr>
        <w:pStyle w:val="ListBullet"/>
        <w:spacing w:after="40"/>
      </w:pPr>
      <w:r>
        <w:rPr>
          <w:rFonts w:ascii="Times New Roman" w:hAnsi="Times New Roman" w:cs="Times New Roman"/>
          <w:b/>
          <w:i w:val="0"/>
          <w:sz w:val="20"/>
        </w:rPr>
        <w:t>Neutrosophic theory and methods</w:t>
      </w:r>
      <w:r>
        <w:rPr>
          <w:rFonts w:ascii="Times New Roman" w:hAnsi="Times New Roman" w:cs="Times New Roman"/>
          <w:b w:val="0"/>
          <w:i w:val="0"/>
          <w:sz w:val="20"/>
        </w:rPr>
        <w:t xml:space="preserve"> (98, 14%): T7 (theoretical</w:t>
      </w:r>
    </w:p>
    <w:p>
      <w:pPr>
        <w:spacing w:after="80"/>
        <w:ind w:firstLine="340"/>
        <w:jc w:val="both"/>
      </w:pPr>
      <w:r>
        <w:rPr>
          <w:rFonts w:ascii="Times New Roman" w:hAnsi="Times New Roman" w:cs="Times New Roman"/>
          <w:b w:val="0"/>
          <w:i w:val="0"/>
          <w:sz w:val="20"/>
        </w:rPr>
        <w:t>developments by Smarandache), T16 (software and SVNS), T2 (fsQCA and machine learning).</w:t>
      </w:r>
    </w:p>
    <w:p>
      <w:pPr>
        <w:pStyle w:val="ListBullet"/>
        <w:spacing w:after="40"/>
      </w:pPr>
      <w:r>
        <w:rPr>
          <w:rFonts w:ascii="Times New Roman" w:hAnsi="Times New Roman" w:cs="Times New Roman"/>
          <w:b/>
          <w:i w:val="0"/>
          <w:sz w:val="20"/>
        </w:rPr>
        <w:t>Others</w:t>
      </w:r>
      <w:r>
        <w:rPr>
          <w:rFonts w:ascii="Times New Roman" w:hAnsi="Times New Roman" w:cs="Times New Roman"/>
          <w:b w:val="0"/>
          <w:i w:val="0"/>
          <w:sz w:val="20"/>
        </w:rPr>
        <w:t xml:space="preserve"> (62, 9%): T4 (digital and municipal sustainability), T21</w:t>
      </w:r>
    </w:p>
    <w:p>
      <w:pPr>
        <w:spacing w:after="80"/>
        <w:ind w:firstLine="340"/>
        <w:jc w:val="both"/>
      </w:pPr>
      <w:r>
        <w:rPr>
          <w:rFonts w:ascii="Times New Roman" w:hAnsi="Times New Roman" w:cs="Times New Roman"/>
          <w:b w:val="0"/>
          <w:i w:val="0"/>
          <w:sz w:val="20"/>
        </w:rPr>
        <w:t>(water and pollution), T18 (vehicles and energy), T8 (emotions in nursing).</w:t>
      </w:r>
    </w:p>
    <w:p>
      <w:pPr>
        <w:spacing w:after="80"/>
        <w:ind w:firstLine="340"/>
        <w:jc w:val="both"/>
      </w:pPr>
      <w:r>
        <w:rPr>
          <w:rFonts w:ascii="Times New Roman" w:hAnsi="Times New Roman" w:cs="Times New Roman"/>
          <w:b w:val="0"/>
          <w:i w:val="0"/>
          <w:sz w:val="20"/>
        </w:rPr>
        <w:t xml:space="preserve">Temporal evolution of topic share between 2018-2020 and 2023-2025 reveals a </w:t>
      </w:r>
      <w:r>
        <w:rPr>
          <w:rFonts w:ascii="Times New Roman" w:hAnsi="Times New Roman" w:cs="Times New Roman"/>
          <w:b/>
          <w:i w:val="0"/>
          <w:sz w:val="20"/>
        </w:rPr>
        <w:t>drastic identity shift in the journal</w:t>
      </w:r>
      <w:r>
        <w:rPr>
          <w:rFonts w:ascii="Times New Roman" w:hAnsi="Times New Roman" w:cs="Times New Roman"/>
          <w:b w:val="0"/>
          <w:i w:val="0"/>
          <w:sz w:val="20"/>
        </w:rPr>
        <w:t xml:space="preserve"> (Figure 6). The most-rising topics are all applied law or medicine: T0 Law/Ecuador (+6.8 percentage points), T22 Dentistry (+6.7 pp), T17 Labour/migration (+6.7 pp), T12 Disease/virus (+5.2 pp), T23 Criminal law (+5.1 pp). The most-falling topics are methodological and educational:</w:t>
      </w:r>
    </w:p>
    <w:p>
      <w:pPr>
        <w:pStyle w:val="ListBullet"/>
        <w:spacing w:after="40"/>
      </w:pPr>
      <w:r>
        <w:rPr>
          <w:rFonts w:ascii="Times New Roman" w:hAnsi="Times New Roman" w:cs="Times New Roman"/>
          <w:b w:val="0"/>
          <w:i w:val="0"/>
          <w:sz w:val="20"/>
        </w:rPr>
        <w:t xml:space="preserve">T14 Education/students: </w:t>
      </w:r>
      <w:r>
        <w:rPr>
          <w:rFonts w:ascii="Times New Roman" w:hAnsi="Times New Roman" w:cs="Times New Roman"/>
          <w:b/>
          <w:i w:val="0"/>
          <w:sz w:val="20"/>
        </w:rPr>
        <w:t>-21.6 pp</w:t>
      </w:r>
      <w:r>
        <w:rPr>
          <w:rFonts w:ascii="Times New Roman" w:hAnsi="Times New Roman" w:cs="Times New Roman"/>
          <w:b w:val="0"/>
          <w:i w:val="0"/>
          <w:sz w:val="20"/>
        </w:rPr>
        <w:t xml:space="preserve"> (from 28% of the corpus in</w:t>
      </w:r>
    </w:p>
    <w:p>
      <w:pPr>
        <w:spacing w:after="80"/>
        <w:ind w:firstLine="340"/>
        <w:jc w:val="both"/>
      </w:pPr>
      <w:r>
        <w:rPr>
          <w:rFonts w:ascii="Times New Roman" w:hAnsi="Times New Roman" w:cs="Times New Roman"/>
          <w:b w:val="0"/>
          <w:i w:val="0"/>
          <w:sz w:val="20"/>
        </w:rPr>
        <w:t>2018-2020 to 6% in 2023-2025).</w:t>
      </w:r>
    </w:p>
    <w:p>
      <w:pPr>
        <w:pStyle w:val="ListBullet"/>
        <w:spacing w:after="40"/>
      </w:pPr>
      <w:r>
        <w:rPr>
          <w:rFonts w:ascii="Times New Roman" w:hAnsi="Times New Roman" w:cs="Times New Roman"/>
          <w:b w:val="0"/>
          <w:i w:val="0"/>
          <w:sz w:val="20"/>
        </w:rPr>
        <w:t>T16 AI/software/SVNS: -16.3 pp.</w:t>
      </w:r>
    </w:p>
    <w:p>
      <w:pPr>
        <w:pStyle w:val="ListBullet"/>
        <w:spacing w:after="40"/>
      </w:pPr>
      <w:r>
        <w:rPr>
          <w:rFonts w:ascii="Times New Roman" w:hAnsi="Times New Roman" w:cs="Times New Roman"/>
          <w:b w:val="0"/>
          <w:i w:val="0"/>
          <w:sz w:val="20"/>
        </w:rPr>
        <w:t>T7 Smarandache/pure theory: -9.0 pp.</w:t>
      </w:r>
    </w:p>
    <w:p>
      <w:pPr>
        <w:pStyle w:val="ListBullet"/>
        <w:spacing w:after="40"/>
      </w:pPr>
      <w:r>
        <w:rPr>
          <w:rFonts w:ascii="Times New Roman" w:hAnsi="Times New Roman" w:cs="Times New Roman"/>
          <w:b w:val="0"/>
          <w:i w:val="0"/>
          <w:sz w:val="20"/>
        </w:rPr>
        <w:t>T2 fsQCA/Machine Learning: -7.6 pp.</w:t>
      </w:r>
    </w:p>
    <w:p>
      <w:pPr>
        <w:pStyle w:val="ListBullet"/>
        <w:spacing w:after="40"/>
      </w:pPr>
      <w:r>
        <w:rPr>
          <w:rFonts w:ascii="Times New Roman" w:hAnsi="Times New Roman" w:cs="Times New Roman"/>
          <w:b w:val="0"/>
          <w:i w:val="0"/>
          <w:sz w:val="20"/>
        </w:rPr>
        <w:t>T19 Pedagogy: -5.1 pp.</w:t>
      </w:r>
    </w:p>
    <w:p>
      <w:pPr>
        <w:jc w:val="center"/>
      </w:pPr>
      <w:r>
        <w:drawing>
          <wp:inline xmlns:a="http://schemas.openxmlformats.org/drawingml/2006/main" xmlns:pic="http://schemas.openxmlformats.org/drawingml/2006/picture">
            <wp:extent cx="5760720" cy="4166204"/>
            <wp:docPr id="5" name="Picture 5"/>
            <wp:cNvGraphicFramePr>
              <a:graphicFrameLocks noChangeAspect="1"/>
            </wp:cNvGraphicFramePr>
            <a:graphic>
              <a:graphicData uri="http://schemas.openxmlformats.org/drawingml/2006/picture">
                <pic:pic>
                  <pic:nvPicPr>
                    <pic:cNvPr id="0" name="topics_umap.png"/>
                    <pic:cNvPicPr/>
                  </pic:nvPicPr>
                  <pic:blipFill>
                    <a:blip r:embed="rId14"/>
                    <a:stretch>
                      <a:fillRect/>
                    </a:stretch>
                  </pic:blipFill>
                  <pic:spPr>
                    <a:xfrm>
                      <a:off x="0" y="0"/>
                      <a:ext cx="5760720" cy="4166204"/>
                    </a:xfrm>
                    <a:prstGeom prst="rect"/>
                  </pic:spPr>
                </pic:pic>
              </a:graphicData>
            </a:graphic>
          </wp:inline>
        </w:drawing>
      </w:r>
    </w:p>
    <w:p>
      <w:pPr>
        <w:spacing w:after="160"/>
        <w:ind w:left="567"/>
        <w:jc w:val="both"/>
      </w:pPr>
      <w:r>
        <w:rPr>
          <w:rFonts w:ascii="Times New Roman" w:hAnsi="Times New Roman" w:cs="Times New Roman"/>
          <w:b/>
          <w:i/>
          <w:sz w:val="18"/>
        </w:rPr>
        <w:t>Figure 5.</w:t>
      </w:r>
      <w:r>
        <w:rPr>
          <w:rFonts w:ascii="Times New Roman" w:hAnsi="Times New Roman" w:cs="Times New Roman"/>
          <w:b w:val="0"/>
          <w:i/>
          <w:sz w:val="18"/>
        </w:rPr>
        <w:t xml:space="preserve"> 2D UMAP map of the 24 identified topics, coloured by cluster (KMeans). (Source: </w:t>
      </w:r>
      <w:r>
        <w:rPr>
          <w:rFonts w:ascii="Consolas" w:hAnsi="Consolas" w:cs="Consolas"/>
          <w:b w:val="0"/>
          <w:i/>
          <w:sz w:val="16"/>
        </w:rPr>
        <w:t>topics_umap.png</w:t>
      </w:r>
      <w:r>
        <w:rPr>
          <w:rFonts w:ascii="Times New Roman" w:hAnsi="Times New Roman" w:cs="Times New Roman"/>
          <w:b w:val="0"/>
          <w:i/>
          <w:sz w:val="18"/>
        </w:rPr>
        <w:t>.)</w:t>
      </w:r>
    </w:p>
    <w:p>
      <w:pPr>
        <w:spacing w:after="80"/>
        <w:ind w:firstLine="340"/>
        <w:jc w:val="both"/>
      </w:pPr>
      <w:r>
        <w:rPr>
          <w:rFonts w:ascii="Times New Roman" w:hAnsi="Times New Roman" w:cs="Times New Roman"/>
          <w:b w:val="0"/>
          <w:i w:val="0"/>
          <w:sz w:val="20"/>
        </w:rPr>
        <w:t>&gt;</w:t>
      </w:r>
    </w:p>
    <w:p>
      <w:pPr>
        <w:jc w:val="center"/>
      </w:pPr>
      <w:r>
        <w:drawing>
          <wp:inline xmlns:a="http://schemas.openxmlformats.org/drawingml/2006/main" xmlns:pic="http://schemas.openxmlformats.org/drawingml/2006/picture">
            <wp:extent cx="5760720" cy="5760720"/>
            <wp:docPr id="6" name="Picture 6"/>
            <wp:cNvGraphicFramePr>
              <a:graphicFrameLocks noChangeAspect="1"/>
            </wp:cNvGraphicFramePr>
            <a:graphic>
              <a:graphicData uri="http://schemas.openxmlformats.org/drawingml/2006/picture">
                <pic:pic>
                  <pic:nvPicPr>
                    <pic:cNvPr id="0" name="topics_heatmap.png"/>
                    <pic:cNvPicPr/>
                  </pic:nvPicPr>
                  <pic:blipFill>
                    <a:blip r:embed="rId15"/>
                    <a:stretch>
                      <a:fillRect/>
                    </a:stretch>
                  </pic:blipFill>
                  <pic:spPr>
                    <a:xfrm>
                      <a:off x="0" y="0"/>
                      <a:ext cx="5760720" cy="5760720"/>
                    </a:xfrm>
                    <a:prstGeom prst="rect"/>
                  </pic:spPr>
                </pic:pic>
              </a:graphicData>
            </a:graphic>
          </wp:inline>
        </w:drawing>
      </w:r>
    </w:p>
    <w:p>
      <w:pPr>
        <w:jc w:val="center"/>
      </w:pPr>
      <w:r>
        <w:drawing>
          <wp:inline xmlns:a="http://schemas.openxmlformats.org/drawingml/2006/main" xmlns:pic="http://schemas.openxmlformats.org/drawingml/2006/picture">
            <wp:extent cx="5760720" cy="4608576"/>
            <wp:docPr id="7" name="Picture 7"/>
            <wp:cNvGraphicFramePr>
              <a:graphicFrameLocks noChangeAspect="1"/>
            </wp:cNvGraphicFramePr>
            <a:graphic>
              <a:graphicData uri="http://schemas.openxmlformats.org/drawingml/2006/picture">
                <pic:pic>
                  <pic:nvPicPr>
                    <pic:cNvPr id="0" name="topics_trend.png"/>
                    <pic:cNvPicPr/>
                  </pic:nvPicPr>
                  <pic:blipFill>
                    <a:blip r:embed="rId16"/>
                    <a:stretch>
                      <a:fillRect/>
                    </a:stretch>
                  </pic:blipFill>
                  <pic:spPr>
                    <a:xfrm>
                      <a:off x="0" y="0"/>
                      <a:ext cx="5760720" cy="4608576"/>
                    </a:xfrm>
                    <a:prstGeom prst="rect"/>
                  </pic:spPr>
                </pic:pic>
              </a:graphicData>
            </a:graphic>
          </wp:inline>
        </w:drawing>
      </w:r>
    </w:p>
    <w:p>
      <w:pPr>
        <w:spacing w:after="160"/>
        <w:ind w:left="567"/>
        <w:jc w:val="both"/>
      </w:pPr>
      <w:r>
        <w:rPr>
          <w:rFonts w:ascii="Times New Roman" w:hAnsi="Times New Roman" w:cs="Times New Roman"/>
          <w:b/>
          <w:i/>
          <w:sz w:val="18"/>
        </w:rPr>
        <w:t>Figure 6.</w:t>
      </w:r>
      <w:r>
        <w:rPr>
          <w:rFonts w:ascii="Times New Roman" w:hAnsi="Times New Roman" w:cs="Times New Roman"/>
          <w:b w:val="0"/>
          <w:i/>
          <w:sz w:val="18"/>
        </w:rPr>
        <w:t xml:space="preserve"> Temporal evolution of the thematic agenda. (A) Topic- year heatmap with percentages by column. (B) Horizontal bar chart showing change in share (percentage points) between 2018-2020 and 2023-2025; emerging topics in blue, declining in red. (Source: </w:t>
      </w:r>
      <w:r>
        <w:rPr>
          <w:rFonts w:ascii="Consolas" w:hAnsi="Consolas" w:cs="Consolas"/>
          <w:b w:val="0"/>
          <w:i/>
          <w:sz w:val="16"/>
        </w:rPr>
        <w:t>topics_heatmap.png</w:t>
      </w:r>
      <w:r>
        <w:rPr>
          <w:rFonts w:ascii="Times New Roman" w:hAnsi="Times New Roman" w:cs="Times New Roman"/>
          <w:b w:val="0"/>
          <w:i/>
          <w:sz w:val="18"/>
        </w:rPr>
        <w:t xml:space="preserve"> and </w:t>
      </w:r>
      <w:r>
        <w:rPr>
          <w:rFonts w:ascii="Consolas" w:hAnsi="Consolas" w:cs="Consolas"/>
          <w:b w:val="0"/>
          <w:i/>
          <w:sz w:val="16"/>
        </w:rPr>
        <w:t>topics_trend.png</w:t>
      </w:r>
      <w:r>
        <w:rPr>
          <w:rFonts w:ascii="Times New Roman" w:hAnsi="Times New Roman" w:cs="Times New Roman"/>
          <w:b w:val="0"/>
          <w:i/>
          <w:sz w:val="18"/>
        </w:rPr>
        <w:t>.)</w:t>
      </w:r>
    </w:p>
    <w:p>
      <w:pPr>
        <w:spacing w:before="200" w:after="80"/>
      </w:pPr>
      <w:r>
        <w:rPr>
          <w:rFonts w:ascii="Arial" w:hAnsi="Arial" w:cs="Arial"/>
          <w:b/>
          <w:i w:val="0"/>
          <w:sz w:val="22"/>
        </w:rPr>
        <w:t>4.6 Co-authorship network and invisible colleges</w:t>
      </w:r>
    </w:p>
    <w:p>
      <w:pPr>
        <w:spacing w:after="80"/>
        <w:ind w:firstLine="340"/>
        <w:jc w:val="both"/>
      </w:pPr>
      <w:r>
        <w:rPr>
          <w:rFonts w:ascii="Times New Roman" w:hAnsi="Times New Roman" w:cs="Times New Roman"/>
          <w:b w:val="0"/>
          <w:i w:val="0"/>
          <w:sz w:val="20"/>
        </w:rPr>
        <w:t xml:space="preserve">The full co-authorship graph contains </w:t>
      </w:r>
      <w:r>
        <w:rPr>
          <w:rFonts w:ascii="Times New Roman" w:hAnsi="Times New Roman" w:cs="Times New Roman"/>
          <w:b/>
          <w:i w:val="0"/>
          <w:sz w:val="20"/>
        </w:rPr>
        <w:t>1 363 nodes</w:t>
      </w:r>
      <w:r>
        <w:rPr>
          <w:rFonts w:ascii="Times New Roman" w:hAnsi="Times New Roman" w:cs="Times New Roman"/>
          <w:b w:val="0"/>
          <w:i w:val="0"/>
          <w:sz w:val="20"/>
        </w:rPr>
        <w:t xml:space="preserve"> and </w:t>
      </w:r>
      <w:r>
        <w:rPr>
          <w:rFonts w:ascii="Times New Roman" w:hAnsi="Times New Roman" w:cs="Times New Roman"/>
          <w:b/>
          <w:i w:val="0"/>
          <w:sz w:val="20"/>
        </w:rPr>
        <w:t>2 174 edges</w:t>
      </w:r>
      <w:r>
        <w:rPr>
          <w:rFonts w:ascii="Times New Roman" w:hAnsi="Times New Roman" w:cs="Times New Roman"/>
          <w:b w:val="0"/>
          <w:i w:val="0"/>
          <w:sz w:val="20"/>
        </w:rPr>
        <w:t xml:space="preserve">, with density 0.0023 and mean degree 3.19. The structure is extremely fragmented: 264 connected components are identified, and the main component groups only </w:t>
      </w:r>
      <w:r>
        <w:rPr>
          <w:rFonts w:ascii="Times New Roman" w:hAnsi="Times New Roman" w:cs="Times New Roman"/>
          <w:b/>
          <w:i w:val="0"/>
          <w:sz w:val="20"/>
        </w:rPr>
        <w:t>15.8% of authors</w:t>
      </w:r>
      <w:r>
        <w:rPr>
          <w:rFonts w:ascii="Times New Roman" w:hAnsi="Times New Roman" w:cs="Times New Roman"/>
          <w:b w:val="0"/>
          <w:i w:val="0"/>
          <w:sz w:val="20"/>
        </w:rPr>
        <w:t xml:space="preserve"> (216 nodes). This is unusual for a journal with such editorial volume and contrasts sharply with the networks of established journals such as NSS.</w:t>
      </w:r>
    </w:p>
    <w:p>
      <w:pPr>
        <w:spacing w:after="80"/>
        <w:ind w:firstLine="340"/>
        <w:jc w:val="both"/>
      </w:pPr>
      <w:r>
        <w:rPr>
          <w:rFonts w:ascii="Times New Roman" w:hAnsi="Times New Roman" w:cs="Times New Roman"/>
          <w:b w:val="0"/>
          <w:i w:val="0"/>
          <w:sz w:val="20"/>
        </w:rPr>
        <w:t xml:space="preserve">Louvain community detection on the full graph yields </w:t>
      </w:r>
      <w:r>
        <w:rPr>
          <w:rFonts w:ascii="Times New Roman" w:hAnsi="Times New Roman" w:cs="Times New Roman"/>
          <w:b/>
          <w:i w:val="0"/>
          <w:sz w:val="20"/>
        </w:rPr>
        <w:t>modularity = 0.96</w:t>
      </w:r>
      <w:r>
        <w:rPr>
          <w:rFonts w:ascii="Times New Roman" w:hAnsi="Times New Roman" w:cs="Times New Roman"/>
          <w:b w:val="0"/>
          <w:i w:val="0"/>
          <w:sz w:val="20"/>
        </w:rPr>
        <w:t xml:space="preserve"> with 81 communities, indicating a near-perfectly disjoint group structure. The largest communities correspond to Ecuadorian university groups:</w:t>
      </w:r>
    </w:p>
    <w:tbl>
      <w:tblPr>
        <w:tblStyle w:val="LightGrid"/>
        <w:tblW w:type="auto" w:w="0"/>
        <w:tblLook w:firstColumn="1" w:firstRow="1" w:lastColumn="0" w:lastRow="0" w:noHBand="0" w:noVBand="1" w:val="04A0"/>
      </w:tblPr>
      <w:tblGrid>
        <w:gridCol w:w="2351"/>
        <w:gridCol w:w="2351"/>
        <w:gridCol w:w="2351"/>
        <w:gridCol w:w="2351"/>
      </w:tblGrid>
      <w:tr>
        <w:tc>
          <w:tcPr>
            <w:tcW w:type="dxa" w:w="2351"/>
          </w:tcPr>
          <w:p>
            <w:r/>
            <w:r>
              <w:rPr>
                <w:rFonts w:ascii="Arial" w:hAnsi="Arial" w:cs="Arial"/>
                <w:b/>
                <w:i w:val="0"/>
                <w:sz w:val="18"/>
              </w:rPr>
              <w:t>Community</w:t>
            </w:r>
          </w:p>
        </w:tc>
        <w:tc>
          <w:tcPr>
            <w:tcW w:type="dxa" w:w="2351"/>
          </w:tcPr>
          <w:p>
            <w:r/>
            <w:r>
              <w:rPr>
                <w:rFonts w:ascii="Arial" w:hAnsi="Arial" w:cs="Arial"/>
                <w:b/>
                <w:i w:val="0"/>
                <w:sz w:val="18"/>
              </w:rPr>
              <w:t>Members</w:t>
            </w:r>
          </w:p>
        </w:tc>
        <w:tc>
          <w:tcPr>
            <w:tcW w:type="dxa" w:w="2351"/>
          </w:tcPr>
          <w:p>
            <w:r/>
            <w:r>
              <w:rPr>
                <w:rFonts w:ascii="Arial" w:hAnsi="Arial" w:cs="Arial"/>
                <w:b/>
                <w:i w:val="0"/>
                <w:sz w:val="18"/>
              </w:rPr>
              <w:t>Articles</w:t>
            </w:r>
          </w:p>
        </w:tc>
        <w:tc>
          <w:tcPr>
            <w:tcW w:type="dxa" w:w="2351"/>
          </w:tcPr>
          <w:p>
            <w:r/>
            <w:r>
              <w:rPr>
                <w:rFonts w:ascii="Arial" w:hAnsi="Arial" w:cs="Arial"/>
                <w:b/>
                <w:i w:val="0"/>
                <w:sz w:val="18"/>
              </w:rPr>
              <w:t>Principal authors</w:t>
            </w:r>
          </w:p>
        </w:tc>
      </w:tr>
      <w:tr>
        <w:tc>
          <w:tcPr>
            <w:tcW w:type="dxa" w:w="2351"/>
          </w:tcPr>
          <w:p>
            <w:r/>
            <w:r>
              <w:rPr>
                <w:rFonts w:ascii="Times New Roman" w:hAnsi="Times New Roman" w:cs="Times New Roman"/>
                <w:b w:val="0"/>
                <w:i w:val="0"/>
                <w:sz w:val="18"/>
              </w:rPr>
              <w:t>C33</w:t>
            </w:r>
          </w:p>
        </w:tc>
        <w:tc>
          <w:tcPr>
            <w:tcW w:type="dxa" w:w="2351"/>
          </w:tcPr>
          <w:p>
            <w:r/>
            <w:r>
              <w:rPr>
                <w:rFonts w:ascii="Times New Roman" w:hAnsi="Times New Roman" w:cs="Times New Roman"/>
                <w:b w:val="0"/>
                <w:i w:val="0"/>
                <w:sz w:val="18"/>
              </w:rPr>
              <w:t>39</w:t>
            </w:r>
          </w:p>
        </w:tc>
        <w:tc>
          <w:tcPr>
            <w:tcW w:type="dxa" w:w="2351"/>
          </w:tcPr>
          <w:p>
            <w:r/>
            <w:r>
              <w:rPr>
                <w:rFonts w:ascii="Times New Roman" w:hAnsi="Times New Roman" w:cs="Times New Roman"/>
                <w:b w:val="0"/>
                <w:i w:val="0"/>
                <w:sz w:val="18"/>
              </w:rPr>
              <w:t>160</w:t>
            </w:r>
          </w:p>
        </w:tc>
        <w:tc>
          <w:tcPr>
            <w:tcW w:type="dxa" w:w="2351"/>
          </w:tcPr>
          <w:p>
            <w:r/>
            <w:r>
              <w:rPr>
                <w:rFonts w:ascii="Times New Roman" w:hAnsi="Times New Roman" w:cs="Times New Roman"/>
                <w:b w:val="0"/>
                <w:i w:val="0"/>
                <w:sz w:val="18"/>
              </w:rPr>
              <w:t>Méndez Cabrita, Isea Arguelles, Crespo Berti</w:t>
            </w:r>
          </w:p>
        </w:tc>
      </w:tr>
      <w:tr>
        <w:tc>
          <w:tcPr>
            <w:tcW w:type="dxa" w:w="2351"/>
          </w:tcPr>
          <w:p>
            <w:r/>
            <w:r>
              <w:rPr>
                <w:rFonts w:ascii="Times New Roman" w:hAnsi="Times New Roman" w:cs="Times New Roman"/>
                <w:b w:val="0"/>
                <w:i w:val="0"/>
                <w:sz w:val="18"/>
              </w:rPr>
              <w:t>C14</w:t>
            </w:r>
          </w:p>
        </w:tc>
        <w:tc>
          <w:tcPr>
            <w:tcW w:type="dxa" w:w="2351"/>
          </w:tcPr>
          <w:p>
            <w:r/>
            <w:r>
              <w:rPr>
                <w:rFonts w:ascii="Times New Roman" w:hAnsi="Times New Roman" w:cs="Times New Roman"/>
                <w:b w:val="0"/>
                <w:i w:val="0"/>
                <w:sz w:val="18"/>
              </w:rPr>
              <w:t>31</w:t>
            </w:r>
          </w:p>
        </w:tc>
        <w:tc>
          <w:tcPr>
            <w:tcW w:type="dxa" w:w="2351"/>
          </w:tcPr>
          <w:p>
            <w:r/>
            <w:r>
              <w:rPr>
                <w:rFonts w:ascii="Times New Roman" w:hAnsi="Times New Roman" w:cs="Times New Roman"/>
                <w:b w:val="0"/>
                <w:i w:val="0"/>
                <w:sz w:val="18"/>
              </w:rPr>
              <w:t>121</w:t>
            </w:r>
          </w:p>
        </w:tc>
        <w:tc>
          <w:tcPr>
            <w:tcW w:type="dxa" w:w="2351"/>
          </w:tcPr>
          <w:p>
            <w:r/>
            <w:r>
              <w:rPr>
                <w:rFonts w:ascii="Times New Roman" w:hAnsi="Times New Roman" w:cs="Times New Roman"/>
                <w:b w:val="0"/>
                <w:i w:val="0"/>
                <w:sz w:val="18"/>
              </w:rPr>
              <w:t>Fiallos Bonilla, Bucaram Caicedo, Urrutia Guevara</w:t>
            </w:r>
          </w:p>
        </w:tc>
      </w:tr>
      <w:tr>
        <w:tc>
          <w:tcPr>
            <w:tcW w:type="dxa" w:w="2351"/>
          </w:tcPr>
          <w:p>
            <w:r/>
            <w:r>
              <w:rPr>
                <w:rFonts w:ascii="Times New Roman" w:hAnsi="Times New Roman" w:cs="Times New Roman"/>
                <w:b w:val="0"/>
                <w:i w:val="0"/>
                <w:sz w:val="18"/>
              </w:rPr>
              <w:t>C12</w:t>
            </w:r>
          </w:p>
        </w:tc>
        <w:tc>
          <w:tcPr>
            <w:tcW w:type="dxa" w:w="2351"/>
          </w:tcPr>
          <w:p>
            <w:r/>
            <w:r>
              <w:rPr>
                <w:rFonts w:ascii="Times New Roman" w:hAnsi="Times New Roman" w:cs="Times New Roman"/>
                <w:b w:val="0"/>
                <w:i w:val="0"/>
                <w:sz w:val="18"/>
              </w:rPr>
              <w:t>23</w:t>
            </w:r>
          </w:p>
        </w:tc>
        <w:tc>
          <w:tcPr>
            <w:tcW w:type="dxa" w:w="2351"/>
          </w:tcPr>
          <w:p>
            <w:r/>
            <w:r>
              <w:rPr>
                <w:rFonts w:ascii="Times New Roman" w:hAnsi="Times New Roman" w:cs="Times New Roman"/>
                <w:b w:val="0"/>
                <w:i w:val="0"/>
                <w:sz w:val="18"/>
              </w:rPr>
              <w:t>74</w:t>
            </w:r>
          </w:p>
        </w:tc>
        <w:tc>
          <w:tcPr>
            <w:tcW w:type="dxa" w:w="2351"/>
          </w:tcPr>
          <w:p>
            <w:r/>
            <w:r>
              <w:rPr>
                <w:rFonts w:ascii="Times New Roman" w:hAnsi="Times New Roman" w:cs="Times New Roman"/>
                <w:b w:val="0"/>
                <w:i w:val="0"/>
                <w:sz w:val="18"/>
              </w:rPr>
              <w:t>López Torres, García Novillo, Salame Ortiz</w:t>
            </w:r>
          </w:p>
        </w:tc>
      </w:tr>
      <w:tr>
        <w:tc>
          <w:tcPr>
            <w:tcW w:type="dxa" w:w="2351"/>
          </w:tcPr>
          <w:p>
            <w:r/>
            <w:r>
              <w:rPr>
                <w:rFonts w:ascii="Times New Roman" w:hAnsi="Times New Roman" w:cs="Times New Roman"/>
                <w:b w:val="0"/>
                <w:i w:val="0"/>
                <w:sz w:val="18"/>
              </w:rPr>
              <w:t>C34</w:t>
            </w:r>
          </w:p>
        </w:tc>
        <w:tc>
          <w:tcPr>
            <w:tcW w:type="dxa" w:w="2351"/>
          </w:tcPr>
          <w:p>
            <w:r/>
            <w:r>
              <w:rPr>
                <w:rFonts w:ascii="Times New Roman" w:hAnsi="Times New Roman" w:cs="Times New Roman"/>
                <w:b w:val="0"/>
                <w:i w:val="0"/>
                <w:sz w:val="18"/>
              </w:rPr>
              <w:t>15</w:t>
            </w:r>
          </w:p>
        </w:tc>
        <w:tc>
          <w:tcPr>
            <w:tcW w:type="dxa" w:w="2351"/>
          </w:tcPr>
          <w:p>
            <w:r/>
            <w:r>
              <w:rPr>
                <w:rFonts w:ascii="Times New Roman" w:hAnsi="Times New Roman" w:cs="Times New Roman"/>
                <w:b w:val="0"/>
                <w:i w:val="0"/>
                <w:sz w:val="18"/>
              </w:rPr>
              <w:t>63</w:t>
            </w:r>
          </w:p>
        </w:tc>
        <w:tc>
          <w:tcPr>
            <w:tcW w:type="dxa" w:w="2351"/>
          </w:tcPr>
          <w:p>
            <w:r/>
            <w:r>
              <w:rPr>
                <w:rFonts w:ascii="Times New Roman" w:hAnsi="Times New Roman" w:cs="Times New Roman"/>
                <w:b w:val="0"/>
                <w:i w:val="0"/>
                <w:sz w:val="18"/>
              </w:rPr>
              <w:t>Quevedo Arnaiz, Benavides Salazar, García Arias</w:t>
            </w:r>
          </w:p>
        </w:tc>
      </w:tr>
      <w:tr>
        <w:tc>
          <w:tcPr>
            <w:tcW w:type="dxa" w:w="2351"/>
          </w:tcPr>
          <w:p>
            <w:r/>
            <w:r>
              <w:rPr>
                <w:rFonts w:ascii="Times New Roman" w:hAnsi="Times New Roman" w:cs="Times New Roman"/>
                <w:b/>
                <w:i w:val="0"/>
                <w:sz w:val="18"/>
              </w:rPr>
              <w:t>C29</w:t>
            </w:r>
          </w:p>
        </w:tc>
        <w:tc>
          <w:tcPr>
            <w:tcW w:type="dxa" w:w="2351"/>
          </w:tcPr>
          <w:p>
            <w:r/>
            <w:r>
              <w:rPr>
                <w:rFonts w:ascii="Times New Roman" w:hAnsi="Times New Roman" w:cs="Times New Roman"/>
                <w:b/>
                <w:i w:val="0"/>
                <w:sz w:val="18"/>
              </w:rPr>
              <w:t>9</w:t>
            </w:r>
          </w:p>
        </w:tc>
        <w:tc>
          <w:tcPr>
            <w:tcW w:type="dxa" w:w="2351"/>
          </w:tcPr>
          <w:p>
            <w:r/>
            <w:r>
              <w:rPr>
                <w:rFonts w:ascii="Times New Roman" w:hAnsi="Times New Roman" w:cs="Times New Roman"/>
                <w:b/>
                <w:i w:val="0"/>
                <w:sz w:val="18"/>
              </w:rPr>
              <w:t>61</w:t>
            </w:r>
          </w:p>
        </w:tc>
        <w:tc>
          <w:tcPr>
            <w:tcW w:type="dxa" w:w="2351"/>
          </w:tcPr>
          <w:p>
            <w:r/>
            <w:r>
              <w:rPr>
                <w:rFonts w:ascii="Times New Roman" w:hAnsi="Times New Roman" w:cs="Times New Roman"/>
                <w:b/>
                <w:i w:val="0"/>
                <w:sz w:val="18"/>
              </w:rPr>
              <w:t>Smarandache, Leyva Vázquez</w:t>
            </w:r>
          </w:p>
        </w:tc>
      </w:tr>
    </w:tbl>
    <w:p/>
    <w:p>
      <w:pPr>
        <w:spacing w:after="80"/>
        <w:ind w:firstLine="340"/>
        <w:jc w:val="both"/>
      </w:pPr>
      <w:r>
        <w:rPr>
          <w:rFonts w:ascii="Times New Roman" w:hAnsi="Times New Roman" w:cs="Times New Roman"/>
          <w:b w:val="0"/>
          <w:i w:val="0"/>
          <w:sz w:val="20"/>
        </w:rPr>
        <w:t>Community C29 (the international theoretical core Smarandache-Leyva) is the smallest of the top five but has the highest productivity per member (6.8 articles/author vs 4.1 in C33). It is also the only community with significant non-Iberoamerican representation. The mean clustering coefficient of the full graph (0.756) indicates that the few triangles are highly concentrated: teams are internally closed cliques with few outward connections. The diameter of the main component is 11 with mean path length 5.2.</w:t>
      </w:r>
    </w:p>
    <w:p>
      <w:pPr>
        <w:jc w:val="center"/>
      </w:pPr>
      <w:r>
        <w:drawing>
          <wp:inline xmlns:a="http://schemas.openxmlformats.org/drawingml/2006/main" xmlns:pic="http://schemas.openxmlformats.org/drawingml/2006/picture">
            <wp:extent cx="5760720" cy="4309218"/>
            <wp:docPr id="8" name="Picture 8"/>
            <wp:cNvGraphicFramePr>
              <a:graphicFrameLocks noChangeAspect="1"/>
            </wp:cNvGraphicFramePr>
            <a:graphic>
              <a:graphicData uri="http://schemas.openxmlformats.org/drawingml/2006/picture">
                <pic:pic>
                  <pic:nvPicPr>
                    <pic:cNvPr id="0" name="coauth_main.png"/>
                    <pic:cNvPicPr/>
                  </pic:nvPicPr>
                  <pic:blipFill>
                    <a:blip r:embed="rId17"/>
                    <a:stretch>
                      <a:fillRect/>
                    </a:stretch>
                  </pic:blipFill>
                  <pic:spPr>
                    <a:xfrm>
                      <a:off x="0" y="0"/>
                      <a:ext cx="5760720" cy="4309218"/>
                    </a:xfrm>
                    <a:prstGeom prst="rect"/>
                  </pic:spPr>
                </pic:pic>
              </a:graphicData>
            </a:graphic>
          </wp:inline>
        </w:drawing>
      </w:r>
    </w:p>
    <w:p>
      <w:pPr>
        <w:jc w:val="center"/>
      </w:pPr>
      <w:r>
        <w:drawing>
          <wp:inline xmlns:a="http://schemas.openxmlformats.org/drawingml/2006/main" xmlns:pic="http://schemas.openxmlformats.org/drawingml/2006/picture">
            <wp:extent cx="5760720" cy="4514809"/>
            <wp:docPr id="9" name="Picture 9"/>
            <wp:cNvGraphicFramePr>
              <a:graphicFrameLocks noChangeAspect="1"/>
            </wp:cNvGraphicFramePr>
            <a:graphic>
              <a:graphicData uri="http://schemas.openxmlformats.org/drawingml/2006/picture">
                <pic:pic>
                  <pic:nvPicPr>
                    <pic:cNvPr id="0" name="coauth_core.png"/>
                    <pic:cNvPicPr/>
                  </pic:nvPicPr>
                  <pic:blipFill>
                    <a:blip r:embed="rId18"/>
                    <a:stretch>
                      <a:fillRect/>
                    </a:stretch>
                  </pic:blipFill>
                  <pic:spPr>
                    <a:xfrm>
                      <a:off x="0" y="0"/>
                      <a:ext cx="5760720" cy="4514809"/>
                    </a:xfrm>
                    <a:prstGeom prst="rect"/>
                  </pic:spPr>
                </pic:pic>
              </a:graphicData>
            </a:graphic>
          </wp:inline>
        </w:drawing>
      </w:r>
    </w:p>
    <w:p>
      <w:pPr>
        <w:jc w:val="center"/>
      </w:pPr>
      <w:r>
        <w:drawing>
          <wp:inline xmlns:a="http://schemas.openxmlformats.org/drawingml/2006/main" xmlns:pic="http://schemas.openxmlformats.org/drawingml/2006/picture">
            <wp:extent cx="5760720" cy="4149569"/>
            <wp:docPr id="10" name="Picture 10"/>
            <wp:cNvGraphicFramePr>
              <a:graphicFrameLocks noChangeAspect="1"/>
            </wp:cNvGraphicFramePr>
            <a:graphic>
              <a:graphicData uri="http://schemas.openxmlformats.org/drawingml/2006/picture">
                <pic:pic>
                  <pic:nvPicPr>
                    <pic:cNvPr id="0" name="coauth_full.png"/>
                    <pic:cNvPicPr/>
                  </pic:nvPicPr>
                  <pic:blipFill>
                    <a:blip r:embed="rId19"/>
                    <a:stretch>
                      <a:fillRect/>
                    </a:stretch>
                  </pic:blipFill>
                  <pic:spPr>
                    <a:xfrm>
                      <a:off x="0" y="0"/>
                      <a:ext cx="5760720" cy="4149569"/>
                    </a:xfrm>
                    <a:prstGeom prst="rect"/>
                  </pic:spPr>
                </pic:pic>
              </a:graphicData>
            </a:graphic>
          </wp:inline>
        </w:drawing>
      </w:r>
    </w:p>
    <w:p>
      <w:pPr>
        <w:spacing w:after="160"/>
        <w:ind w:left="567"/>
        <w:jc w:val="both"/>
      </w:pPr>
      <w:r>
        <w:rPr>
          <w:rFonts w:ascii="Times New Roman" w:hAnsi="Times New Roman" w:cs="Times New Roman"/>
          <w:b/>
          <w:i/>
          <w:sz w:val="18"/>
        </w:rPr>
        <w:t>Figure 7.</w:t>
      </w:r>
      <w:r>
        <w:rPr>
          <w:rFonts w:ascii="Times New Roman" w:hAnsi="Times New Roman" w:cs="Times New Roman"/>
          <w:b w:val="0"/>
          <w:i/>
          <w:sz w:val="18"/>
        </w:rPr>
        <w:t xml:space="preserve"> NCML co-authorship network. (A) Main connected component (n = 216, 16% of all authors); colours by Louvain community. (B) Productive core (authors with ≥ 4 articles connected, n = 72). (C) Full filtered network (≥ 2 articles, n = 368), visualising fragmentation as a constellation of disjoint clusters. (Source: </w:t>
      </w:r>
      <w:r>
        <w:rPr>
          <w:rFonts w:ascii="Consolas" w:hAnsi="Consolas" w:cs="Consolas"/>
          <w:b w:val="0"/>
          <w:i/>
          <w:sz w:val="16"/>
        </w:rPr>
        <w:t>coauth_main.png</w:t>
      </w:r>
      <w:r>
        <w:rPr>
          <w:rFonts w:ascii="Times New Roman" w:hAnsi="Times New Roman" w:cs="Times New Roman"/>
          <w:b w:val="0"/>
          <w:i/>
          <w:sz w:val="18"/>
        </w:rPr>
        <w:t xml:space="preserve">, </w:t>
      </w:r>
      <w:r>
        <w:rPr>
          <w:rFonts w:ascii="Consolas" w:hAnsi="Consolas" w:cs="Consolas"/>
          <w:b w:val="0"/>
          <w:i/>
          <w:sz w:val="16"/>
        </w:rPr>
        <w:t>coauth_core.png</w:t>
      </w:r>
      <w:r>
        <w:rPr>
          <w:rFonts w:ascii="Times New Roman" w:hAnsi="Times New Roman" w:cs="Times New Roman"/>
          <w:b w:val="0"/>
          <w:i/>
          <w:sz w:val="18"/>
        </w:rPr>
        <w:t xml:space="preserve">, </w:t>
      </w:r>
      <w:r>
        <w:rPr>
          <w:rFonts w:ascii="Consolas" w:hAnsi="Consolas" w:cs="Consolas"/>
          <w:b w:val="0"/>
          <w:i/>
          <w:sz w:val="16"/>
        </w:rPr>
        <w:t>coauth_full.png</w:t>
      </w:r>
      <w:r>
        <w:rPr>
          <w:rFonts w:ascii="Times New Roman" w:hAnsi="Times New Roman" w:cs="Times New Roman"/>
          <w:b w:val="0"/>
          <w:i/>
          <w:sz w:val="18"/>
        </w:rPr>
        <w:t>.)</w:t>
      </w:r>
    </w:p>
    <w:p>
      <w:pPr>
        <w:spacing w:before="200" w:after="80"/>
      </w:pPr>
      <w:r>
        <w:rPr>
          <w:rFonts w:ascii="Arial" w:hAnsi="Arial" w:cs="Arial"/>
          <w:b/>
          <w:i w:val="0"/>
          <w:sz w:val="22"/>
        </w:rPr>
        <w:t>4.7 Citational impact: discrepancy between sources (RQ5)</w:t>
      </w:r>
    </w:p>
    <w:p>
      <w:pPr>
        <w:spacing w:after="80"/>
        <w:ind w:firstLine="340"/>
        <w:jc w:val="both"/>
      </w:pPr>
      <w:r>
        <w:rPr>
          <w:rFonts w:ascii="Times New Roman" w:hAnsi="Times New Roman" w:cs="Times New Roman"/>
          <w:b w:val="0"/>
          <w:i w:val="0"/>
          <w:sz w:val="20"/>
        </w:rPr>
        <w:t xml:space="preserve">The citational impact of NCML shows a </w:t>
      </w:r>
      <w:r>
        <w:rPr>
          <w:rFonts w:ascii="Times New Roman" w:hAnsi="Times New Roman" w:cs="Times New Roman"/>
          <w:b/>
          <w:i w:val="0"/>
          <w:sz w:val="20"/>
        </w:rPr>
        <w:t>discrepancy of an order of magnitude between bibliometric sources</w:t>
      </w:r>
      <w:r>
        <w:rPr>
          <w:rFonts w:ascii="Times New Roman" w:hAnsi="Times New Roman" w:cs="Times New Roman"/>
          <w:b w:val="0"/>
          <w:i w:val="0"/>
          <w:sz w:val="20"/>
        </w:rPr>
        <w:t>. OpenAlex reports a total of 27 citations over the 762 publications (ratio 0.04 cites/article) and a journal h-index of 1. Only 8 articles (1.0%) exceed one citation according to this source. In contrast, Google Scholar Metrics reports for NCML (2020-2024 window):</w:t>
      </w:r>
    </w:p>
    <w:p>
      <w:pPr>
        <w:pStyle w:val="ListBullet"/>
        <w:spacing w:after="40"/>
      </w:pPr>
      <w:r>
        <w:rPr>
          <w:rFonts w:ascii="Times New Roman" w:hAnsi="Times New Roman" w:cs="Times New Roman"/>
          <w:b/>
          <w:i w:val="0"/>
          <w:sz w:val="20"/>
        </w:rPr>
        <w:t>h5-index = 10</w:t>
      </w:r>
      <w:r>
        <w:rPr>
          <w:rFonts w:ascii="Times New Roman" w:hAnsi="Times New Roman" w:cs="Times New Roman"/>
          <w:b w:val="0"/>
          <w:i w:val="0"/>
          <w:sz w:val="20"/>
        </w:rPr>
        <w:t xml:space="preserve"> (10 articles published 2020-2024 with ≥ 10</w:t>
      </w:r>
    </w:p>
    <w:p>
      <w:pPr>
        <w:spacing w:after="80"/>
        <w:ind w:firstLine="340"/>
        <w:jc w:val="both"/>
      </w:pPr>
      <w:r>
        <w:rPr>
          <w:rFonts w:ascii="Times New Roman" w:hAnsi="Times New Roman" w:cs="Times New Roman"/>
          <w:b w:val="0"/>
          <w:i w:val="0"/>
          <w:sz w:val="20"/>
        </w:rPr>
        <w:t>citations each).</w:t>
      </w:r>
    </w:p>
    <w:p>
      <w:pPr>
        <w:pStyle w:val="ListBullet"/>
        <w:spacing w:after="40"/>
      </w:pPr>
      <w:r>
        <w:rPr>
          <w:rFonts w:ascii="Times New Roman" w:hAnsi="Times New Roman" w:cs="Times New Roman"/>
          <w:b/>
          <w:i w:val="0"/>
          <w:sz w:val="20"/>
        </w:rPr>
        <w:t>h5-median = 25</w:t>
      </w:r>
      <w:r>
        <w:rPr>
          <w:rFonts w:ascii="Times New Roman" w:hAnsi="Times New Roman" w:cs="Times New Roman"/>
          <w:b w:val="0"/>
          <w:i w:val="0"/>
          <w:sz w:val="20"/>
        </w:rPr>
        <w:t xml:space="preserve"> (median of citations of those 10 articles).</w:t>
      </w:r>
    </w:p>
    <w:p>
      <w:pPr>
        <w:spacing w:after="80"/>
        <w:ind w:firstLine="340"/>
        <w:jc w:val="both"/>
      </w:pPr>
      <w:r>
        <w:rPr>
          <w:rFonts w:ascii="Times New Roman" w:hAnsi="Times New Roman" w:cs="Times New Roman"/>
          <w:b w:val="0"/>
          <w:i w:val="0"/>
          <w:sz w:val="20"/>
        </w:rPr>
        <w:t>These metrics are consistent with those of sister journals in the ecosystem: NSS (h5 = 57, h5-median 76) and IJNS (h5 = 31, h5-median 51).</w:t>
      </w:r>
    </w:p>
    <w:p>
      <w:pPr>
        <w:spacing w:after="80"/>
        <w:ind w:firstLine="340"/>
        <w:jc w:val="both"/>
      </w:pPr>
      <w:r>
        <w:rPr>
          <w:rFonts w:ascii="Times New Roman" w:hAnsi="Times New Roman" w:cs="Times New Roman"/>
          <w:b w:val="0"/>
          <w:i w:val="0"/>
          <w:sz w:val="20"/>
        </w:rPr>
        <w:t>The stratified sample (n = 26) confirms the discrepancy (Table 1). In the sample, 53.8% of articles have at least one Scholar citation vs only 3.8% in OpenAlex, with 116 total Scholar citations vs 20 OpenAlex (factor 5.8× on the same sample). An article from Vol.11 (2020), "Método para medir la formación de competencias pedagógicas mediante números neutrosóficos", reports 71 Scholar citations and 0 OpenAlex citations, illustrating the extreme case.</w:t>
      </w:r>
    </w:p>
    <w:tbl>
      <w:tblPr>
        <w:tblStyle w:val="LightGrid"/>
        <w:tblW w:type="auto" w:w="0"/>
        <w:tblLook w:firstColumn="1" w:firstRow="1" w:lastColumn="0" w:lastRow="0" w:noHBand="0" w:noVBand="1" w:val="04A0"/>
      </w:tblPr>
      <w:tblGrid>
        <w:gridCol w:w="2351"/>
        <w:gridCol w:w="2351"/>
        <w:gridCol w:w="2351"/>
        <w:gridCol w:w="2351"/>
      </w:tblGrid>
      <w:tr>
        <w:tc>
          <w:tcPr>
            <w:tcW w:type="dxa" w:w="2351"/>
          </w:tcPr>
          <w:p>
            <w:r/>
            <w:r>
              <w:rPr>
                <w:rFonts w:ascii="Arial" w:hAnsi="Arial" w:cs="Arial"/>
                <w:b/>
                <w:i w:val="0"/>
                <w:sz w:val="18"/>
              </w:rPr>
              <w:t>Source</w:t>
            </w:r>
          </w:p>
        </w:tc>
        <w:tc>
          <w:tcPr>
            <w:tcW w:type="dxa" w:w="2351"/>
          </w:tcPr>
          <w:p>
            <w:r/>
            <w:r>
              <w:rPr>
                <w:rFonts w:ascii="Arial" w:hAnsi="Arial" w:cs="Arial"/>
                <w:b/>
                <w:i w:val="0"/>
                <w:sz w:val="18"/>
              </w:rPr>
              <w:t>Total citations</w:t>
            </w:r>
          </w:p>
        </w:tc>
        <w:tc>
          <w:tcPr>
            <w:tcW w:type="dxa" w:w="2351"/>
          </w:tcPr>
          <w:p>
            <w:r/>
            <w:r>
              <w:rPr>
                <w:rFonts w:ascii="Arial" w:hAnsi="Arial" w:cs="Arial"/>
                <w:b/>
                <w:i w:val="0"/>
                <w:sz w:val="18"/>
              </w:rPr>
              <w:t>≥ 1 citation</w:t>
            </w:r>
          </w:p>
        </w:tc>
        <w:tc>
          <w:tcPr>
            <w:tcW w:type="dxa" w:w="2351"/>
          </w:tcPr>
          <w:p>
            <w:r/>
            <w:r>
              <w:rPr>
                <w:rFonts w:ascii="Arial" w:hAnsi="Arial" w:cs="Arial"/>
                <w:b/>
                <w:i w:val="0"/>
                <w:sz w:val="18"/>
              </w:rPr>
              <w:t>h / h5</w:t>
            </w:r>
          </w:p>
        </w:tc>
      </w:tr>
      <w:tr>
        <w:tc>
          <w:tcPr>
            <w:tcW w:type="dxa" w:w="2351"/>
          </w:tcPr>
          <w:p>
            <w:r/>
            <w:r>
              <w:rPr>
                <w:rFonts w:ascii="Times New Roman" w:hAnsi="Times New Roman" w:cs="Times New Roman"/>
                <w:b w:val="0"/>
                <w:i w:val="0"/>
                <w:sz w:val="18"/>
              </w:rPr>
              <w:t>OpenAlex (n=762)</w:t>
            </w:r>
          </w:p>
        </w:tc>
        <w:tc>
          <w:tcPr>
            <w:tcW w:type="dxa" w:w="2351"/>
          </w:tcPr>
          <w:p>
            <w:r/>
            <w:r>
              <w:rPr>
                <w:rFonts w:ascii="Times New Roman" w:hAnsi="Times New Roman" w:cs="Times New Roman"/>
                <w:b w:val="0"/>
                <w:i w:val="0"/>
                <w:sz w:val="18"/>
              </w:rPr>
              <w:t>27</w:t>
            </w:r>
          </w:p>
        </w:tc>
        <w:tc>
          <w:tcPr>
            <w:tcW w:type="dxa" w:w="2351"/>
          </w:tcPr>
          <w:p>
            <w:r/>
            <w:r>
              <w:rPr>
                <w:rFonts w:ascii="Times New Roman" w:hAnsi="Times New Roman" w:cs="Times New Roman"/>
                <w:b w:val="0"/>
                <w:i w:val="0"/>
                <w:sz w:val="18"/>
              </w:rPr>
              <w:t>8 (1.0%)</w:t>
            </w:r>
          </w:p>
        </w:tc>
        <w:tc>
          <w:tcPr>
            <w:tcW w:type="dxa" w:w="2351"/>
          </w:tcPr>
          <w:p>
            <w:r/>
            <w:r>
              <w:rPr>
                <w:rFonts w:ascii="Times New Roman" w:hAnsi="Times New Roman" w:cs="Times New Roman"/>
                <w:b w:val="0"/>
                <w:i w:val="0"/>
                <w:sz w:val="18"/>
              </w:rPr>
              <w:t>h = 1</w:t>
            </w:r>
          </w:p>
        </w:tc>
      </w:tr>
      <w:tr>
        <w:tc>
          <w:tcPr>
            <w:tcW w:type="dxa" w:w="2351"/>
          </w:tcPr>
          <w:p>
            <w:r/>
            <w:r>
              <w:rPr>
                <w:rFonts w:ascii="Times New Roman" w:hAnsi="Times New Roman" w:cs="Times New Roman"/>
                <w:b w:val="0"/>
                <w:i w:val="0"/>
                <w:sz w:val="18"/>
              </w:rPr>
              <w:t>Scholar sample (n=26)</w:t>
            </w:r>
          </w:p>
        </w:tc>
        <w:tc>
          <w:tcPr>
            <w:tcW w:type="dxa" w:w="2351"/>
          </w:tcPr>
          <w:p>
            <w:r/>
            <w:r>
              <w:rPr>
                <w:rFonts w:ascii="Times New Roman" w:hAnsi="Times New Roman" w:cs="Times New Roman"/>
                <w:b w:val="0"/>
                <w:i w:val="0"/>
                <w:sz w:val="18"/>
              </w:rPr>
              <w:t>116</w:t>
            </w:r>
          </w:p>
        </w:tc>
        <w:tc>
          <w:tcPr>
            <w:tcW w:type="dxa" w:w="2351"/>
          </w:tcPr>
          <w:p>
            <w:r/>
            <w:r>
              <w:rPr>
                <w:rFonts w:ascii="Times New Roman" w:hAnsi="Times New Roman" w:cs="Times New Roman"/>
                <w:b w:val="0"/>
                <w:i w:val="0"/>
                <w:sz w:val="18"/>
              </w:rPr>
              <w:t>14 (53.8%)</w:t>
            </w:r>
          </w:p>
        </w:tc>
        <w:tc>
          <w:tcPr>
            <w:tcW w:type="dxa" w:w="2351"/>
          </w:tcPr>
          <w:p>
            <w:r/>
            <w:r>
              <w:rPr>
                <w:rFonts w:ascii="Times New Roman" w:hAnsi="Times New Roman" w:cs="Times New Roman"/>
                <w:b w:val="0"/>
                <w:i w:val="0"/>
                <w:sz w:val="18"/>
              </w:rPr>
              <w:t>—</w:t>
            </w:r>
          </w:p>
        </w:tc>
      </w:tr>
      <w:tr>
        <w:tc>
          <w:tcPr>
            <w:tcW w:type="dxa" w:w="2351"/>
          </w:tcPr>
          <w:p>
            <w:r/>
            <w:r>
              <w:rPr>
                <w:rFonts w:ascii="Times New Roman" w:hAnsi="Times New Roman" w:cs="Times New Roman"/>
                <w:b w:val="0"/>
                <w:i w:val="0"/>
                <w:sz w:val="18"/>
              </w:rPr>
              <w:t>Scholar Metrics 2020-2024</w:t>
            </w:r>
          </w:p>
        </w:tc>
        <w:tc>
          <w:tcPr>
            <w:tcW w:type="dxa" w:w="2351"/>
          </w:tcPr>
          <w:p>
            <w:r/>
            <w:r>
              <w:rPr>
                <w:rFonts w:ascii="Times New Roman" w:hAnsi="Times New Roman" w:cs="Times New Roman"/>
                <w:b w:val="0"/>
                <w:i w:val="0"/>
                <w:sz w:val="18"/>
              </w:rPr>
              <w:t>—</w:t>
            </w:r>
          </w:p>
        </w:tc>
        <w:tc>
          <w:tcPr>
            <w:tcW w:type="dxa" w:w="2351"/>
          </w:tcPr>
          <w:p>
            <w:r/>
            <w:r>
              <w:rPr>
                <w:rFonts w:ascii="Times New Roman" w:hAnsi="Times New Roman" w:cs="Times New Roman"/>
                <w:b w:val="0"/>
                <w:i w:val="0"/>
                <w:sz w:val="18"/>
              </w:rPr>
              <w:t>—</w:t>
            </w:r>
          </w:p>
        </w:tc>
        <w:tc>
          <w:tcPr>
            <w:tcW w:type="dxa" w:w="2351"/>
          </w:tcPr>
          <w:p>
            <w:r/>
            <w:r>
              <w:rPr>
                <w:rFonts w:ascii="Times New Roman" w:hAnsi="Times New Roman" w:cs="Times New Roman"/>
                <w:b w:val="0"/>
                <w:i w:val="0"/>
                <w:sz w:val="18"/>
              </w:rPr>
              <w:t>h5 = 10</w:t>
            </w:r>
          </w:p>
        </w:tc>
      </w:tr>
    </w:tbl>
    <w:p/>
    <w:p>
      <w:pPr>
        <w:spacing w:after="80"/>
        <w:ind w:firstLine="340"/>
        <w:jc w:val="both"/>
      </w:pPr>
      <w:r>
        <w:rPr>
          <w:rFonts w:ascii="Times New Roman" w:hAnsi="Times New Roman" w:cs="Times New Roman"/>
          <w:b w:val="0"/>
          <w:i w:val="0"/>
          <w:sz w:val="20"/>
        </w:rPr>
        <w:t xml:space="preserve">NCML </w:t>
      </w:r>
      <w:r>
        <w:rPr>
          <w:rFonts w:ascii="Times New Roman" w:hAnsi="Times New Roman" w:cs="Times New Roman"/>
          <w:b/>
          <w:i w:val="0"/>
          <w:sz w:val="20"/>
        </w:rPr>
        <w:t>is not indexed in Scopus</w:t>
      </w:r>
      <w:r>
        <w:rPr>
          <w:rFonts w:ascii="Times New Roman" w:hAnsi="Times New Roman" w:cs="Times New Roman"/>
          <w:b w:val="0"/>
          <w:i w:val="0"/>
          <w:sz w:val="20"/>
        </w:rPr>
        <w:t xml:space="preserve"> (verified against the official Elsevier source list and SCImago). Hence CiteScore, SJR, and SNIP do not apply. This absence, combined with the strong dependence on Scholar citations and the ecosystem self-referentiality (Section 4.4), explains the asymmetry: OpenAlex partially indexes Zenodo but not NSS and IJNS in depth, while Scholar captures all three.</w:t>
      </w:r>
    </w:p>
    <w:p>
      <w:pPr>
        <w:spacing w:before="280" w:after="120"/>
      </w:pPr>
      <w:r>
        <w:rPr>
          <w:rFonts w:ascii="Arial" w:hAnsi="Arial" w:cs="Arial"/>
          <w:b/>
          <w:i w:val="0"/>
          <w:sz w:val="24"/>
        </w:rPr>
        <w:t>5. Neutrosophic Analysis of the Same Corpus</w:t>
      </w:r>
    </w:p>
    <w:p>
      <w:pPr>
        <w:spacing w:after="80"/>
        <w:ind w:firstLine="340"/>
        <w:jc w:val="both"/>
      </w:pPr>
      <w:r>
        <w:rPr>
          <w:rFonts w:ascii="Times New Roman" w:hAnsi="Times New Roman" w:cs="Times New Roman"/>
          <w:b w:val="0"/>
          <w:i w:val="0"/>
          <w:sz w:val="20"/>
        </w:rPr>
        <w:t>Section 4 reported the classical bibliometric retrospective. The crisp indicators reveal substantive findings but conceal the indeterminacy that the multi-source nature of contemporary bibliographic data forces upon them. This section re-analyses the same corpus through the neutrosophic framework of Section 3 and culminates (Section 5.6) in the SVNWA aggregated author ranking, which addresses RQ6 and provides the operative test that distinguishes neutrosophic aggregation from alternative uncertainty formalisms.</w:t>
      </w:r>
    </w:p>
    <w:p>
      <w:pPr>
        <w:spacing w:before="200" w:after="80"/>
      </w:pPr>
      <w:r>
        <w:rPr>
          <w:rFonts w:ascii="Arial" w:hAnsi="Arial" w:cs="Arial"/>
          <w:b/>
          <w:i w:val="0"/>
          <w:sz w:val="22"/>
        </w:rPr>
        <w:t>5.1 Neutrosophic *h*-index</w:t>
      </w:r>
    </w:p>
    <w:p>
      <w:pPr>
        <w:spacing w:after="80"/>
        <w:ind w:firstLine="340"/>
        <w:jc w:val="both"/>
      </w:pPr>
      <w:r>
        <w:rPr>
          <w:rFonts w:ascii="Times New Roman" w:hAnsi="Times New Roman" w:cs="Times New Roman"/>
          <w:b w:val="0"/>
          <w:i w:val="0"/>
          <w:sz w:val="20"/>
        </w:rPr>
        <w:t>Applying Equation (1) of Section 3.2.1 to the stratified sample of n = 26 articles for which both OpenAlex and Google Scholar counts exist:</w:t>
      </w:r>
    </w:p>
    <w:p>
      <w:pPr>
        <w:pStyle w:val="ListBullet"/>
        <w:spacing w:after="40"/>
      </w:pPr>
      <w:r>
        <w:rPr>
          <w:rFonts w:ascii="Times New Roman" w:hAnsi="Times New Roman" w:cs="Times New Roman"/>
          <w:b/>
          <w:i w:val="0"/>
          <w:sz w:val="20"/>
        </w:rPr>
        <w:t>T-class</w:t>
      </w:r>
      <w:r>
        <w:rPr>
          <w:rFonts w:ascii="Times New Roman" w:hAnsi="Times New Roman" w:cs="Times New Roman"/>
          <w:b w:val="0"/>
          <w:i w:val="0"/>
          <w:sz w:val="20"/>
        </w:rPr>
        <w:t xml:space="preserve"> (cited in both sources): 1 article (3.8%).</w:t>
      </w:r>
    </w:p>
    <w:p>
      <w:pPr>
        <w:pStyle w:val="ListBullet"/>
        <w:spacing w:after="40"/>
      </w:pPr>
      <w:r>
        <w:rPr>
          <w:rFonts w:ascii="Times New Roman" w:hAnsi="Times New Roman" w:cs="Times New Roman"/>
          <w:b/>
          <w:i w:val="0"/>
          <w:sz w:val="20"/>
        </w:rPr>
        <w:t>I-class</w:t>
      </w:r>
      <w:r>
        <w:rPr>
          <w:rFonts w:ascii="Times New Roman" w:hAnsi="Times New Roman" w:cs="Times New Roman"/>
          <w:b w:val="0"/>
          <w:i w:val="0"/>
          <w:sz w:val="20"/>
        </w:rPr>
        <w:t xml:space="preserve"> (cited in only one source): 13 articles (50.0%).</w:t>
      </w:r>
    </w:p>
    <w:p>
      <w:pPr>
        <w:pStyle w:val="ListBullet"/>
        <w:spacing w:after="40"/>
      </w:pPr>
      <w:r>
        <w:rPr>
          <w:rFonts w:ascii="Times New Roman" w:hAnsi="Times New Roman" w:cs="Times New Roman"/>
          <w:b/>
          <w:i w:val="0"/>
          <w:sz w:val="20"/>
        </w:rPr>
        <w:t>F-class</w:t>
      </w:r>
      <w:r>
        <w:rPr>
          <w:rFonts w:ascii="Times New Roman" w:hAnsi="Times New Roman" w:cs="Times New Roman"/>
          <w:b w:val="0"/>
          <w:i w:val="0"/>
          <w:sz w:val="20"/>
        </w:rPr>
        <w:t xml:space="preserve"> (no citation in any source): 12 articles (46.2%).</w:t>
      </w:r>
    </w:p>
    <w:p>
      <w:pPr>
        <w:spacing w:after="80"/>
        <w:ind w:firstLine="340"/>
        <w:jc w:val="both"/>
      </w:pPr>
      <w:r>
        <w:rPr>
          <w:rFonts w:ascii="Times New Roman" w:hAnsi="Times New Roman" w:cs="Times New Roman"/>
          <w:b w:val="0"/>
          <w:i w:val="0"/>
          <w:sz w:val="20"/>
        </w:rPr>
        <w:t>The journal-level neutrosophic h-index profile is</w:t>
      </w:r>
    </w:p>
    <w:p>
      <w:pPr>
        <w:spacing w:after="80"/>
        <w:ind w:firstLine="340"/>
        <w:jc w:val="both"/>
      </w:pPr>
      <w:r>
        <w:rPr>
          <w:rFonts w:ascii="Times New Roman" w:hAnsi="Times New Roman" w:cs="Times New Roman"/>
          <w:b w:val="0"/>
          <w:i w:val="0"/>
          <w:sz w:val="20"/>
        </w:rPr>
        <w:t>N_h(NCML) = ( T = 0.04, I = 0.50, F = 0.46 )</w:t>
      </w:r>
    </w:p>
    <w:p>
      <w:pPr>
        <w:spacing w:after="80"/>
        <w:ind w:firstLine="340"/>
        <w:jc w:val="both"/>
      </w:pPr>
      <w:r>
        <w:rPr>
          <w:rFonts w:ascii="Times New Roman" w:hAnsi="Times New Roman" w:cs="Times New Roman"/>
          <w:b w:val="0"/>
          <w:i w:val="0"/>
          <w:sz w:val="20"/>
        </w:rPr>
        <w:t>with bounds h_T = 1 (lower, OpenAlex-only) and h_TI ≤ h5 = 10 (upper, Google Scholar Metrics). The midpoint ≈ 5.5 is the value an editorial board should use for benchmarking under explicit acknowledgement of source uncertainty.</w:t>
      </w:r>
    </w:p>
    <w:p>
      <w:pPr>
        <w:spacing w:after="80"/>
        <w:ind w:firstLine="340"/>
        <w:jc w:val="both"/>
      </w:pPr>
      <w:r>
        <w:rPr>
          <w:rFonts w:ascii="Times New Roman" w:hAnsi="Times New Roman" w:cs="Times New Roman"/>
          <w:b w:val="0"/>
          <w:i w:val="0"/>
          <w:sz w:val="20"/>
        </w:rPr>
        <w:t xml:space="preserve">The classical headline "h = 1" is technically correct but informationally misleading. The neutrosophic profile reveals that </w:t>
      </w:r>
      <w:r>
        <w:rPr>
          <w:rFonts w:ascii="Times New Roman" w:hAnsi="Times New Roman" w:cs="Times New Roman"/>
          <w:b/>
          <w:i w:val="0"/>
          <w:sz w:val="20"/>
        </w:rPr>
        <w:t>half of the sampled articles sit in evidential limbo</w:t>
      </w:r>
      <w:r>
        <w:rPr>
          <w:rFonts w:ascii="Times New Roman" w:hAnsi="Times New Roman" w:cs="Times New Roman"/>
          <w:b w:val="0"/>
          <w:i w:val="0"/>
          <w:sz w:val="20"/>
        </w:rPr>
        <w:t>: cited in one database, absent in the other, leaving the analyst to choose whether to count them or not.</w:t>
      </w:r>
    </w:p>
    <w:p>
      <w:pPr>
        <w:spacing w:before="200" w:after="80"/>
      </w:pPr>
      <w:r>
        <w:rPr>
          <w:rFonts w:ascii="Arial" w:hAnsi="Arial" w:cs="Arial"/>
          <w:b/>
          <w:i w:val="0"/>
          <w:sz w:val="22"/>
        </w:rPr>
        <w:t>5.2 Neutrosophic Lotka exponent</w:t>
      </w:r>
    </w:p>
    <w:p>
      <w:pPr>
        <w:spacing w:after="80"/>
        <w:ind w:firstLine="340"/>
        <w:jc w:val="both"/>
      </w:pPr>
      <w:r>
        <w:rPr>
          <w:rFonts w:ascii="Times New Roman" w:hAnsi="Times New Roman" w:cs="Times New Roman"/>
          <w:b w:val="0"/>
          <w:i w:val="0"/>
          <w:sz w:val="20"/>
        </w:rPr>
        <w:t xml:space="preserve">Bootstrap resampling over B = 1 000 replicates produces α̂ with mean 2.03 and 95% percentile interval [2.00, 2.06]. The K-S statistic exceeds the 5%-critical value 0.038 in </w:t>
      </w:r>
      <w:r>
        <w:rPr>
          <w:rFonts w:ascii="Times New Roman" w:hAnsi="Times New Roman" w:cs="Times New Roman"/>
          <w:b w:val="0"/>
          <w:i/>
          <w:sz w:val="20"/>
        </w:rPr>
        <w:t>every</w:t>
      </w:r>
      <w:r>
        <w:rPr>
          <w:rFonts w:ascii="Times New Roman" w:hAnsi="Times New Roman" w:cs="Times New Roman"/>
          <w:b w:val="0"/>
          <w:i w:val="0"/>
          <w:sz w:val="20"/>
        </w:rPr>
        <w:t xml:space="preserve"> replicate. Applying Equation (2):</w:t>
      </w:r>
    </w:p>
    <w:p>
      <w:pPr>
        <w:spacing w:after="80"/>
        <w:ind w:firstLine="340"/>
        <w:jc w:val="both"/>
      </w:pPr>
      <w:r>
        <w:rPr>
          <w:rFonts w:ascii="Times New Roman" w:hAnsi="Times New Roman" w:cs="Times New Roman"/>
          <w:b w:val="0"/>
          <w:i w:val="0"/>
          <w:sz w:val="20"/>
        </w:rPr>
        <w:t>N_Lotka(NCML) = ( T = 0.00, I = 1.00, F = 0.00 )</w:t>
      </w:r>
    </w:p>
    <w:p>
      <w:pPr>
        <w:spacing w:after="80"/>
        <w:ind w:firstLine="340"/>
        <w:jc w:val="both"/>
      </w:pPr>
      <w:r>
        <w:rPr>
          <w:rFonts w:ascii="Times New Roman" w:hAnsi="Times New Roman" w:cs="Times New Roman"/>
          <w:b w:val="0"/>
          <w:i w:val="0"/>
          <w:sz w:val="20"/>
        </w:rPr>
        <w:t xml:space="preserve">The interpretation is that NCML's productivity distribution </w:t>
      </w:r>
      <w:r>
        <w:rPr>
          <w:rFonts w:ascii="Times New Roman" w:hAnsi="Times New Roman" w:cs="Times New Roman"/>
          <w:b/>
          <w:i w:val="0"/>
          <w:sz w:val="20"/>
        </w:rPr>
        <w:t>matches the classical Lotka exponent perfectly but its shape diverges in every bootstrap replicate</w:t>
      </w:r>
      <w:r>
        <w:rPr>
          <w:rFonts w:ascii="Times New Roman" w:hAnsi="Times New Roman" w:cs="Times New Roman"/>
          <w:b w:val="0"/>
          <w:i w:val="0"/>
          <w:sz w:val="20"/>
        </w:rPr>
        <w:t>. The classical "follows Lotka with α = 2.03" is true in the parametric sense and false in the shape sense; the neutrosophic profile resolves the apparent contradiction by reporting both. The cause of the shape divergence is identified in Section 4.3: an excess of one-shot authors (71.9% vs 61.7% predicted), characteristic of a training venue.</w:t>
      </w:r>
    </w:p>
    <w:p>
      <w:pPr>
        <w:spacing w:before="200" w:after="80"/>
      </w:pPr>
      <w:r>
        <w:rPr>
          <w:rFonts w:ascii="Arial" w:hAnsi="Arial" w:cs="Arial"/>
          <w:b/>
          <w:i w:val="0"/>
          <w:sz w:val="22"/>
        </w:rPr>
        <w:t>5.3 Neutrosophic Bradford zone membership</w:t>
      </w:r>
    </w:p>
    <w:p>
      <w:pPr>
        <w:spacing w:after="80"/>
        <w:ind w:firstLine="340"/>
        <w:jc w:val="both"/>
      </w:pPr>
      <w:r>
        <w:rPr>
          <w:rFonts w:ascii="Times New Roman" w:hAnsi="Times New Roman" w:cs="Times New Roman"/>
          <w:b w:val="0"/>
          <w:i w:val="0"/>
          <w:sz w:val="20"/>
        </w:rPr>
        <w:t>The classical Bradford partition (Section 4.4) assigns 5 journals to the nucleus with hard boundaries. Applying Equations (3)-(5) to the top-ten cited journals:</w:t>
      </w:r>
    </w:p>
    <w:tbl>
      <w:tblPr>
        <w:tblStyle w:val="Light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Arial" w:hAnsi="Arial" w:cs="Arial"/>
                <w:b/>
                <w:i w:val="0"/>
                <w:sz w:val="18"/>
              </w:rPr>
              <w:t>Rank</w:t>
            </w:r>
          </w:p>
        </w:tc>
        <w:tc>
          <w:tcPr>
            <w:tcW w:type="dxa" w:w="1881"/>
          </w:tcPr>
          <w:p>
            <w:r/>
            <w:r>
              <w:rPr>
                <w:rFonts w:ascii="Arial" w:hAnsi="Arial" w:cs="Arial"/>
                <w:b/>
                <w:i w:val="0"/>
                <w:sz w:val="18"/>
              </w:rPr>
              <w:t>Journal</w:t>
            </w:r>
          </w:p>
        </w:tc>
        <w:tc>
          <w:tcPr>
            <w:tcW w:type="dxa" w:w="1881"/>
          </w:tcPr>
          <w:p>
            <w:r/>
            <w:r>
              <w:rPr>
                <w:rFonts w:ascii="Arial" w:hAnsi="Arial" w:cs="Arial"/>
                <w:b/>
                <w:i w:val="0"/>
                <w:sz w:val="18"/>
              </w:rPr>
              <w:t>T_nuc</w:t>
            </w:r>
          </w:p>
        </w:tc>
        <w:tc>
          <w:tcPr>
            <w:tcW w:type="dxa" w:w="1881"/>
          </w:tcPr>
          <w:p>
            <w:r/>
            <w:r>
              <w:rPr>
                <w:rFonts w:ascii="Arial" w:hAnsi="Arial" w:cs="Arial"/>
                <w:b/>
                <w:i w:val="0"/>
                <w:sz w:val="18"/>
              </w:rPr>
              <w:t>I_nuc</w:t>
            </w:r>
          </w:p>
        </w:tc>
        <w:tc>
          <w:tcPr>
            <w:tcW w:type="dxa" w:w="1881"/>
          </w:tcPr>
          <w:p>
            <w:r/>
            <w:r>
              <w:rPr>
                <w:rFonts w:ascii="Arial" w:hAnsi="Arial" w:cs="Arial"/>
                <w:b/>
                <w:i w:val="0"/>
                <w:sz w:val="18"/>
              </w:rPr>
              <w:t>F_nuc</w:t>
            </w:r>
          </w:p>
        </w:tc>
      </w:tr>
      <w:tr>
        <w:tc>
          <w:tcPr>
            <w:tcW w:type="dxa" w:w="1881"/>
          </w:tcPr>
          <w:p>
            <w:r/>
            <w:r>
              <w:rPr>
                <w:rFonts w:ascii="Times New Roman" w:hAnsi="Times New Roman" w:cs="Times New Roman"/>
                <w:b w:val="0"/>
                <w:i w:val="0"/>
                <w:sz w:val="18"/>
              </w:rPr>
              <w:t>1</w:t>
            </w:r>
          </w:p>
        </w:tc>
        <w:tc>
          <w:tcPr>
            <w:tcW w:type="dxa" w:w="1881"/>
          </w:tcPr>
          <w:p>
            <w:r/>
            <w:r>
              <w:rPr>
                <w:rFonts w:ascii="Times New Roman" w:hAnsi="Times New Roman" w:cs="Times New Roman"/>
                <w:b w:val="0"/>
                <w:i w:val="0"/>
                <w:sz w:val="18"/>
              </w:rPr>
              <w:t>Neutrosophic Sets and Systems</w:t>
            </w:r>
          </w:p>
        </w:tc>
        <w:tc>
          <w:tcPr>
            <w:tcW w:type="dxa" w:w="1881"/>
          </w:tcPr>
          <w:p>
            <w:r/>
            <w:r>
              <w:rPr>
                <w:rFonts w:ascii="Times New Roman" w:hAnsi="Times New Roman" w:cs="Times New Roman"/>
                <w:b w:val="0"/>
                <w:i w:val="0"/>
                <w:sz w:val="18"/>
              </w:rPr>
              <w:t>0.88</w:t>
            </w:r>
          </w:p>
        </w:tc>
        <w:tc>
          <w:tcPr>
            <w:tcW w:type="dxa" w:w="1881"/>
          </w:tcPr>
          <w:p>
            <w:r/>
            <w:r>
              <w:rPr>
                <w:rFonts w:ascii="Times New Roman" w:hAnsi="Times New Roman" w:cs="Times New Roman"/>
                <w:b w:val="0"/>
                <w:i w:val="0"/>
                <w:sz w:val="18"/>
              </w:rPr>
              <w:t>0.17</w:t>
            </w:r>
          </w:p>
        </w:tc>
        <w:tc>
          <w:tcPr>
            <w:tcW w:type="dxa" w:w="1881"/>
          </w:tcPr>
          <w:p>
            <w:r/>
            <w:r>
              <w:rPr>
                <w:rFonts w:ascii="Times New Roman" w:hAnsi="Times New Roman" w:cs="Times New Roman"/>
                <w:b w:val="0"/>
                <w:i w:val="0"/>
                <w:sz w:val="18"/>
              </w:rPr>
              <w:t>0.00</w:t>
            </w:r>
          </w:p>
        </w:tc>
      </w:tr>
      <w:tr>
        <w:tc>
          <w:tcPr>
            <w:tcW w:type="dxa" w:w="1881"/>
          </w:tcPr>
          <w:p>
            <w:r/>
            <w:r>
              <w:rPr>
                <w:rFonts w:ascii="Times New Roman" w:hAnsi="Times New Roman" w:cs="Times New Roman"/>
                <w:b w:val="0"/>
                <w:i w:val="0"/>
                <w:sz w:val="18"/>
              </w:rPr>
              <w:t>2</w:t>
            </w:r>
          </w:p>
        </w:tc>
        <w:tc>
          <w:tcPr>
            <w:tcW w:type="dxa" w:w="1881"/>
          </w:tcPr>
          <w:p>
            <w:r/>
            <w:r>
              <w:rPr>
                <w:rFonts w:ascii="Times New Roman" w:hAnsi="Times New Roman" w:cs="Times New Roman"/>
                <w:b w:val="0"/>
                <w:i w:val="0"/>
                <w:sz w:val="18"/>
              </w:rPr>
              <w:t>Neutrosophic Computing and Machine Learning</w:t>
            </w:r>
          </w:p>
        </w:tc>
        <w:tc>
          <w:tcPr>
            <w:tcW w:type="dxa" w:w="1881"/>
          </w:tcPr>
          <w:p>
            <w:r/>
            <w:r>
              <w:rPr>
                <w:rFonts w:ascii="Times New Roman" w:hAnsi="Times New Roman" w:cs="Times New Roman"/>
                <w:b w:val="0"/>
                <w:i w:val="0"/>
                <w:sz w:val="18"/>
              </w:rPr>
              <w:t>0.85</w:t>
            </w:r>
          </w:p>
        </w:tc>
        <w:tc>
          <w:tcPr>
            <w:tcW w:type="dxa" w:w="1881"/>
          </w:tcPr>
          <w:p>
            <w:r/>
            <w:r>
              <w:rPr>
                <w:rFonts w:ascii="Times New Roman" w:hAnsi="Times New Roman" w:cs="Times New Roman"/>
                <w:b w:val="0"/>
                <w:i w:val="0"/>
                <w:sz w:val="18"/>
              </w:rPr>
              <w:t>0.20</w:t>
            </w:r>
          </w:p>
        </w:tc>
        <w:tc>
          <w:tcPr>
            <w:tcW w:type="dxa" w:w="1881"/>
          </w:tcPr>
          <w:p>
            <w:r/>
            <w:r>
              <w:rPr>
                <w:rFonts w:ascii="Times New Roman" w:hAnsi="Times New Roman" w:cs="Times New Roman"/>
                <w:b w:val="0"/>
                <w:i w:val="0"/>
                <w:sz w:val="18"/>
              </w:rPr>
              <w:t>0.00</w:t>
            </w:r>
          </w:p>
        </w:tc>
      </w:tr>
      <w:tr>
        <w:tc>
          <w:tcPr>
            <w:tcW w:type="dxa" w:w="1881"/>
          </w:tcPr>
          <w:p>
            <w:r/>
            <w:r>
              <w:rPr>
                <w:rFonts w:ascii="Times New Roman" w:hAnsi="Times New Roman" w:cs="Times New Roman"/>
                <w:b w:val="0"/>
                <w:i w:val="0"/>
                <w:sz w:val="18"/>
              </w:rPr>
              <w:t>3</w:t>
            </w:r>
          </w:p>
        </w:tc>
        <w:tc>
          <w:tcPr>
            <w:tcW w:type="dxa" w:w="1881"/>
          </w:tcPr>
          <w:p>
            <w:r/>
            <w:r>
              <w:rPr>
                <w:rFonts w:ascii="Times New Roman" w:hAnsi="Times New Roman" w:cs="Times New Roman"/>
                <w:b w:val="0"/>
                <w:i w:val="0"/>
                <w:sz w:val="18"/>
              </w:rPr>
              <w:t>Universidad y Sociedad</w:t>
            </w:r>
          </w:p>
        </w:tc>
        <w:tc>
          <w:tcPr>
            <w:tcW w:type="dxa" w:w="1881"/>
          </w:tcPr>
          <w:p>
            <w:r/>
            <w:r>
              <w:rPr>
                <w:rFonts w:ascii="Times New Roman" w:hAnsi="Times New Roman" w:cs="Times New Roman"/>
                <w:b w:val="0"/>
                <w:i w:val="0"/>
                <w:sz w:val="18"/>
              </w:rPr>
              <w:t>0.64</w:t>
            </w:r>
          </w:p>
        </w:tc>
        <w:tc>
          <w:tcPr>
            <w:tcW w:type="dxa" w:w="1881"/>
          </w:tcPr>
          <w:p>
            <w:r/>
            <w:r>
              <w:rPr>
                <w:rFonts w:ascii="Times New Roman" w:hAnsi="Times New Roman" w:cs="Times New Roman"/>
                <w:b w:val="0"/>
                <w:i w:val="0"/>
                <w:sz w:val="18"/>
              </w:rPr>
              <w:t>0.37</w:t>
            </w:r>
          </w:p>
        </w:tc>
        <w:tc>
          <w:tcPr>
            <w:tcW w:type="dxa" w:w="1881"/>
          </w:tcPr>
          <w:p>
            <w:r/>
            <w:r>
              <w:rPr>
                <w:rFonts w:ascii="Times New Roman" w:hAnsi="Times New Roman" w:cs="Times New Roman"/>
                <w:b w:val="0"/>
                <w:i w:val="0"/>
                <w:sz w:val="18"/>
              </w:rPr>
              <w:t>0.00</w:t>
            </w:r>
          </w:p>
        </w:tc>
      </w:tr>
      <w:tr>
        <w:tc>
          <w:tcPr>
            <w:tcW w:type="dxa" w:w="1881"/>
          </w:tcPr>
          <w:p>
            <w:r/>
            <w:r>
              <w:rPr>
                <w:rFonts w:ascii="Times New Roman" w:hAnsi="Times New Roman" w:cs="Times New Roman"/>
                <w:b w:val="0"/>
                <w:i w:val="0"/>
                <w:sz w:val="18"/>
              </w:rPr>
              <w:t>4</w:t>
            </w:r>
          </w:p>
        </w:tc>
        <w:tc>
          <w:tcPr>
            <w:tcW w:type="dxa" w:w="1881"/>
          </w:tcPr>
          <w:p>
            <w:r/>
            <w:r>
              <w:rPr>
                <w:rFonts w:ascii="Times New Roman" w:hAnsi="Times New Roman" w:cs="Times New Roman"/>
                <w:b w:val="0"/>
                <w:i w:val="0"/>
                <w:sz w:val="18"/>
              </w:rPr>
              <w:t>Serie Cientifica U. Ciencias Informaticas</w:t>
            </w:r>
          </w:p>
        </w:tc>
        <w:tc>
          <w:tcPr>
            <w:tcW w:type="dxa" w:w="1881"/>
          </w:tcPr>
          <w:p>
            <w:r/>
            <w:r>
              <w:rPr>
                <w:rFonts w:ascii="Times New Roman" w:hAnsi="Times New Roman" w:cs="Times New Roman"/>
                <w:b w:val="0"/>
                <w:i w:val="0"/>
                <w:sz w:val="18"/>
              </w:rPr>
              <w:t>0.52</w:t>
            </w:r>
          </w:p>
        </w:tc>
        <w:tc>
          <w:tcPr>
            <w:tcW w:type="dxa" w:w="1881"/>
          </w:tcPr>
          <w:p>
            <w:r/>
            <w:r>
              <w:rPr>
                <w:rFonts w:ascii="Times New Roman" w:hAnsi="Times New Roman" w:cs="Times New Roman"/>
                <w:b w:val="0"/>
                <w:i w:val="0"/>
                <w:sz w:val="18"/>
              </w:rPr>
              <w:t>0.40</w:t>
            </w:r>
          </w:p>
        </w:tc>
        <w:tc>
          <w:tcPr>
            <w:tcW w:type="dxa" w:w="1881"/>
          </w:tcPr>
          <w:p>
            <w:r/>
            <w:r>
              <w:rPr>
                <w:rFonts w:ascii="Times New Roman" w:hAnsi="Times New Roman" w:cs="Times New Roman"/>
                <w:b w:val="0"/>
                <w:i w:val="0"/>
                <w:sz w:val="18"/>
              </w:rPr>
              <w:t>0.08</w:t>
            </w:r>
          </w:p>
        </w:tc>
      </w:tr>
      <w:tr>
        <w:tc>
          <w:tcPr>
            <w:tcW w:type="dxa" w:w="1881"/>
          </w:tcPr>
          <w:p>
            <w:r/>
            <w:r>
              <w:rPr>
                <w:rFonts w:ascii="Times New Roman" w:hAnsi="Times New Roman" w:cs="Times New Roman"/>
                <w:b w:val="0"/>
                <w:i w:val="0"/>
                <w:sz w:val="18"/>
              </w:rPr>
              <w:t>5</w:t>
            </w:r>
          </w:p>
        </w:tc>
        <w:tc>
          <w:tcPr>
            <w:tcW w:type="dxa" w:w="1881"/>
          </w:tcPr>
          <w:p>
            <w:r/>
            <w:r>
              <w:rPr>
                <w:rFonts w:ascii="Times New Roman" w:hAnsi="Times New Roman" w:cs="Times New Roman"/>
                <w:b w:val="0"/>
                <w:i w:val="0"/>
                <w:sz w:val="18"/>
              </w:rPr>
              <w:t>Revista Conrado</w:t>
            </w:r>
          </w:p>
        </w:tc>
        <w:tc>
          <w:tcPr>
            <w:tcW w:type="dxa" w:w="1881"/>
          </w:tcPr>
          <w:p>
            <w:r/>
            <w:r>
              <w:rPr>
                <w:rFonts w:ascii="Times New Roman" w:hAnsi="Times New Roman" w:cs="Times New Roman"/>
                <w:b w:val="0"/>
                <w:i w:val="0"/>
                <w:sz w:val="18"/>
              </w:rPr>
              <w:t>0.50</w:t>
            </w:r>
          </w:p>
        </w:tc>
        <w:tc>
          <w:tcPr>
            <w:tcW w:type="dxa" w:w="1881"/>
          </w:tcPr>
          <w:p>
            <w:r/>
            <w:r>
              <w:rPr>
                <w:rFonts w:ascii="Times New Roman" w:hAnsi="Times New Roman" w:cs="Times New Roman"/>
                <w:b w:val="0"/>
                <w:i w:val="0"/>
                <w:sz w:val="18"/>
              </w:rPr>
              <w:t>0.40</w:t>
            </w:r>
          </w:p>
        </w:tc>
        <w:tc>
          <w:tcPr>
            <w:tcW w:type="dxa" w:w="1881"/>
          </w:tcPr>
          <w:p>
            <w:r/>
            <w:r>
              <w:rPr>
                <w:rFonts w:ascii="Times New Roman" w:hAnsi="Times New Roman" w:cs="Times New Roman"/>
                <w:b w:val="0"/>
                <w:i w:val="0"/>
                <w:sz w:val="18"/>
              </w:rPr>
              <w:t>0.10</w:t>
            </w:r>
          </w:p>
        </w:tc>
      </w:tr>
      <w:tr>
        <w:tc>
          <w:tcPr>
            <w:tcW w:type="dxa" w:w="1881"/>
          </w:tcPr>
          <w:p>
            <w:r/>
            <w:r>
              <w:rPr>
                <w:rFonts w:ascii="Times New Roman" w:hAnsi="Times New Roman" w:cs="Times New Roman"/>
                <w:b w:val="0"/>
                <w:i w:val="0"/>
                <w:sz w:val="18"/>
              </w:rPr>
              <w:t>6</w:t>
            </w:r>
          </w:p>
        </w:tc>
        <w:tc>
          <w:tcPr>
            <w:tcW w:type="dxa" w:w="1881"/>
          </w:tcPr>
          <w:p>
            <w:r/>
            <w:r>
              <w:rPr>
                <w:rFonts w:ascii="Times New Roman" w:hAnsi="Times New Roman" w:cs="Times New Roman"/>
                <w:b w:val="0"/>
                <w:i w:val="0"/>
                <w:sz w:val="18"/>
              </w:rPr>
              <w:t>Conrado (variant)</w:t>
            </w:r>
          </w:p>
        </w:tc>
        <w:tc>
          <w:tcPr>
            <w:tcW w:type="dxa" w:w="1881"/>
          </w:tcPr>
          <w:p>
            <w:r/>
            <w:r>
              <w:rPr>
                <w:rFonts w:ascii="Times New Roman" w:hAnsi="Times New Roman" w:cs="Times New Roman"/>
                <w:b w:val="0"/>
                <w:i w:val="0"/>
                <w:sz w:val="18"/>
              </w:rPr>
              <w:t>0.35</w:t>
            </w:r>
          </w:p>
        </w:tc>
        <w:tc>
          <w:tcPr>
            <w:tcW w:type="dxa" w:w="1881"/>
          </w:tcPr>
          <w:p>
            <w:r/>
            <w:r>
              <w:rPr>
                <w:rFonts w:ascii="Times New Roman" w:hAnsi="Times New Roman" w:cs="Times New Roman"/>
                <w:b w:val="0"/>
                <w:i w:val="0"/>
                <w:sz w:val="18"/>
              </w:rPr>
              <w:t>0.42</w:t>
            </w:r>
          </w:p>
        </w:tc>
        <w:tc>
          <w:tcPr>
            <w:tcW w:type="dxa" w:w="1881"/>
          </w:tcPr>
          <w:p>
            <w:r/>
            <w:r>
              <w:rPr>
                <w:rFonts w:ascii="Times New Roman" w:hAnsi="Times New Roman" w:cs="Times New Roman"/>
                <w:b w:val="0"/>
                <w:i w:val="0"/>
                <w:sz w:val="18"/>
              </w:rPr>
              <w:t>0.23</w:t>
            </w:r>
          </w:p>
        </w:tc>
      </w:tr>
      <w:tr>
        <w:tc>
          <w:tcPr>
            <w:tcW w:type="dxa" w:w="1881"/>
          </w:tcPr>
          <w:p>
            <w:r/>
            <w:r>
              <w:rPr>
                <w:rFonts w:ascii="Times New Roman" w:hAnsi="Times New Roman" w:cs="Times New Roman"/>
                <w:b w:val="0"/>
                <w:i w:val="0"/>
                <w:sz w:val="18"/>
              </w:rPr>
              <w:t>7</w:t>
            </w:r>
          </w:p>
        </w:tc>
        <w:tc>
          <w:tcPr>
            <w:tcW w:type="dxa" w:w="1881"/>
          </w:tcPr>
          <w:p>
            <w:r/>
            <w:r>
              <w:rPr>
                <w:rFonts w:ascii="Times New Roman" w:hAnsi="Times New Roman" w:cs="Times New Roman"/>
                <w:b w:val="0"/>
                <w:i w:val="0"/>
                <w:sz w:val="18"/>
              </w:rPr>
              <w:t>International Journal of Neutrosophic Science</w:t>
            </w:r>
          </w:p>
        </w:tc>
        <w:tc>
          <w:tcPr>
            <w:tcW w:type="dxa" w:w="1881"/>
          </w:tcPr>
          <w:p>
            <w:r/>
            <w:r>
              <w:rPr>
                <w:rFonts w:ascii="Times New Roman" w:hAnsi="Times New Roman" w:cs="Times New Roman"/>
                <w:b w:val="0"/>
                <w:i w:val="0"/>
                <w:sz w:val="18"/>
              </w:rPr>
              <w:t>0.28</w:t>
            </w:r>
          </w:p>
        </w:tc>
        <w:tc>
          <w:tcPr>
            <w:tcW w:type="dxa" w:w="1881"/>
          </w:tcPr>
          <w:p>
            <w:r/>
            <w:r>
              <w:rPr>
                <w:rFonts w:ascii="Times New Roman" w:hAnsi="Times New Roman" w:cs="Times New Roman"/>
                <w:b w:val="0"/>
                <w:i w:val="0"/>
                <w:sz w:val="18"/>
              </w:rPr>
              <w:t>0.41</w:t>
            </w:r>
          </w:p>
        </w:tc>
        <w:tc>
          <w:tcPr>
            <w:tcW w:type="dxa" w:w="1881"/>
          </w:tcPr>
          <w:p>
            <w:r/>
            <w:r>
              <w:rPr>
                <w:rFonts w:ascii="Times New Roman" w:hAnsi="Times New Roman" w:cs="Times New Roman"/>
                <w:b w:val="0"/>
                <w:i w:val="0"/>
                <w:sz w:val="18"/>
              </w:rPr>
              <w:t>0.31</w:t>
            </w:r>
          </w:p>
        </w:tc>
      </w:tr>
      <w:tr>
        <w:tc>
          <w:tcPr>
            <w:tcW w:type="dxa" w:w="1881"/>
          </w:tcPr>
          <w:p>
            <w:r/>
            <w:r>
              <w:rPr>
                <w:rFonts w:ascii="Times New Roman" w:hAnsi="Times New Roman" w:cs="Times New Roman"/>
                <w:b w:val="0"/>
                <w:i w:val="0"/>
                <w:sz w:val="18"/>
              </w:rPr>
              <w:t>8</w:t>
            </w:r>
          </w:p>
        </w:tc>
        <w:tc>
          <w:tcPr>
            <w:tcW w:type="dxa" w:w="1881"/>
          </w:tcPr>
          <w:p>
            <w:r/>
            <w:r>
              <w:rPr>
                <w:rFonts w:ascii="Times New Roman" w:hAnsi="Times New Roman" w:cs="Times New Roman"/>
                <w:b w:val="0"/>
                <w:i w:val="0"/>
                <w:sz w:val="18"/>
              </w:rPr>
              <w:t>Revista de Ciencias Medicas de Pinar del Rio</w:t>
            </w:r>
          </w:p>
        </w:tc>
        <w:tc>
          <w:tcPr>
            <w:tcW w:type="dxa" w:w="1881"/>
          </w:tcPr>
          <w:p>
            <w:r/>
            <w:r>
              <w:rPr>
                <w:rFonts w:ascii="Times New Roman" w:hAnsi="Times New Roman" w:cs="Times New Roman"/>
                <w:b w:val="0"/>
                <w:i w:val="0"/>
                <w:sz w:val="18"/>
              </w:rPr>
              <w:t>0.25</w:t>
            </w:r>
          </w:p>
        </w:tc>
        <w:tc>
          <w:tcPr>
            <w:tcW w:type="dxa" w:w="1881"/>
          </w:tcPr>
          <w:p>
            <w:r/>
            <w:r>
              <w:rPr>
                <w:rFonts w:ascii="Times New Roman" w:hAnsi="Times New Roman" w:cs="Times New Roman"/>
                <w:b w:val="0"/>
                <w:i w:val="0"/>
                <w:sz w:val="18"/>
              </w:rPr>
              <w:t>0.40</w:t>
            </w:r>
          </w:p>
        </w:tc>
        <w:tc>
          <w:tcPr>
            <w:tcW w:type="dxa" w:w="1881"/>
          </w:tcPr>
          <w:p>
            <w:r/>
            <w:r>
              <w:rPr>
                <w:rFonts w:ascii="Times New Roman" w:hAnsi="Times New Roman" w:cs="Times New Roman"/>
                <w:b w:val="0"/>
                <w:i w:val="0"/>
                <w:sz w:val="18"/>
              </w:rPr>
              <w:t>0.35</w:t>
            </w:r>
          </w:p>
        </w:tc>
      </w:tr>
      <w:tr>
        <w:tc>
          <w:tcPr>
            <w:tcW w:type="dxa" w:w="1881"/>
          </w:tcPr>
          <w:p>
            <w:r/>
            <w:r>
              <w:rPr>
                <w:rFonts w:ascii="Times New Roman" w:hAnsi="Times New Roman" w:cs="Times New Roman"/>
                <w:b w:val="0"/>
                <w:i w:val="0"/>
                <w:sz w:val="18"/>
              </w:rPr>
              <w:t>9</w:t>
            </w:r>
          </w:p>
        </w:tc>
        <w:tc>
          <w:tcPr>
            <w:tcW w:type="dxa" w:w="1881"/>
          </w:tcPr>
          <w:p>
            <w:r/>
            <w:r>
              <w:rPr>
                <w:rFonts w:ascii="Times New Roman" w:hAnsi="Times New Roman" w:cs="Times New Roman"/>
                <w:b w:val="0"/>
                <w:i w:val="0"/>
                <w:sz w:val="18"/>
              </w:rPr>
              <w:t>Revista Cubana de Ciencias Informaticas</w:t>
            </w:r>
          </w:p>
        </w:tc>
        <w:tc>
          <w:tcPr>
            <w:tcW w:type="dxa" w:w="1881"/>
          </w:tcPr>
          <w:p>
            <w:r/>
            <w:r>
              <w:rPr>
                <w:rFonts w:ascii="Times New Roman" w:hAnsi="Times New Roman" w:cs="Times New Roman"/>
                <w:b w:val="0"/>
                <w:i w:val="0"/>
                <w:sz w:val="18"/>
              </w:rPr>
              <w:t>0.24</w:t>
            </w:r>
          </w:p>
        </w:tc>
        <w:tc>
          <w:tcPr>
            <w:tcW w:type="dxa" w:w="1881"/>
          </w:tcPr>
          <w:p>
            <w:r/>
            <w:r>
              <w:rPr>
                <w:rFonts w:ascii="Times New Roman" w:hAnsi="Times New Roman" w:cs="Times New Roman"/>
                <w:b w:val="0"/>
                <w:i w:val="0"/>
                <w:sz w:val="18"/>
              </w:rPr>
              <w:t>0.39</w:t>
            </w:r>
          </w:p>
        </w:tc>
        <w:tc>
          <w:tcPr>
            <w:tcW w:type="dxa" w:w="1881"/>
          </w:tcPr>
          <w:p>
            <w:r/>
            <w:r>
              <w:rPr>
                <w:rFonts w:ascii="Times New Roman" w:hAnsi="Times New Roman" w:cs="Times New Roman"/>
                <w:b w:val="0"/>
                <w:i w:val="0"/>
                <w:sz w:val="18"/>
              </w:rPr>
              <w:t>0.37</w:t>
            </w:r>
          </w:p>
        </w:tc>
      </w:tr>
      <w:tr>
        <w:tc>
          <w:tcPr>
            <w:tcW w:type="dxa" w:w="1881"/>
          </w:tcPr>
          <w:p>
            <w:r/>
            <w:r>
              <w:rPr>
                <w:rFonts w:ascii="Times New Roman" w:hAnsi="Times New Roman" w:cs="Times New Roman"/>
                <w:b w:val="0"/>
                <w:i w:val="0"/>
                <w:sz w:val="18"/>
              </w:rPr>
              <w:t>10</w:t>
            </w:r>
          </w:p>
        </w:tc>
        <w:tc>
          <w:tcPr>
            <w:tcW w:type="dxa" w:w="1881"/>
          </w:tcPr>
          <w:p>
            <w:r/>
            <w:r>
              <w:rPr>
                <w:rFonts w:ascii="Times New Roman" w:hAnsi="Times New Roman" w:cs="Times New Roman"/>
                <w:b w:val="0"/>
                <w:i w:val="0"/>
                <w:sz w:val="18"/>
              </w:rPr>
              <w:t>Revista Cubana de Informatica Medica</w:t>
            </w:r>
          </w:p>
        </w:tc>
        <w:tc>
          <w:tcPr>
            <w:tcW w:type="dxa" w:w="1881"/>
          </w:tcPr>
          <w:p>
            <w:r/>
            <w:r>
              <w:rPr>
                <w:rFonts w:ascii="Times New Roman" w:hAnsi="Times New Roman" w:cs="Times New Roman"/>
                <w:b w:val="0"/>
                <w:i w:val="0"/>
                <w:sz w:val="18"/>
              </w:rPr>
              <w:t>0.22</w:t>
            </w:r>
          </w:p>
        </w:tc>
        <w:tc>
          <w:tcPr>
            <w:tcW w:type="dxa" w:w="1881"/>
          </w:tcPr>
          <w:p>
            <w:r/>
            <w:r>
              <w:rPr>
                <w:rFonts w:ascii="Times New Roman" w:hAnsi="Times New Roman" w:cs="Times New Roman"/>
                <w:b w:val="0"/>
                <w:i w:val="0"/>
                <w:sz w:val="18"/>
              </w:rPr>
              <w:t>0.39</w:t>
            </w:r>
          </w:p>
        </w:tc>
        <w:tc>
          <w:tcPr>
            <w:tcW w:type="dxa" w:w="1881"/>
          </w:tcPr>
          <w:p>
            <w:r/>
            <w:r>
              <w:rPr>
                <w:rFonts w:ascii="Times New Roman" w:hAnsi="Times New Roman" w:cs="Times New Roman"/>
                <w:b w:val="0"/>
                <w:i w:val="0"/>
                <w:sz w:val="18"/>
              </w:rPr>
              <w:t>0.39</w:t>
            </w:r>
          </w:p>
        </w:tc>
      </w:tr>
    </w:tbl>
    <w:p/>
    <w:p>
      <w:pPr>
        <w:spacing w:after="80"/>
        <w:ind w:firstLine="340"/>
        <w:jc w:val="both"/>
      </w:pPr>
      <w:r>
        <w:rPr>
          <w:rFonts w:ascii="Times New Roman" w:hAnsi="Times New Roman" w:cs="Times New Roman"/>
          <w:b w:val="0"/>
          <w:i w:val="0"/>
          <w:sz w:val="20"/>
        </w:rPr>
        <w:t xml:space="preserve">Two findings emerge that the classical analysis hides. First, the nucleus is </w:t>
      </w:r>
      <w:r>
        <w:rPr>
          <w:rFonts w:ascii="Times New Roman" w:hAnsi="Times New Roman" w:cs="Times New Roman"/>
          <w:b w:val="0"/>
          <w:i/>
          <w:sz w:val="20"/>
        </w:rPr>
        <w:t>not</w:t>
      </w:r>
      <w:r>
        <w:rPr>
          <w:rFonts w:ascii="Times New Roman" w:hAnsi="Times New Roman" w:cs="Times New Roman"/>
          <w:b w:val="0"/>
          <w:i w:val="0"/>
          <w:sz w:val="20"/>
        </w:rPr>
        <w:t xml:space="preserve"> internally homogeneous: the top two journals (NSS and NCML, both inside the neutrosophic ecosystem) have T ≥ 0.85, while ranks 3-5 (three Cuban journals) sit at T = 0.50-0.64 with substantial I, indicating </w:t>
      </w:r>
      <w:r>
        <w:rPr>
          <w:rFonts w:ascii="Times New Roman" w:hAnsi="Times New Roman" w:cs="Times New Roman"/>
          <w:b w:val="0"/>
          <w:i/>
          <w:sz w:val="20"/>
        </w:rPr>
        <w:t>boundary-nucleus</w:t>
      </w:r>
      <w:r>
        <w:rPr>
          <w:rFonts w:ascii="Times New Roman" w:hAnsi="Times New Roman" w:cs="Times New Roman"/>
          <w:b w:val="0"/>
          <w:i w:val="0"/>
          <w:sz w:val="20"/>
        </w:rPr>
        <w:t xml:space="preserve"> status rather than strong membership. Second, ranks 6-10 have T ≈ I ≈ F ≈ 0.3, meaning they are neither unambiguously inside nor outside the nucleus.</w:t>
      </w:r>
    </w:p>
    <w:p>
      <w:pPr>
        <w:spacing w:before="200" w:after="80"/>
      </w:pPr>
      <w:r>
        <w:rPr>
          <w:rFonts w:ascii="Arial" w:hAnsi="Arial" w:cs="Arial"/>
          <w:b/>
          <w:i w:val="0"/>
          <w:sz w:val="22"/>
        </w:rPr>
        <w:t>5.4 Neutrosophic topic membership</w:t>
      </w:r>
    </w:p>
    <w:p>
      <w:pPr>
        <w:spacing w:after="80"/>
        <w:ind w:firstLine="340"/>
        <w:jc w:val="both"/>
      </w:pPr>
      <w:r>
        <w:rPr>
          <w:rFonts w:ascii="Times New Roman" w:hAnsi="Times New Roman" w:cs="Times New Roman"/>
          <w:b w:val="0"/>
          <w:i w:val="0"/>
          <w:sz w:val="20"/>
        </w:rPr>
        <w:t xml:space="preserve">Applying Equations (6)-(8) to the 725 documents yields: only </w:t>
      </w:r>
      <w:r>
        <w:rPr>
          <w:rFonts w:ascii="Times New Roman" w:hAnsi="Times New Roman" w:cs="Times New Roman"/>
          <w:b/>
          <w:i w:val="0"/>
          <w:sz w:val="20"/>
        </w:rPr>
        <w:t>39% of documents have T ≥ 0.7 in their assigned topic</w:t>
      </w:r>
      <w:r>
        <w:rPr>
          <w:rFonts w:ascii="Times New Roman" w:hAnsi="Times New Roman" w:cs="Times New Roman"/>
          <w:b w:val="0"/>
          <w:i w:val="0"/>
          <w:sz w:val="20"/>
        </w:rPr>
        <w:t>. The remaining 61% distribute as follows: 21% have moderate T (0.4 ≤ T &lt; 0.7) and 40% have T &lt; 0.4 with substantial I, indicating they sit on or near a topic boundary. Mean I is 0.13 with standard deviation 0.10; documents with I ≥ 0.3 number 154 (21%) and represent the topic-boundary cohort.</w:t>
      </w:r>
    </w:p>
    <w:p>
      <w:pPr>
        <w:spacing w:after="80"/>
        <w:ind w:firstLine="340"/>
        <w:jc w:val="both"/>
      </w:pPr>
      <w:r>
        <w:rPr>
          <w:rFonts w:ascii="Times New Roman" w:hAnsi="Times New Roman" w:cs="Times New Roman"/>
          <w:b w:val="0"/>
          <w:i w:val="0"/>
          <w:sz w:val="20"/>
        </w:rPr>
        <w:t>The editorial interpretation is direct: roughly four out of every ten NCML articles published 2018-2026 do not belong unambiguously to a single topic in the 24-topic model. Topic-based benchmarking that ignores this fact will systematically misattribute articles in the legal-medical interface (topics T0, T9, T17, T20, T22, T23) where the boundaries are substantively fluid (a paper on legal aspects of medical malpractice straddles two topics by construction).</w:t>
      </w:r>
    </w:p>
    <w:p>
      <w:pPr>
        <w:spacing w:before="200" w:after="80"/>
      </w:pPr>
      <w:r>
        <w:rPr>
          <w:rFonts w:ascii="Arial" w:hAnsi="Arial" w:cs="Arial"/>
          <w:b/>
          <w:i w:val="0"/>
          <w:sz w:val="22"/>
        </w:rPr>
        <w:t>5.5 Neutrosophic co-authorship edge weights</w:t>
      </w:r>
    </w:p>
    <w:p>
      <w:pPr>
        <w:spacing w:after="80"/>
        <w:ind w:firstLine="340"/>
        <w:jc w:val="both"/>
      </w:pPr>
      <w:r>
        <w:rPr>
          <w:rFonts w:ascii="Times New Roman" w:hAnsi="Times New Roman" w:cs="Times New Roman"/>
          <w:b w:val="0"/>
          <w:i w:val="0"/>
          <w:sz w:val="20"/>
        </w:rPr>
        <w:t>Applying Equations (9)-(11) to the 2 174 edges of the network:</w:t>
      </w:r>
    </w:p>
    <w:p>
      <w:pPr>
        <w:pStyle w:val="ListBullet"/>
        <w:spacing w:after="40"/>
      </w:pPr>
      <w:r>
        <w:rPr>
          <w:rFonts w:ascii="Times New Roman" w:hAnsi="Times New Roman" w:cs="Times New Roman"/>
          <w:b w:val="0"/>
          <w:i w:val="0"/>
          <w:sz w:val="20"/>
        </w:rPr>
        <w:t xml:space="preserve">T_collab ≥ 0.5 (verified collaboration): </w:t>
      </w:r>
      <w:r>
        <w:rPr>
          <w:rFonts w:ascii="Times New Roman" w:hAnsi="Times New Roman" w:cs="Times New Roman"/>
          <w:b/>
          <w:i w:val="0"/>
          <w:sz w:val="20"/>
        </w:rPr>
        <w:t>40 edges (1.8%)</w:t>
      </w:r>
      <w:r>
        <w:rPr>
          <w:rFonts w:ascii="Times New Roman" w:hAnsi="Times New Roman" w:cs="Times New Roman"/>
          <w:b w:val="0"/>
          <w:i w:val="0"/>
          <w:sz w:val="20"/>
        </w:rPr>
        <w:t>.</w:t>
      </w:r>
    </w:p>
    <w:p>
      <w:pPr>
        <w:pStyle w:val="ListBullet"/>
        <w:spacing w:after="40"/>
      </w:pPr>
      <w:r>
        <w:rPr>
          <w:rFonts w:ascii="Times New Roman" w:hAnsi="Times New Roman" w:cs="Times New Roman"/>
          <w:b w:val="0"/>
          <w:i w:val="0"/>
          <w:sz w:val="20"/>
        </w:rPr>
        <w:t>I_collab ≥ 0.5 (single-article collaboration): 1 963 edges (90.3%).</w:t>
      </w:r>
    </w:p>
    <w:p>
      <w:pPr>
        <w:pStyle w:val="ListBullet"/>
        <w:spacing w:after="40"/>
      </w:pPr>
      <w:r>
        <w:rPr>
          <w:rFonts w:ascii="Times New Roman" w:hAnsi="Times New Roman" w:cs="Times New Roman"/>
          <w:b w:val="0"/>
          <w:i w:val="0"/>
          <w:sz w:val="20"/>
        </w:rPr>
        <w:t>Intermediate T-I balance: 171 edges (7.9%).</w:t>
      </w:r>
    </w:p>
    <w:p>
      <w:pPr>
        <w:spacing w:after="80"/>
        <w:ind w:firstLine="340"/>
        <w:jc w:val="both"/>
      </w:pPr>
      <w:r>
        <w:rPr>
          <w:rFonts w:ascii="Times New Roman" w:hAnsi="Times New Roman" w:cs="Times New Roman"/>
          <w:b w:val="0"/>
          <w:i w:val="0"/>
          <w:sz w:val="20"/>
        </w:rPr>
        <w:t xml:space="preserve">A network of </w:t>
      </w:r>
      <w:r>
        <w:rPr>
          <w:rFonts w:ascii="Times New Roman" w:hAnsi="Times New Roman" w:cs="Times New Roman"/>
          <w:b w:val="0"/>
          <w:i/>
          <w:sz w:val="20"/>
        </w:rPr>
        <w:t>verified</w:t>
      </w:r>
      <w:r>
        <w:rPr>
          <w:rFonts w:ascii="Times New Roman" w:hAnsi="Times New Roman" w:cs="Times New Roman"/>
          <w:b w:val="0"/>
          <w:i w:val="0"/>
          <w:sz w:val="20"/>
        </w:rPr>
        <w:t xml:space="preserve"> collaborations (T_collab ≥ 0.5) drops the graph from 1 363 nodes and 2 174 edges to a subgraph of 35 nodes and 40 edges, dominated by four to five prolific Ecuadorian research groups (UNIANDES Riobamba, UBE, UNIANDES Ambato) and the international group Smarandache-Leyva-Fujita. The classical modularity 0.96 reduces to 0.81 on the verified network — still high, but substantially less spectacular. This is honest: the journal's intellectual integration is measurable on a much smaller core than the classical graph suggests, and the bulk of the graph reflects the </w:t>
      </w:r>
      <w:r>
        <w:rPr>
          <w:rFonts w:ascii="Times New Roman" w:hAnsi="Times New Roman" w:cs="Times New Roman"/>
          <w:b w:val="0"/>
          <w:i/>
          <w:sz w:val="20"/>
        </w:rPr>
        <w:t>publication marketplace</w:t>
      </w:r>
      <w:r>
        <w:rPr>
          <w:rFonts w:ascii="Times New Roman" w:hAnsi="Times New Roman" w:cs="Times New Roman"/>
          <w:b w:val="0"/>
          <w:i w:val="0"/>
          <w:sz w:val="20"/>
        </w:rPr>
        <w:t xml:space="preserve"> rather than a coherent community of practice.</w:t>
      </w:r>
    </w:p>
    <w:p>
      <w:pPr>
        <w:spacing w:before="200" w:after="80"/>
      </w:pPr>
      <w:r>
        <w:rPr>
          <w:rFonts w:ascii="Arial" w:hAnsi="Arial" w:cs="Arial"/>
          <w:b/>
          <w:i w:val="0"/>
          <w:sz w:val="22"/>
        </w:rPr>
        <w:t>5.6 Neutrosophic aggregated author ranking (RQ6) — the operative test</w:t>
      </w:r>
    </w:p>
    <w:p>
      <w:pPr>
        <w:spacing w:after="80"/>
        <w:ind w:firstLine="340"/>
        <w:jc w:val="both"/>
      </w:pPr>
      <w:r>
        <w:rPr>
          <w:rFonts w:ascii="Times New Roman" w:hAnsi="Times New Roman" w:cs="Times New Roman"/>
          <w:b w:val="0"/>
          <w:i w:val="0"/>
          <w:sz w:val="20"/>
        </w:rPr>
        <w:t xml:space="preserve">The preceding subsections re-expressed each classical indicator as a neutrosophic triple and demonstrated that the indeterminacy carries non-trivial information. A stronger operative test of the framework is whether the (T, I, F) triples, once aggregated across dimensions through SVNWA, </w:t>
      </w:r>
      <w:r>
        <w:rPr>
          <w:rFonts w:ascii="Times New Roman" w:hAnsi="Times New Roman" w:cs="Times New Roman"/>
          <w:b/>
          <w:i w:val="0"/>
          <w:sz w:val="20"/>
        </w:rPr>
        <w:t>yield a ranking that differs from the classical ranking and whose differences are editorially interpretable</w:t>
      </w:r>
      <w:r>
        <w:rPr>
          <w:rFonts w:ascii="Times New Roman" w:hAnsi="Times New Roman" w:cs="Times New Roman"/>
          <w:b w:val="0"/>
          <w:i w:val="0"/>
          <w:sz w:val="20"/>
        </w:rPr>
        <w:t>. If fuzzy, intuitionistic-fuzzy, or probabilistic aggregation could produce the same ranking, then the neutrosophic formalism would carry no additional information; if they cannot, the neutrosophic framework is operatively distinct.</w:t>
      </w:r>
    </w:p>
    <w:p>
      <w:pPr>
        <w:spacing w:before="200" w:after="80"/>
      </w:pPr>
      <w:r>
        <w:rPr>
          <w:rFonts w:ascii="Arial" w:hAnsi="Arial" w:cs="Arial"/>
          <w:b/>
          <w:i w:val="0"/>
          <w:sz w:val="22"/>
        </w:rPr>
        <w:t>5.6.1 Design</w:t>
      </w:r>
    </w:p>
    <w:p>
      <w:pPr>
        <w:spacing w:after="80"/>
        <w:ind w:firstLine="340"/>
        <w:jc w:val="both"/>
      </w:pPr>
      <w:r>
        <w:rPr>
          <w:rFonts w:ascii="Times New Roman" w:hAnsi="Times New Roman" w:cs="Times New Roman"/>
          <w:b w:val="0"/>
          <w:i w:val="0"/>
          <w:sz w:val="20"/>
        </w:rPr>
        <w:t>We rank the 146 authors with ≥ 3 articles along four neutrosophic dimensions:</w:t>
      </w:r>
    </w:p>
    <w:p>
      <w:pPr>
        <w:pStyle w:val="ListBullet"/>
        <w:spacing w:after="40"/>
      </w:pPr>
      <w:r>
        <w:rPr>
          <w:rFonts w:ascii="Times New Roman" w:hAnsi="Times New Roman" w:cs="Times New Roman"/>
          <w:b/>
          <w:i w:val="0"/>
          <w:sz w:val="20"/>
        </w:rPr>
        <w:t>D1. N-productivity.</w:t>
      </w:r>
      <w:r>
        <w:rPr>
          <w:rFonts w:ascii="Times New Roman" w:hAnsi="Times New Roman" w:cs="Times New Roman"/>
          <w:b w:val="0"/>
          <w:i w:val="0"/>
          <w:sz w:val="20"/>
        </w:rPr>
        <w:t xml:space="preserve"> T = sigmoid centred at 8 articles, I = bell</w:t>
      </w:r>
    </w:p>
    <w:p>
      <w:pPr>
        <w:spacing w:after="80"/>
        <w:ind w:firstLine="340"/>
        <w:jc w:val="both"/>
      </w:pPr>
      <w:r>
        <w:rPr>
          <w:rFonts w:ascii="Times New Roman" w:hAnsi="Times New Roman" w:cs="Times New Roman"/>
          <w:b w:val="0"/>
          <w:i w:val="0"/>
          <w:sz w:val="20"/>
        </w:rPr>
        <w:t>peaking at the mid-range (3-6 articles), F = residual.</w:t>
      </w:r>
    </w:p>
    <w:p>
      <w:pPr>
        <w:pStyle w:val="ListBullet"/>
        <w:spacing w:after="40"/>
      </w:pPr>
      <w:r>
        <w:rPr>
          <w:rFonts w:ascii="Times New Roman" w:hAnsi="Times New Roman" w:cs="Times New Roman"/>
          <w:b/>
          <w:i w:val="0"/>
          <w:sz w:val="20"/>
        </w:rPr>
        <w:t>D2. N-citational evidence.</w:t>
      </w:r>
      <w:r>
        <w:rPr>
          <w:rFonts w:ascii="Times New Roman" w:hAnsi="Times New Roman" w:cs="Times New Roman"/>
          <w:b w:val="0"/>
          <w:i w:val="0"/>
          <w:sz w:val="20"/>
        </w:rPr>
        <w:t xml:space="preserve"> Per-article source-triangulation class</w:t>
      </w:r>
    </w:p>
    <w:p>
      <w:pPr>
        <w:spacing w:after="80"/>
        <w:ind w:firstLine="340"/>
        <w:jc w:val="both"/>
      </w:pPr>
      <w:r>
        <w:rPr>
          <w:rFonts w:ascii="Times New Roman" w:hAnsi="Times New Roman" w:cs="Times New Roman"/>
          <w:b w:val="0"/>
          <w:i w:val="0"/>
          <w:sz w:val="20"/>
        </w:rPr>
        <w:t>(T = cited in both OpenAlex and Scholar, I = cited in one only, F = no evidence), averaged across the author's publications. For unsampled articles, OpenAlex-only counts yield higher I.</w:t>
      </w:r>
    </w:p>
    <w:p>
      <w:pPr>
        <w:pStyle w:val="ListBullet"/>
        <w:spacing w:after="40"/>
      </w:pPr>
      <w:r>
        <w:rPr>
          <w:rFonts w:ascii="Times New Roman" w:hAnsi="Times New Roman" w:cs="Times New Roman"/>
          <w:b/>
          <w:i w:val="0"/>
          <w:sz w:val="20"/>
        </w:rPr>
        <w:t>D3. N-co-authorship centrality.</w:t>
      </w:r>
      <w:r>
        <w:rPr>
          <w:rFonts w:ascii="Times New Roman" w:hAnsi="Times New Roman" w:cs="Times New Roman"/>
          <w:b w:val="0"/>
          <w:i w:val="0"/>
          <w:sz w:val="20"/>
        </w:rPr>
        <w:t xml:space="preserve"> Mean T_collab, I_collab,</w:t>
      </w:r>
    </w:p>
    <w:p>
      <w:pPr>
        <w:spacing w:after="80"/>
        <w:ind w:firstLine="340"/>
        <w:jc w:val="both"/>
      </w:pPr>
      <w:r>
        <w:rPr>
          <w:rFonts w:ascii="Times New Roman" w:hAnsi="Times New Roman" w:cs="Times New Roman"/>
          <w:b w:val="0"/>
          <w:i w:val="0"/>
          <w:sz w:val="20"/>
        </w:rPr>
        <w:t>F_collab over the edges incident to the author.</w:t>
      </w:r>
    </w:p>
    <w:p>
      <w:pPr>
        <w:pStyle w:val="ListBullet"/>
        <w:spacing w:after="40"/>
      </w:pPr>
      <w:r>
        <w:rPr>
          <w:rFonts w:ascii="Times New Roman" w:hAnsi="Times New Roman" w:cs="Times New Roman"/>
          <w:b/>
          <w:i w:val="0"/>
          <w:sz w:val="20"/>
        </w:rPr>
        <w:t>D4. N-theoretical focus.</w:t>
      </w:r>
      <w:r>
        <w:rPr>
          <w:rFonts w:ascii="Times New Roman" w:hAnsi="Times New Roman" w:cs="Times New Roman"/>
          <w:b w:val="0"/>
          <w:i w:val="0"/>
          <w:sz w:val="20"/>
        </w:rPr>
        <w:t xml:space="preserve"> Share of the author's publications in</w:t>
      </w:r>
    </w:p>
    <w:p>
      <w:pPr>
        <w:spacing w:after="80"/>
        <w:ind w:firstLine="340"/>
        <w:jc w:val="both"/>
      </w:pPr>
      <w:r>
        <w:rPr>
          <w:rFonts w:ascii="Times New Roman" w:hAnsi="Times New Roman" w:cs="Times New Roman"/>
          <w:b w:val="0"/>
          <w:i w:val="0"/>
          <w:sz w:val="20"/>
        </w:rPr>
        <w:t>theoretical topics (T7, T16, T2) = T; share in applied legal-medical topics = F; share in other topics = I.</w:t>
      </w:r>
    </w:p>
    <w:p>
      <w:pPr>
        <w:spacing w:after="80"/>
        <w:ind w:firstLine="340"/>
        <w:jc w:val="both"/>
      </w:pPr>
      <w:r>
        <w:rPr>
          <w:rFonts w:ascii="Times New Roman" w:hAnsi="Times New Roman" w:cs="Times New Roman"/>
          <w:b w:val="0"/>
          <w:i w:val="0"/>
          <w:sz w:val="20"/>
        </w:rPr>
        <w:t>Aggregation: SVNWA of Equation (12) with equal weights 0.25. Score: Smarandache's S(T, I, F) = (2 + T − I − F) / 3 of Equation (13). Classical baseline: rank by article count.</w:t>
      </w:r>
    </w:p>
    <w:p>
      <w:pPr>
        <w:spacing w:before="200" w:after="80"/>
      </w:pPr>
      <w:r>
        <w:rPr>
          <w:rFonts w:ascii="Arial" w:hAnsi="Arial" w:cs="Arial"/>
          <w:b/>
          <w:i w:val="0"/>
          <w:sz w:val="22"/>
        </w:rPr>
        <w:t>5.6.2 Results</w:t>
      </w:r>
    </w:p>
    <w:p>
      <w:pPr>
        <w:spacing w:after="80"/>
        <w:ind w:firstLine="340"/>
        <w:jc w:val="both"/>
      </w:pPr>
      <w:r>
        <w:rPr>
          <w:rFonts w:ascii="Times New Roman" w:hAnsi="Times New Roman" w:cs="Times New Roman"/>
          <w:b w:val="0"/>
          <w:i w:val="0"/>
          <w:sz w:val="20"/>
        </w:rPr>
        <w:t>The two rankings differ substantially:</w:t>
      </w:r>
    </w:p>
    <w:p>
      <w:pPr>
        <w:pStyle w:val="ListBullet"/>
        <w:spacing w:after="40"/>
      </w:pPr>
      <w:r>
        <w:rPr>
          <w:rFonts w:ascii="Times New Roman" w:hAnsi="Times New Roman" w:cs="Times New Roman"/>
          <w:b/>
          <w:i w:val="0"/>
          <w:sz w:val="20"/>
        </w:rPr>
        <w:t>Kendall τ = 0.20</w:t>
      </w:r>
      <w:r>
        <w:rPr>
          <w:rFonts w:ascii="Times New Roman" w:hAnsi="Times New Roman" w:cs="Times New Roman"/>
          <w:b w:val="0"/>
          <w:i w:val="0"/>
          <w:sz w:val="20"/>
        </w:rPr>
        <w:t xml:space="preserve"> (p = 0.001) — weak positive correlation.</w:t>
      </w:r>
    </w:p>
    <w:p>
      <w:pPr>
        <w:pStyle w:val="ListBullet"/>
        <w:spacing w:after="40"/>
      </w:pPr>
      <w:r>
        <w:rPr>
          <w:rFonts w:ascii="Times New Roman" w:hAnsi="Times New Roman" w:cs="Times New Roman"/>
          <w:b/>
          <w:i w:val="0"/>
          <w:sz w:val="20"/>
        </w:rPr>
        <w:t>Spearman ρ = 0.25</w:t>
      </w:r>
      <w:r>
        <w:rPr>
          <w:rFonts w:ascii="Times New Roman" w:hAnsi="Times New Roman" w:cs="Times New Roman"/>
          <w:b w:val="0"/>
          <w:i w:val="0"/>
          <w:sz w:val="20"/>
        </w:rPr>
        <w:t xml:space="preserve"> (p = 0.003) — same direction, still weak.</w:t>
      </w:r>
    </w:p>
    <w:p>
      <w:pPr>
        <w:pStyle w:val="ListBullet"/>
        <w:spacing w:after="40"/>
      </w:pPr>
      <w:r>
        <w:rPr>
          <w:rFonts w:ascii="Times New Roman" w:hAnsi="Times New Roman" w:cs="Times New Roman"/>
          <w:b/>
          <w:i w:val="0"/>
          <w:sz w:val="20"/>
        </w:rPr>
        <w:t>Top-10 overlap = 5/10</w:t>
      </w:r>
      <w:r>
        <w:rPr>
          <w:rFonts w:ascii="Times New Roman" w:hAnsi="Times New Roman" w:cs="Times New Roman"/>
          <w:b w:val="0"/>
          <w:i w:val="0"/>
          <w:sz w:val="20"/>
        </w:rPr>
        <w:t xml:space="preserve"> (Jaccard = 0.33) — half of the classical</w:t>
      </w:r>
    </w:p>
    <w:p>
      <w:pPr>
        <w:spacing w:after="80"/>
        <w:ind w:firstLine="340"/>
        <w:jc w:val="both"/>
      </w:pPr>
      <w:r>
        <w:rPr>
          <w:rFonts w:ascii="Times New Roman" w:hAnsi="Times New Roman" w:cs="Times New Roman"/>
          <w:b w:val="0"/>
          <w:i w:val="0"/>
          <w:sz w:val="20"/>
        </w:rPr>
        <w:t xml:space="preserve">top-10 does </w:t>
      </w:r>
      <w:r>
        <w:rPr>
          <w:rFonts w:ascii="Times New Roman" w:hAnsi="Times New Roman" w:cs="Times New Roman"/>
          <w:b w:val="0"/>
          <w:i/>
          <w:sz w:val="20"/>
        </w:rPr>
        <w:t>not</w:t>
      </w:r>
      <w:r>
        <w:rPr>
          <w:rFonts w:ascii="Times New Roman" w:hAnsi="Times New Roman" w:cs="Times New Roman"/>
          <w:b w:val="0"/>
          <w:i w:val="0"/>
          <w:sz w:val="20"/>
        </w:rPr>
        <w:t xml:space="preserve"> appear in the neutrosophic top-10.</w:t>
      </w:r>
    </w:p>
    <w:p>
      <w:pPr>
        <w:spacing w:after="80"/>
        <w:ind w:firstLine="340"/>
        <w:jc w:val="both"/>
      </w:pPr>
      <w:r>
        <w:rPr>
          <w:rFonts w:ascii="Times New Roman" w:hAnsi="Times New Roman" w:cs="Times New Roman"/>
          <w:b w:val="0"/>
          <w:i w:val="0"/>
          <w:sz w:val="20"/>
        </w:rPr>
        <w:t xml:space="preserve">Authors whose neutrosophic rank is substantially </w:t>
      </w:r>
      <w:r>
        <w:rPr>
          <w:rFonts w:ascii="Times New Roman" w:hAnsi="Times New Roman" w:cs="Times New Roman"/>
          <w:b w:val="0"/>
          <w:i/>
          <w:sz w:val="20"/>
        </w:rPr>
        <w:t>higher</w:t>
      </w:r>
      <w:r>
        <w:rPr>
          <w:rFonts w:ascii="Times New Roman" w:hAnsi="Times New Roman" w:cs="Times New Roman"/>
          <w:b w:val="0"/>
          <w:i w:val="0"/>
          <w:sz w:val="20"/>
        </w:rPr>
        <w:t xml:space="preserve"> than their classical rank share a common profile: small article count (3-4 publications) but high share of theoretically-focused papers (T7, T2, T16) and well-cited in at least one source. Conversely, authors whose neutrosophic rank is substantially </w:t>
      </w:r>
      <w:r>
        <w:rPr>
          <w:rFonts w:ascii="Times New Roman" w:hAnsi="Times New Roman" w:cs="Times New Roman"/>
          <w:b w:val="0"/>
          <w:i/>
          <w:sz w:val="20"/>
        </w:rPr>
        <w:t>lower</w:t>
      </w:r>
      <w:r>
        <w:rPr>
          <w:rFonts w:ascii="Times New Roman" w:hAnsi="Times New Roman" w:cs="Times New Roman"/>
          <w:b w:val="0"/>
          <w:i w:val="0"/>
          <w:sz w:val="20"/>
        </w:rPr>
        <w:t xml:space="preserve"> show a different profile: 4-6 publications concentrated in legal-medical applied topics with low co-authorship centrality (they publish within a single closed research group) and no citation evidence in either OpenAlex or Scholar.</w:t>
      </w:r>
    </w:p>
    <w:p>
      <w:pPr>
        <w:spacing w:after="80"/>
        <w:ind w:firstLine="340"/>
        <w:jc w:val="both"/>
      </w:pPr>
      <w:r>
        <w:rPr>
          <w:rFonts w:ascii="Times New Roman" w:hAnsi="Times New Roman" w:cs="Times New Roman"/>
          <w:b w:val="0"/>
          <w:i w:val="0"/>
          <w:sz w:val="20"/>
        </w:rPr>
        <w:t>Table 2 shows the five largest rises and falls.</w:t>
      </w:r>
    </w:p>
    <w:tbl>
      <w:tblPr>
        <w:tblStyle w:val="Light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Arial" w:hAnsi="Arial" w:cs="Arial"/>
                <w:b/>
                <w:i w:val="0"/>
                <w:sz w:val="18"/>
              </w:rPr>
              <w:t>Change</w:t>
            </w:r>
          </w:p>
        </w:tc>
        <w:tc>
          <w:tcPr>
            <w:tcW w:type="dxa" w:w="1881"/>
          </w:tcPr>
          <w:p>
            <w:r/>
            <w:r>
              <w:rPr>
                <w:rFonts w:ascii="Arial" w:hAnsi="Arial" w:cs="Arial"/>
                <w:b/>
                <w:i w:val="0"/>
                <w:sz w:val="18"/>
              </w:rPr>
              <w:t>Author</w:t>
            </w:r>
          </w:p>
        </w:tc>
        <w:tc>
          <w:tcPr>
            <w:tcW w:type="dxa" w:w="1881"/>
          </w:tcPr>
          <w:p>
            <w:r/>
            <w:r>
              <w:rPr>
                <w:rFonts w:ascii="Arial" w:hAnsi="Arial" w:cs="Arial"/>
                <w:b/>
                <w:i w:val="0"/>
                <w:sz w:val="18"/>
              </w:rPr>
              <w:t>Articles</w:t>
            </w:r>
          </w:p>
        </w:tc>
        <w:tc>
          <w:tcPr>
            <w:tcW w:type="dxa" w:w="1881"/>
          </w:tcPr>
          <w:p>
            <w:r/>
            <w:r>
              <w:rPr>
                <w:rFonts w:ascii="Arial" w:hAnsi="Arial" w:cs="Arial"/>
                <w:b/>
                <w:i w:val="0"/>
                <w:sz w:val="18"/>
              </w:rPr>
              <w:t>Rank (classical)</w:t>
            </w:r>
          </w:p>
        </w:tc>
        <w:tc>
          <w:tcPr>
            <w:tcW w:type="dxa" w:w="1881"/>
          </w:tcPr>
          <w:p>
            <w:r/>
            <w:r>
              <w:rPr>
                <w:rFonts w:ascii="Arial" w:hAnsi="Arial" w:cs="Arial"/>
                <w:b/>
                <w:i w:val="0"/>
                <w:sz w:val="18"/>
              </w:rPr>
              <w:t>Rank (neutrosophic)</w:t>
            </w:r>
          </w:p>
        </w:tc>
      </w:tr>
      <w:tr>
        <w:tc>
          <w:tcPr>
            <w:tcW w:type="dxa" w:w="1881"/>
          </w:tcPr>
          <w:p>
            <w:r/>
            <w:r>
              <w:rPr>
                <w:rFonts w:ascii="Times New Roman" w:hAnsi="Times New Roman" w:cs="Times New Roman"/>
                <w:b w:val="0"/>
                <w:i w:val="0"/>
                <w:sz w:val="18"/>
              </w:rPr>
              <w:t>↑ +81</w:t>
            </w:r>
          </w:p>
        </w:tc>
        <w:tc>
          <w:tcPr>
            <w:tcW w:type="dxa" w:w="1881"/>
          </w:tcPr>
          <w:p>
            <w:r/>
            <w:r>
              <w:rPr>
                <w:rFonts w:ascii="Times New Roman" w:hAnsi="Times New Roman" w:cs="Times New Roman"/>
                <w:b w:val="0"/>
                <w:i w:val="0"/>
                <w:sz w:val="18"/>
              </w:rPr>
              <w:t>Lozada Torres, Edwin Fabricio</w:t>
            </w:r>
          </w:p>
        </w:tc>
        <w:tc>
          <w:tcPr>
            <w:tcW w:type="dxa" w:w="1881"/>
          </w:tcPr>
          <w:p>
            <w:r/>
            <w:r>
              <w:rPr>
                <w:rFonts w:ascii="Times New Roman" w:hAnsi="Times New Roman" w:cs="Times New Roman"/>
                <w:b w:val="0"/>
                <w:i w:val="0"/>
                <w:sz w:val="18"/>
              </w:rPr>
              <w:t>3</w:t>
            </w:r>
          </w:p>
        </w:tc>
        <w:tc>
          <w:tcPr>
            <w:tcW w:type="dxa" w:w="1881"/>
          </w:tcPr>
          <w:p>
            <w:r/>
            <w:r>
              <w:rPr>
                <w:rFonts w:ascii="Times New Roman" w:hAnsi="Times New Roman" w:cs="Times New Roman"/>
                <w:b w:val="0"/>
                <w:i w:val="0"/>
                <w:sz w:val="18"/>
              </w:rPr>
              <w:t>87</w:t>
            </w:r>
          </w:p>
        </w:tc>
        <w:tc>
          <w:tcPr>
            <w:tcW w:type="dxa" w:w="1881"/>
          </w:tcPr>
          <w:p>
            <w:r/>
            <w:r>
              <w:rPr>
                <w:rFonts w:ascii="Times New Roman" w:hAnsi="Times New Roman" w:cs="Times New Roman"/>
                <w:b w:val="0"/>
                <w:i w:val="0"/>
                <w:sz w:val="18"/>
              </w:rPr>
              <w:t>6</w:t>
            </w:r>
          </w:p>
        </w:tc>
      </w:tr>
      <w:tr>
        <w:tc>
          <w:tcPr>
            <w:tcW w:type="dxa" w:w="1881"/>
          </w:tcPr>
          <w:p>
            <w:r/>
            <w:r>
              <w:rPr>
                <w:rFonts w:ascii="Times New Roman" w:hAnsi="Times New Roman" w:cs="Times New Roman"/>
                <w:b w:val="0"/>
                <w:i w:val="0"/>
                <w:sz w:val="18"/>
              </w:rPr>
              <w:t>↑ +78</w:t>
            </w:r>
          </w:p>
        </w:tc>
        <w:tc>
          <w:tcPr>
            <w:tcW w:type="dxa" w:w="1881"/>
          </w:tcPr>
          <w:p>
            <w:r/>
            <w:r>
              <w:rPr>
                <w:rFonts w:ascii="Times New Roman" w:hAnsi="Times New Roman" w:cs="Times New Roman"/>
                <w:b w:val="0"/>
                <w:i w:val="0"/>
                <w:sz w:val="18"/>
              </w:rPr>
              <w:t>Parrales-Bravo, Franklin</w:t>
            </w:r>
          </w:p>
        </w:tc>
        <w:tc>
          <w:tcPr>
            <w:tcW w:type="dxa" w:w="1881"/>
          </w:tcPr>
          <w:p>
            <w:r/>
            <w:r>
              <w:rPr>
                <w:rFonts w:ascii="Times New Roman" w:hAnsi="Times New Roman" w:cs="Times New Roman"/>
                <w:b w:val="0"/>
                <w:i w:val="0"/>
                <w:sz w:val="18"/>
              </w:rPr>
              <w:t>3</w:t>
            </w:r>
          </w:p>
        </w:tc>
        <w:tc>
          <w:tcPr>
            <w:tcW w:type="dxa" w:w="1881"/>
          </w:tcPr>
          <w:p>
            <w:r/>
            <w:r>
              <w:rPr>
                <w:rFonts w:ascii="Times New Roman" w:hAnsi="Times New Roman" w:cs="Times New Roman"/>
                <w:b w:val="0"/>
                <w:i w:val="0"/>
                <w:sz w:val="18"/>
              </w:rPr>
              <w:t>87</w:t>
            </w:r>
          </w:p>
        </w:tc>
        <w:tc>
          <w:tcPr>
            <w:tcW w:type="dxa" w:w="1881"/>
          </w:tcPr>
          <w:p>
            <w:r/>
            <w:r>
              <w:rPr>
                <w:rFonts w:ascii="Times New Roman" w:hAnsi="Times New Roman" w:cs="Times New Roman"/>
                <w:b w:val="0"/>
                <w:i w:val="0"/>
                <w:sz w:val="18"/>
              </w:rPr>
              <w:t>9</w:t>
            </w:r>
          </w:p>
        </w:tc>
      </w:tr>
      <w:tr>
        <w:tc>
          <w:tcPr>
            <w:tcW w:type="dxa" w:w="1881"/>
          </w:tcPr>
          <w:p>
            <w:r/>
            <w:r>
              <w:rPr>
                <w:rFonts w:ascii="Times New Roman" w:hAnsi="Times New Roman" w:cs="Times New Roman"/>
                <w:b w:val="0"/>
                <w:i w:val="0"/>
                <w:sz w:val="18"/>
              </w:rPr>
              <w:t>↑ +75</w:t>
            </w:r>
          </w:p>
        </w:tc>
        <w:tc>
          <w:tcPr>
            <w:tcW w:type="dxa" w:w="1881"/>
          </w:tcPr>
          <w:p>
            <w:r/>
            <w:r>
              <w:rPr>
                <w:rFonts w:ascii="Times New Roman" w:hAnsi="Times New Roman" w:cs="Times New Roman"/>
                <w:b w:val="0"/>
                <w:i w:val="0"/>
                <w:sz w:val="18"/>
              </w:rPr>
              <w:t>Villalba León, Carlos Luis</w:t>
            </w:r>
          </w:p>
        </w:tc>
        <w:tc>
          <w:tcPr>
            <w:tcW w:type="dxa" w:w="1881"/>
          </w:tcPr>
          <w:p>
            <w:r/>
            <w:r>
              <w:rPr>
                <w:rFonts w:ascii="Times New Roman" w:hAnsi="Times New Roman" w:cs="Times New Roman"/>
                <w:b w:val="0"/>
                <w:i w:val="0"/>
                <w:sz w:val="18"/>
              </w:rPr>
              <w:t>3</w:t>
            </w:r>
          </w:p>
        </w:tc>
        <w:tc>
          <w:tcPr>
            <w:tcW w:type="dxa" w:w="1881"/>
          </w:tcPr>
          <w:p>
            <w:r/>
            <w:r>
              <w:rPr>
                <w:rFonts w:ascii="Times New Roman" w:hAnsi="Times New Roman" w:cs="Times New Roman"/>
                <w:b w:val="0"/>
                <w:i w:val="0"/>
                <w:sz w:val="18"/>
              </w:rPr>
              <w:t>87</w:t>
            </w:r>
          </w:p>
        </w:tc>
        <w:tc>
          <w:tcPr>
            <w:tcW w:type="dxa" w:w="1881"/>
          </w:tcPr>
          <w:p>
            <w:r/>
            <w:r>
              <w:rPr>
                <w:rFonts w:ascii="Times New Roman" w:hAnsi="Times New Roman" w:cs="Times New Roman"/>
                <w:b w:val="0"/>
                <w:i w:val="0"/>
                <w:sz w:val="18"/>
              </w:rPr>
              <w:t>17</w:t>
            </w:r>
          </w:p>
        </w:tc>
      </w:tr>
      <w:tr>
        <w:tc>
          <w:tcPr>
            <w:tcW w:type="dxa" w:w="1881"/>
          </w:tcPr>
          <w:p>
            <w:r/>
            <w:r>
              <w:rPr>
                <w:rFonts w:ascii="Times New Roman" w:hAnsi="Times New Roman" w:cs="Times New Roman"/>
                <w:b w:val="0"/>
                <w:i w:val="0"/>
                <w:sz w:val="18"/>
              </w:rPr>
              <w:t>↑ +67</w:t>
            </w:r>
          </w:p>
        </w:tc>
        <w:tc>
          <w:tcPr>
            <w:tcW w:type="dxa" w:w="1881"/>
          </w:tcPr>
          <w:p>
            <w:r/>
            <w:r>
              <w:rPr>
                <w:rFonts w:ascii="Times New Roman" w:hAnsi="Times New Roman" w:cs="Times New Roman"/>
                <w:b w:val="0"/>
                <w:i w:val="0"/>
                <w:sz w:val="18"/>
              </w:rPr>
              <w:t>Alvarado, Yelena Abreu</w:t>
            </w:r>
          </w:p>
        </w:tc>
        <w:tc>
          <w:tcPr>
            <w:tcW w:type="dxa" w:w="1881"/>
          </w:tcPr>
          <w:p>
            <w:r/>
            <w:r>
              <w:rPr>
                <w:rFonts w:ascii="Times New Roman" w:hAnsi="Times New Roman" w:cs="Times New Roman"/>
                <w:b w:val="0"/>
                <w:i w:val="0"/>
                <w:sz w:val="18"/>
              </w:rPr>
              <w:t>3</w:t>
            </w:r>
          </w:p>
        </w:tc>
        <w:tc>
          <w:tcPr>
            <w:tcW w:type="dxa" w:w="1881"/>
          </w:tcPr>
          <w:p>
            <w:r/>
            <w:r>
              <w:rPr>
                <w:rFonts w:ascii="Times New Roman" w:hAnsi="Times New Roman" w:cs="Times New Roman"/>
                <w:b w:val="0"/>
                <w:i w:val="0"/>
                <w:sz w:val="18"/>
              </w:rPr>
              <w:t>87</w:t>
            </w:r>
          </w:p>
        </w:tc>
        <w:tc>
          <w:tcPr>
            <w:tcW w:type="dxa" w:w="1881"/>
          </w:tcPr>
          <w:p>
            <w:r/>
            <w:r>
              <w:rPr>
                <w:rFonts w:ascii="Times New Roman" w:hAnsi="Times New Roman" w:cs="Times New Roman"/>
                <w:b w:val="0"/>
                <w:i w:val="0"/>
                <w:sz w:val="18"/>
              </w:rPr>
              <w:t>20</w:t>
            </w:r>
          </w:p>
        </w:tc>
      </w:tr>
      <w:tr>
        <w:tc>
          <w:tcPr>
            <w:tcW w:type="dxa" w:w="1881"/>
          </w:tcPr>
          <w:p>
            <w:r/>
            <w:r>
              <w:rPr>
                <w:rFonts w:ascii="Times New Roman" w:hAnsi="Times New Roman" w:cs="Times New Roman"/>
                <w:b w:val="0"/>
                <w:i w:val="0"/>
                <w:sz w:val="18"/>
              </w:rPr>
              <w:t>↓ −100</w:t>
            </w:r>
          </w:p>
        </w:tc>
        <w:tc>
          <w:tcPr>
            <w:tcW w:type="dxa" w:w="1881"/>
          </w:tcPr>
          <w:p>
            <w:r/>
            <w:r>
              <w:rPr>
                <w:rFonts w:ascii="Times New Roman" w:hAnsi="Times New Roman" w:cs="Times New Roman"/>
                <w:b w:val="0"/>
                <w:i w:val="0"/>
                <w:sz w:val="18"/>
              </w:rPr>
              <w:t>Romero Fernández, Ariel José</w:t>
            </w:r>
          </w:p>
        </w:tc>
        <w:tc>
          <w:tcPr>
            <w:tcW w:type="dxa" w:w="1881"/>
          </w:tcPr>
          <w:p>
            <w:r/>
            <w:r>
              <w:rPr>
                <w:rFonts w:ascii="Times New Roman" w:hAnsi="Times New Roman" w:cs="Times New Roman"/>
                <w:b w:val="0"/>
                <w:i w:val="0"/>
                <w:sz w:val="18"/>
              </w:rPr>
              <w:t>4</w:t>
            </w:r>
          </w:p>
        </w:tc>
        <w:tc>
          <w:tcPr>
            <w:tcW w:type="dxa" w:w="1881"/>
          </w:tcPr>
          <w:p>
            <w:r/>
            <w:r>
              <w:rPr>
                <w:rFonts w:ascii="Times New Roman" w:hAnsi="Times New Roman" w:cs="Times New Roman"/>
                <w:b w:val="0"/>
                <w:i w:val="0"/>
                <w:sz w:val="18"/>
              </w:rPr>
              <w:t>52</w:t>
            </w:r>
          </w:p>
        </w:tc>
        <w:tc>
          <w:tcPr>
            <w:tcW w:type="dxa" w:w="1881"/>
          </w:tcPr>
          <w:p>
            <w:r/>
            <w:r>
              <w:rPr>
                <w:rFonts w:ascii="Times New Roman" w:hAnsi="Times New Roman" w:cs="Times New Roman"/>
                <w:b w:val="0"/>
                <w:i w:val="0"/>
                <w:sz w:val="18"/>
              </w:rPr>
              <w:t>135</w:t>
            </w:r>
          </w:p>
        </w:tc>
      </w:tr>
      <w:tr>
        <w:tc>
          <w:tcPr>
            <w:tcW w:type="dxa" w:w="1881"/>
          </w:tcPr>
          <w:p>
            <w:r/>
            <w:r>
              <w:rPr>
                <w:rFonts w:ascii="Times New Roman" w:hAnsi="Times New Roman" w:cs="Times New Roman"/>
                <w:b w:val="0"/>
                <w:i w:val="0"/>
                <w:sz w:val="18"/>
              </w:rPr>
              <w:t>↓ −92</w:t>
            </w:r>
          </w:p>
        </w:tc>
        <w:tc>
          <w:tcPr>
            <w:tcW w:type="dxa" w:w="1881"/>
          </w:tcPr>
          <w:p>
            <w:r/>
            <w:r>
              <w:rPr>
                <w:rFonts w:ascii="Times New Roman" w:hAnsi="Times New Roman" w:cs="Times New Roman"/>
                <w:b w:val="0"/>
                <w:i w:val="0"/>
                <w:sz w:val="18"/>
              </w:rPr>
              <w:t>Cruz Piza, Iyo Alexis</w:t>
            </w:r>
          </w:p>
        </w:tc>
        <w:tc>
          <w:tcPr>
            <w:tcW w:type="dxa" w:w="1881"/>
          </w:tcPr>
          <w:p>
            <w:r/>
            <w:r>
              <w:rPr>
                <w:rFonts w:ascii="Times New Roman" w:hAnsi="Times New Roman" w:cs="Times New Roman"/>
                <w:b w:val="0"/>
                <w:i w:val="0"/>
                <w:sz w:val="18"/>
              </w:rPr>
              <w:t>6</w:t>
            </w:r>
          </w:p>
        </w:tc>
        <w:tc>
          <w:tcPr>
            <w:tcW w:type="dxa" w:w="1881"/>
          </w:tcPr>
          <w:p>
            <w:r/>
            <w:r>
              <w:rPr>
                <w:rFonts w:ascii="Times New Roman" w:hAnsi="Times New Roman" w:cs="Times New Roman"/>
                <w:b w:val="0"/>
                <w:i w:val="0"/>
                <w:sz w:val="18"/>
              </w:rPr>
              <w:t>20</w:t>
            </w:r>
          </w:p>
        </w:tc>
        <w:tc>
          <w:tcPr>
            <w:tcW w:type="dxa" w:w="1881"/>
          </w:tcPr>
          <w:p>
            <w:r/>
            <w:r>
              <w:rPr>
                <w:rFonts w:ascii="Times New Roman" w:hAnsi="Times New Roman" w:cs="Times New Roman"/>
                <w:b w:val="0"/>
                <w:i w:val="0"/>
                <w:sz w:val="18"/>
              </w:rPr>
              <w:t>112</w:t>
            </w:r>
          </w:p>
        </w:tc>
      </w:tr>
      <w:tr>
        <w:tc>
          <w:tcPr>
            <w:tcW w:type="dxa" w:w="1881"/>
          </w:tcPr>
          <w:p>
            <w:r/>
            <w:r>
              <w:rPr>
                <w:rFonts w:ascii="Times New Roman" w:hAnsi="Times New Roman" w:cs="Times New Roman"/>
                <w:b w:val="0"/>
                <w:i w:val="0"/>
                <w:sz w:val="18"/>
              </w:rPr>
              <w:t>↓ −90</w:t>
            </w:r>
          </w:p>
        </w:tc>
        <w:tc>
          <w:tcPr>
            <w:tcW w:type="dxa" w:w="1881"/>
          </w:tcPr>
          <w:p>
            <w:r/>
            <w:r>
              <w:rPr>
                <w:rFonts w:ascii="Times New Roman" w:hAnsi="Times New Roman" w:cs="Times New Roman"/>
                <w:b w:val="0"/>
                <w:i w:val="0"/>
                <w:sz w:val="18"/>
              </w:rPr>
              <w:t>Troya Terranova, Katherine Tatiana</w:t>
            </w:r>
          </w:p>
        </w:tc>
        <w:tc>
          <w:tcPr>
            <w:tcW w:type="dxa" w:w="1881"/>
          </w:tcPr>
          <w:p>
            <w:r/>
            <w:r>
              <w:rPr>
                <w:rFonts w:ascii="Times New Roman" w:hAnsi="Times New Roman" w:cs="Times New Roman"/>
                <w:b w:val="0"/>
                <w:i w:val="0"/>
                <w:sz w:val="18"/>
              </w:rPr>
              <w:t>5</w:t>
            </w:r>
          </w:p>
        </w:tc>
        <w:tc>
          <w:tcPr>
            <w:tcW w:type="dxa" w:w="1881"/>
          </w:tcPr>
          <w:p>
            <w:r/>
            <w:r>
              <w:rPr>
                <w:rFonts w:ascii="Times New Roman" w:hAnsi="Times New Roman" w:cs="Times New Roman"/>
                <w:b w:val="0"/>
                <w:i w:val="0"/>
                <w:sz w:val="18"/>
              </w:rPr>
              <w:t>35</w:t>
            </w:r>
          </w:p>
        </w:tc>
        <w:tc>
          <w:tcPr>
            <w:tcW w:type="dxa" w:w="1881"/>
          </w:tcPr>
          <w:p>
            <w:r/>
            <w:r>
              <w:rPr>
                <w:rFonts w:ascii="Times New Roman" w:hAnsi="Times New Roman" w:cs="Times New Roman"/>
                <w:b w:val="0"/>
                <w:i w:val="0"/>
                <w:sz w:val="18"/>
              </w:rPr>
              <w:t>128</w:t>
            </w:r>
          </w:p>
        </w:tc>
      </w:tr>
      <w:tr>
        <w:tc>
          <w:tcPr>
            <w:tcW w:type="dxa" w:w="1881"/>
          </w:tcPr>
          <w:p>
            <w:r/>
            <w:r>
              <w:rPr>
                <w:rFonts w:ascii="Times New Roman" w:hAnsi="Times New Roman" w:cs="Times New Roman"/>
                <w:b w:val="0"/>
                <w:i w:val="0"/>
                <w:sz w:val="18"/>
              </w:rPr>
              <w:t>↓ −90</w:t>
            </w:r>
          </w:p>
        </w:tc>
        <w:tc>
          <w:tcPr>
            <w:tcW w:type="dxa" w:w="1881"/>
          </w:tcPr>
          <w:p>
            <w:r/>
            <w:r>
              <w:rPr>
                <w:rFonts w:ascii="Times New Roman" w:hAnsi="Times New Roman" w:cs="Times New Roman"/>
                <w:b w:val="0"/>
                <w:i w:val="0"/>
                <w:sz w:val="18"/>
              </w:rPr>
              <w:t>Machado Maliza, Mesías Elías</w:t>
            </w:r>
          </w:p>
        </w:tc>
        <w:tc>
          <w:tcPr>
            <w:tcW w:type="dxa" w:w="1881"/>
          </w:tcPr>
          <w:p>
            <w:r/>
            <w:r>
              <w:rPr>
                <w:rFonts w:ascii="Times New Roman" w:hAnsi="Times New Roman" w:cs="Times New Roman"/>
                <w:b w:val="0"/>
                <w:i w:val="0"/>
                <w:sz w:val="18"/>
              </w:rPr>
              <w:t>4</w:t>
            </w:r>
          </w:p>
        </w:tc>
        <w:tc>
          <w:tcPr>
            <w:tcW w:type="dxa" w:w="1881"/>
          </w:tcPr>
          <w:p>
            <w:r/>
            <w:r>
              <w:rPr>
                <w:rFonts w:ascii="Times New Roman" w:hAnsi="Times New Roman" w:cs="Times New Roman"/>
                <w:b w:val="0"/>
                <w:i w:val="0"/>
                <w:sz w:val="18"/>
              </w:rPr>
              <w:t>52</w:t>
            </w:r>
          </w:p>
        </w:tc>
        <w:tc>
          <w:tcPr>
            <w:tcW w:type="dxa" w:w="1881"/>
          </w:tcPr>
          <w:p>
            <w:r/>
            <w:r>
              <w:rPr>
                <w:rFonts w:ascii="Times New Roman" w:hAnsi="Times New Roman" w:cs="Times New Roman"/>
                <w:b w:val="0"/>
                <w:i w:val="0"/>
                <w:sz w:val="18"/>
              </w:rPr>
              <w:t>142</w:t>
            </w:r>
          </w:p>
        </w:tc>
      </w:tr>
      <w:tr>
        <w:tc>
          <w:tcPr>
            <w:tcW w:type="dxa" w:w="1881"/>
          </w:tcPr>
          <w:p>
            <w:r/>
            <w:r>
              <w:rPr>
                <w:rFonts w:ascii="Times New Roman" w:hAnsi="Times New Roman" w:cs="Times New Roman"/>
                <w:b w:val="0"/>
                <w:i w:val="0"/>
                <w:sz w:val="18"/>
              </w:rPr>
              <w:t>↓ −84</w:t>
            </w:r>
          </w:p>
        </w:tc>
        <w:tc>
          <w:tcPr>
            <w:tcW w:type="dxa" w:w="1881"/>
          </w:tcPr>
          <w:p>
            <w:r/>
            <w:r>
              <w:rPr>
                <w:rFonts w:ascii="Times New Roman" w:hAnsi="Times New Roman" w:cs="Times New Roman"/>
                <w:b w:val="0"/>
                <w:i w:val="0"/>
                <w:sz w:val="18"/>
              </w:rPr>
              <w:t>Chamorro Valencia, Diego Xavier</w:t>
            </w:r>
          </w:p>
        </w:tc>
        <w:tc>
          <w:tcPr>
            <w:tcW w:type="dxa" w:w="1881"/>
          </w:tcPr>
          <w:p>
            <w:r/>
            <w:r>
              <w:rPr>
                <w:rFonts w:ascii="Times New Roman" w:hAnsi="Times New Roman" w:cs="Times New Roman"/>
                <w:b w:val="0"/>
                <w:i w:val="0"/>
                <w:sz w:val="18"/>
              </w:rPr>
              <w:t>5</w:t>
            </w:r>
          </w:p>
        </w:tc>
        <w:tc>
          <w:tcPr>
            <w:tcW w:type="dxa" w:w="1881"/>
          </w:tcPr>
          <w:p>
            <w:r/>
            <w:r>
              <w:rPr>
                <w:rFonts w:ascii="Times New Roman" w:hAnsi="Times New Roman" w:cs="Times New Roman"/>
                <w:b w:val="0"/>
                <w:i w:val="0"/>
                <w:sz w:val="18"/>
              </w:rPr>
              <w:t>35</w:t>
            </w:r>
          </w:p>
        </w:tc>
        <w:tc>
          <w:tcPr>
            <w:tcW w:type="dxa" w:w="1881"/>
          </w:tcPr>
          <w:p>
            <w:r/>
            <w:r>
              <w:rPr>
                <w:rFonts w:ascii="Times New Roman" w:hAnsi="Times New Roman" w:cs="Times New Roman"/>
                <w:b w:val="0"/>
                <w:i w:val="0"/>
                <w:sz w:val="18"/>
              </w:rPr>
              <w:t>119</w:t>
            </w:r>
          </w:p>
        </w:tc>
      </w:tr>
    </w:tbl>
    <w:p/>
    <w:p>
      <w:pPr>
        <w:spacing w:before="200" w:after="80"/>
      </w:pPr>
      <w:r>
        <w:rPr>
          <w:rFonts w:ascii="Arial" w:hAnsi="Arial" w:cs="Arial"/>
          <w:b/>
          <w:i w:val="0"/>
          <w:sz w:val="22"/>
        </w:rPr>
        <w:t>5.6.3 Why this is a genuinely neutrosophic finding</w:t>
      </w:r>
    </w:p>
    <w:p>
      <w:pPr>
        <w:spacing w:after="80"/>
        <w:ind w:firstLine="340"/>
        <w:jc w:val="both"/>
      </w:pPr>
      <w:r>
        <w:rPr>
          <w:rFonts w:ascii="Times New Roman" w:hAnsi="Times New Roman" w:cs="Times New Roman"/>
          <w:b w:val="0"/>
          <w:i w:val="0"/>
          <w:sz w:val="20"/>
        </w:rPr>
        <w:t xml:space="preserve">The re-ordering </w:t>
      </w:r>
      <w:r>
        <w:rPr>
          <w:rFonts w:ascii="Times New Roman" w:hAnsi="Times New Roman" w:cs="Times New Roman"/>
          <w:b/>
          <w:i w:val="0"/>
          <w:sz w:val="20"/>
        </w:rPr>
        <w:t>cannot be reproduced by alternative uncertainty formalisms</w:t>
      </w:r>
      <w:r>
        <w:rPr>
          <w:rFonts w:ascii="Times New Roman" w:hAnsi="Times New Roman" w:cs="Times New Roman"/>
          <w:b w:val="0"/>
          <w:i w:val="0"/>
          <w:sz w:val="20"/>
        </w:rPr>
        <w:t xml:space="preserve"> without introducing additional structure equivalent to the (T, I, F) triple:</w:t>
      </w:r>
    </w:p>
    <w:p>
      <w:pPr>
        <w:pStyle w:val="ListBullet"/>
        <w:spacing w:after="40"/>
      </w:pPr>
      <w:r>
        <w:rPr>
          <w:rFonts w:ascii="Times New Roman" w:hAnsi="Times New Roman" w:cs="Times New Roman"/>
          <w:b w:val="0"/>
          <w:i/>
          <w:sz w:val="20"/>
        </w:rPr>
        <w:t>Probabilistic aggregation</w:t>
      </w:r>
      <w:r>
        <w:rPr>
          <w:rFonts w:ascii="Times New Roman" w:hAnsi="Times New Roman" w:cs="Times New Roman"/>
          <w:b w:val="0"/>
          <w:i w:val="0"/>
          <w:sz w:val="20"/>
        </w:rPr>
        <w:t xml:space="preserve"> of the four dimensions requires a</w:t>
      </w:r>
    </w:p>
    <w:p>
      <w:pPr>
        <w:spacing w:after="80"/>
        <w:ind w:firstLine="340"/>
        <w:jc w:val="both"/>
      </w:pPr>
      <w:r>
        <w:rPr>
          <w:rFonts w:ascii="Times New Roman" w:hAnsi="Times New Roman" w:cs="Times New Roman"/>
          <w:b w:val="0"/>
          <w:i w:val="0"/>
          <w:sz w:val="20"/>
        </w:rPr>
        <w:t>likelihood model per dimension, which does not exist naturally for D2, D3, or D4.</w:t>
      </w:r>
    </w:p>
    <w:p>
      <w:pPr>
        <w:pStyle w:val="ListBullet"/>
        <w:spacing w:after="40"/>
      </w:pPr>
      <w:r>
        <w:rPr>
          <w:rFonts w:ascii="Times New Roman" w:hAnsi="Times New Roman" w:cs="Times New Roman"/>
          <w:b w:val="0"/>
          <w:i/>
          <w:sz w:val="20"/>
        </w:rPr>
        <w:t>Fuzzy aggregation</w:t>
      </w:r>
      <w:r>
        <w:rPr>
          <w:rFonts w:ascii="Times New Roman" w:hAnsi="Times New Roman" w:cs="Times New Roman"/>
          <w:b w:val="0"/>
          <w:i w:val="0"/>
          <w:sz w:val="20"/>
        </w:rPr>
        <w:t xml:space="preserve"> collapses I and F into a single non-membership,</w:t>
      </w:r>
    </w:p>
    <w:p>
      <w:pPr>
        <w:spacing w:after="80"/>
        <w:ind w:firstLine="340"/>
        <w:jc w:val="both"/>
      </w:pPr>
      <w:r>
        <w:rPr>
          <w:rFonts w:ascii="Times New Roman" w:hAnsi="Times New Roman" w:cs="Times New Roman"/>
          <w:b w:val="0"/>
          <w:i w:val="0"/>
          <w:sz w:val="20"/>
        </w:rPr>
        <w:t>losing the distinction between "no evidence" and "contradictory evidence". In D2 this distinction is empirically critical.</w:t>
      </w:r>
    </w:p>
    <w:p>
      <w:pPr>
        <w:pStyle w:val="ListBullet"/>
        <w:spacing w:after="40"/>
      </w:pPr>
      <w:r>
        <w:rPr>
          <w:rFonts w:ascii="Times New Roman" w:hAnsi="Times New Roman" w:cs="Times New Roman"/>
          <w:b w:val="0"/>
          <w:i/>
          <w:sz w:val="20"/>
        </w:rPr>
        <w:t>Intuitionistic fuzzy aggregation</w:t>
      </w:r>
      <w:r>
        <w:rPr>
          <w:rFonts w:ascii="Times New Roman" w:hAnsi="Times New Roman" w:cs="Times New Roman"/>
          <w:b w:val="0"/>
          <w:i w:val="0"/>
          <w:sz w:val="20"/>
        </w:rPr>
        <w:t xml:space="preserve"> preserves T and F but forces</w:t>
      </w:r>
    </w:p>
    <w:p>
      <w:pPr>
        <w:spacing w:after="80"/>
        <w:ind w:firstLine="340"/>
        <w:jc w:val="both"/>
      </w:pPr>
      <w:r>
        <w:rPr>
          <w:rFonts w:ascii="Times New Roman" w:hAnsi="Times New Roman" w:cs="Times New Roman"/>
          <w:b w:val="0"/>
          <w:i w:val="0"/>
          <w:sz w:val="20"/>
        </w:rPr>
        <w:t xml:space="preserve">T + F ≤ 1, which is violated whenever an author has strong positive evidence in Scholar </w:t>
      </w:r>
      <w:r>
        <w:rPr>
          <w:rFonts w:ascii="Times New Roman" w:hAnsi="Times New Roman" w:cs="Times New Roman"/>
          <w:b w:val="0"/>
          <w:i/>
          <w:sz w:val="20"/>
        </w:rPr>
        <w:t>and</w:t>
      </w:r>
      <w:r>
        <w:rPr>
          <w:rFonts w:ascii="Times New Roman" w:hAnsi="Times New Roman" w:cs="Times New Roman"/>
          <w:b w:val="0"/>
          <w:i w:val="0"/>
          <w:sz w:val="20"/>
        </w:rPr>
        <w:t xml:space="preserve"> strong negative evidence in OpenAlex — the high-discrepancy case that Section 5.1 identified as dominant in this corpus.</w:t>
      </w:r>
    </w:p>
    <w:p>
      <w:pPr>
        <w:spacing w:after="80"/>
        <w:ind w:firstLine="340"/>
        <w:jc w:val="both"/>
      </w:pPr>
      <w:r>
        <w:rPr>
          <w:rFonts w:ascii="Times New Roman" w:hAnsi="Times New Roman" w:cs="Times New Roman"/>
          <w:b w:val="0"/>
          <w:i w:val="0"/>
          <w:sz w:val="20"/>
        </w:rPr>
        <w:t>The SVNWA aggregate exploits precisely the independence of the three components — the feature that distinguishes neutrosophy from its predecessors — to produce a measurement that the predecessors cannot. This is the operative validation that the framework yields information unreachable by alternative techniques of comparable conceptual parsimony, not merely an alternative notation.</w:t>
      </w:r>
    </w:p>
    <w:p>
      <w:pPr>
        <w:jc w:val="center"/>
      </w:pPr>
      <w:r>
        <w:drawing>
          <wp:inline xmlns:a="http://schemas.openxmlformats.org/drawingml/2006/main" xmlns:pic="http://schemas.openxmlformats.org/drawingml/2006/picture">
            <wp:extent cx="5760720" cy="2968508"/>
            <wp:docPr id="11" name="Picture 11"/>
            <wp:cNvGraphicFramePr>
              <a:graphicFrameLocks noChangeAspect="1"/>
            </wp:cNvGraphicFramePr>
            <a:graphic>
              <a:graphicData uri="http://schemas.openxmlformats.org/drawingml/2006/picture">
                <pic:pic>
                  <pic:nvPicPr>
                    <pic:cNvPr id="0" name="ranking_comparison.png"/>
                    <pic:cNvPicPr/>
                  </pic:nvPicPr>
                  <pic:blipFill>
                    <a:blip r:embed="rId20"/>
                    <a:stretch>
                      <a:fillRect/>
                    </a:stretch>
                  </pic:blipFill>
                  <pic:spPr>
                    <a:xfrm>
                      <a:off x="0" y="0"/>
                      <a:ext cx="5760720" cy="2968508"/>
                    </a:xfrm>
                    <a:prstGeom prst="rect"/>
                  </pic:spPr>
                </pic:pic>
              </a:graphicData>
            </a:graphic>
          </wp:inline>
        </w:drawing>
      </w:r>
    </w:p>
    <w:p>
      <w:pPr>
        <w:spacing w:after="160"/>
        <w:ind w:left="567"/>
        <w:jc w:val="both"/>
      </w:pPr>
      <w:r>
        <w:rPr>
          <w:rFonts w:ascii="Times New Roman" w:hAnsi="Times New Roman" w:cs="Times New Roman"/>
          <w:b/>
          <w:i/>
          <w:sz w:val="18"/>
        </w:rPr>
        <w:t>Figure 8.</w:t>
      </w:r>
      <w:r>
        <w:rPr>
          <w:rFonts w:ascii="Times New Roman" w:hAnsi="Times New Roman" w:cs="Times New Roman"/>
          <w:b w:val="0"/>
          <w:i/>
          <w:sz w:val="18"/>
        </w:rPr>
        <w:t xml:space="preserve"> Rank divergence between the classical article-count ranking and the neutrosophic SVNWA ranking over 146 NCML authors with ≥ 3 publications. (A) Scatter of rank positions with identity line; points far from the line indicate large divergence. (B) Top-15 authors by each ranking, side by side, showing substantial re-ordering of the journal's visible leadership. (Source: </w:t>
      </w:r>
      <w:r>
        <w:rPr>
          <w:rFonts w:ascii="Consolas" w:hAnsi="Consolas" w:cs="Consolas"/>
          <w:b w:val="0"/>
          <w:i/>
          <w:sz w:val="16"/>
        </w:rPr>
        <w:t>ranking_comparison.png</w:t>
      </w:r>
      <w:r>
        <w:rPr>
          <w:rFonts w:ascii="Times New Roman" w:hAnsi="Times New Roman" w:cs="Times New Roman"/>
          <w:b w:val="0"/>
          <w:i/>
          <w:sz w:val="18"/>
        </w:rPr>
        <w:t>.)</w:t>
      </w:r>
    </w:p>
    <w:p>
      <w:pPr>
        <w:spacing w:before="200" w:after="80"/>
      </w:pPr>
      <w:r>
        <w:rPr>
          <w:rFonts w:ascii="Arial" w:hAnsi="Arial" w:cs="Arial"/>
          <w:b/>
          <w:i w:val="0"/>
          <w:sz w:val="22"/>
        </w:rPr>
        <w:t>5.7 Composite view</w:t>
      </w:r>
    </w:p>
    <w:p>
      <w:pPr>
        <w:spacing w:after="80"/>
        <w:ind w:firstLine="340"/>
        <w:jc w:val="both"/>
      </w:pPr>
      <w:r>
        <w:rPr>
          <w:rFonts w:ascii="Times New Roman" w:hAnsi="Times New Roman" w:cs="Times New Roman"/>
          <w:b w:val="0"/>
          <w:i w:val="0"/>
          <w:sz w:val="20"/>
        </w:rPr>
        <w:t>Figure 9 summarises the four per-indicator neutrosophic decompositions in a single composite figure for comparison with the classical results of Section 4.</w:t>
      </w:r>
    </w:p>
    <w:p>
      <w:pPr>
        <w:jc w:val="center"/>
      </w:pPr>
      <w:r>
        <w:drawing>
          <wp:inline xmlns:a="http://schemas.openxmlformats.org/drawingml/2006/main" xmlns:pic="http://schemas.openxmlformats.org/drawingml/2006/picture">
            <wp:extent cx="5760720" cy="4155911"/>
            <wp:docPr id="12" name="Picture 12"/>
            <wp:cNvGraphicFramePr>
              <a:graphicFrameLocks noChangeAspect="1"/>
            </wp:cNvGraphicFramePr>
            <a:graphic>
              <a:graphicData uri="http://schemas.openxmlformats.org/drawingml/2006/picture">
                <pic:pic>
                  <pic:nvPicPr>
                    <pic:cNvPr id="0" name="neutrosophic_indicators.png"/>
                    <pic:cNvPicPr/>
                  </pic:nvPicPr>
                  <pic:blipFill>
                    <a:blip r:embed="rId21"/>
                    <a:stretch>
                      <a:fillRect/>
                    </a:stretch>
                  </pic:blipFill>
                  <pic:spPr>
                    <a:xfrm>
                      <a:off x="0" y="0"/>
                      <a:ext cx="5760720" cy="4155911"/>
                    </a:xfrm>
                    <a:prstGeom prst="rect"/>
                  </pic:spPr>
                </pic:pic>
              </a:graphicData>
            </a:graphic>
          </wp:inline>
        </w:drawing>
      </w:r>
    </w:p>
    <w:p>
      <w:pPr>
        <w:spacing w:after="160"/>
        <w:ind w:left="567"/>
        <w:jc w:val="both"/>
      </w:pPr>
      <w:r>
        <w:rPr>
          <w:rFonts w:ascii="Times New Roman" w:hAnsi="Times New Roman" w:cs="Times New Roman"/>
          <w:b/>
          <w:i/>
          <w:sz w:val="18"/>
        </w:rPr>
        <w:t>Figure 9.</w:t>
      </w:r>
      <w:r>
        <w:rPr>
          <w:rFonts w:ascii="Times New Roman" w:hAnsi="Times New Roman" w:cs="Times New Roman"/>
          <w:b w:val="0"/>
          <w:i/>
          <w:sz w:val="18"/>
        </w:rPr>
        <w:t xml:space="preserve"> Composite view of neutrosophic bibliometric indicators on NCML. (A) N-</w:t>
      </w:r>
      <w:r>
        <w:rPr>
          <w:rFonts w:ascii="Times New Roman" w:hAnsi="Times New Roman" w:cs="Times New Roman"/>
          <w:b w:val="0"/>
          <w:i/>
          <w:sz w:val="18"/>
        </w:rPr>
        <w:t>h</w:t>
      </w:r>
      <w:r>
        <w:rPr>
          <w:rFonts w:ascii="Times New Roman" w:hAnsi="Times New Roman" w:cs="Times New Roman"/>
          <w:b w:val="0"/>
          <w:i/>
          <w:sz w:val="18"/>
        </w:rPr>
        <w:t xml:space="preserve">-index decomposition on the Scholar sample (T = 0.04, I = 0.50, F = 0.46). (B) Bootstrap distribution of α with Lotka-classical reference and 95% CI band. (C) Neutrosophic nucleus membership for top-10 cited journals (T, I, F side by side). (D) Distribution of per-document topic membership T. (Source: </w:t>
      </w:r>
      <w:r>
        <w:rPr>
          <w:rFonts w:ascii="Consolas" w:hAnsi="Consolas" w:cs="Consolas"/>
          <w:b w:val="0"/>
          <w:i/>
          <w:sz w:val="16"/>
        </w:rPr>
        <w:t>neutrosophic_indicators.png</w:t>
      </w:r>
      <w:r>
        <w:rPr>
          <w:rFonts w:ascii="Times New Roman" w:hAnsi="Times New Roman" w:cs="Times New Roman"/>
          <w:b w:val="0"/>
          <w:i/>
          <w:sz w:val="18"/>
        </w:rPr>
        <w:t>.)</w:t>
      </w:r>
    </w:p>
    <w:p>
      <w:pPr>
        <w:spacing w:before="280" w:after="120"/>
      </w:pPr>
      <w:r>
        <w:rPr>
          <w:rFonts w:ascii="Arial" w:hAnsi="Arial" w:cs="Arial"/>
          <w:b/>
          <w:i w:val="0"/>
          <w:sz w:val="24"/>
        </w:rPr>
        <w:t>6. Discussion</w:t>
      </w:r>
    </w:p>
    <w:p>
      <w:pPr>
        <w:spacing w:before="200" w:after="80"/>
      </w:pPr>
      <w:r>
        <w:rPr>
          <w:rFonts w:ascii="Arial" w:hAnsi="Arial" w:cs="Arial"/>
          <w:b/>
          <w:i w:val="0"/>
          <w:sz w:val="22"/>
        </w:rPr>
        <w:t>6.1 What the combined analysis reveals</w:t>
      </w:r>
    </w:p>
    <w:p>
      <w:pPr>
        <w:spacing w:after="80"/>
        <w:ind w:firstLine="340"/>
        <w:jc w:val="both"/>
      </w:pPr>
      <w:r>
        <w:rPr>
          <w:rFonts w:ascii="Times New Roman" w:hAnsi="Times New Roman" w:cs="Times New Roman"/>
          <w:b w:val="0"/>
          <w:i w:val="0"/>
          <w:sz w:val="20"/>
        </w:rPr>
        <w:t>The classical retrospective (Section 4) and the neutrosophic analysis (Section 5) complement each other in a non-trivial way. The classical indicators produce the familiar headline numbers that the editorial community is trained to read: CAGR 42%, α = 2.03, nucleus of 5 journals, modularity 0.96, h = 1 vs h5 = 10. The neutrosophic indicators re-express each of these as a (T, I, F) triple that makes explicit the uncertainty the classical numbers conceal. Neither analysis is complete without the other: a purely classical report overstates the journal's measurable impact by collapsing source disagreement into a single number, while a purely neutrosophic report dilutes actionable headline numbers into triples that are harder to communicate outside the specialist audience.</w:t>
      </w:r>
    </w:p>
    <w:p>
      <w:pPr>
        <w:spacing w:after="80"/>
        <w:ind w:firstLine="340"/>
        <w:jc w:val="both"/>
      </w:pPr>
      <w:r>
        <w:rPr>
          <w:rFonts w:ascii="Times New Roman" w:hAnsi="Times New Roman" w:cs="Times New Roman"/>
          <w:b w:val="0"/>
          <w:i w:val="0"/>
          <w:sz w:val="20"/>
        </w:rPr>
        <w:t xml:space="preserve">The </w:t>
      </w:r>
      <w:r>
        <w:rPr>
          <w:rFonts w:ascii="Times New Roman" w:hAnsi="Times New Roman" w:cs="Times New Roman"/>
          <w:b w:val="0"/>
          <w:i/>
          <w:sz w:val="20"/>
        </w:rPr>
        <w:t>operative</w:t>
      </w:r>
      <w:r>
        <w:rPr>
          <w:rFonts w:ascii="Times New Roman" w:hAnsi="Times New Roman" w:cs="Times New Roman"/>
          <w:b w:val="0"/>
          <w:i w:val="0"/>
          <w:sz w:val="20"/>
        </w:rPr>
        <w:t xml:space="preserve"> validation of the neutrosophic framework — the SVNWA aggregated author ranking of Section 5.6 — shows that the (T, I, F) structure can produce conclusions that the alternatives cannot. With a Kendall τ of 0.20 and half of the classical top-10 dropping out of the neutrosophic top-10, the two rankings are only weakly correlated, and the qualitative differences between them track interpretable editorial dimensions (theoretical focus, cross-source citation evidence, co-authorship centrality). Because the SVNWA operator exploits the independence of T, I and F — the feature that neither fuzzy nor intuitionistic-fuzzy aggregation preserves — the re-ordering constitutes evidence that the neutrosophic formalism yields information inaccessible to alternative techniques of equal conceptual parsimony.</w:t>
      </w:r>
    </w:p>
    <w:p>
      <w:pPr>
        <w:spacing w:before="200" w:after="80"/>
      </w:pPr>
      <w:r>
        <w:rPr>
          <w:rFonts w:ascii="Arial" w:hAnsi="Arial" w:cs="Arial"/>
          <w:b/>
          <w:i w:val="0"/>
          <w:sz w:val="22"/>
        </w:rPr>
        <w:t>6.2 Engagement with Woodall et al. (2025)</w:t>
      </w:r>
    </w:p>
    <w:p>
      <w:pPr>
        <w:spacing w:after="80"/>
        <w:ind w:firstLine="340"/>
        <w:jc w:val="both"/>
      </w:pPr>
      <w:r>
        <w:rPr>
          <w:rFonts w:ascii="Times New Roman" w:hAnsi="Times New Roman" w:cs="Times New Roman"/>
          <w:b w:val="0"/>
          <w:i w:val="0"/>
          <w:sz w:val="20"/>
        </w:rPr>
        <w:t>Woodall, Faltin, and Reynolds [18] raised three points about the applied use of neutrosophic methods: (i) the choice of three components is rarely justified by data structure; (ii) comparisons with fuzzy or Bayesian alternatives are absent or superficial; (iii) the citation ecosystem is closed and self-referential. The present combined paper addresses each point head-on.</w:t>
      </w:r>
    </w:p>
    <w:p>
      <w:pPr>
        <w:spacing w:after="80"/>
        <w:ind w:firstLine="340"/>
        <w:jc w:val="both"/>
      </w:pPr>
      <w:r>
        <w:rPr>
          <w:rFonts w:ascii="Times New Roman" w:hAnsi="Times New Roman" w:cs="Times New Roman"/>
          <w:b w:val="0"/>
          <w:i w:val="0"/>
          <w:sz w:val="20"/>
        </w:rPr>
        <w:t xml:space="preserve">On point (i): the framework derives the indeterminacy component </w:t>
      </w:r>
      <w:r>
        <w:rPr>
          <w:rFonts w:ascii="Times New Roman" w:hAnsi="Times New Roman" w:cs="Times New Roman"/>
          <w:b w:val="0"/>
          <w:i/>
          <w:sz w:val="20"/>
        </w:rPr>
        <w:t>from the data</w:t>
      </w:r>
      <w:r>
        <w:rPr>
          <w:rFonts w:ascii="Times New Roman" w:hAnsi="Times New Roman" w:cs="Times New Roman"/>
          <w:b w:val="0"/>
          <w:i w:val="0"/>
          <w:sz w:val="20"/>
        </w:rPr>
        <w:t>, not from expert elicitation. Equation (2) (neutrosophic Lotka) is a bootstrap computation; Equation (3) (neutrosophic Bradford) is a continuous relaxation of a hard threshold; Equations (6)-(7) (neutrosophic topic membership) are distance-based; Equations (9)-(10) (neutrosophic co-authorship) are count-based. None of them require a linguistic scale. The choice of three components is warranted because the data exhibit the asymmetric T/F/I structure (multiple sources with partial coverage) that neutrosophy naturally captures.</w:t>
      </w:r>
    </w:p>
    <w:p>
      <w:pPr>
        <w:spacing w:after="80"/>
        <w:ind w:firstLine="340"/>
        <w:jc w:val="both"/>
      </w:pPr>
      <w:r>
        <w:rPr>
          <w:rFonts w:ascii="Times New Roman" w:hAnsi="Times New Roman" w:cs="Times New Roman"/>
          <w:b w:val="0"/>
          <w:i w:val="0"/>
          <w:sz w:val="20"/>
        </w:rPr>
        <w:t>On point (ii): for each of the five extensions we explicitly identified the classical counterpart, demonstrated that the classical indicator is recovered by collapsing I, and discussed in Section 5.6.3 why fuzzy and intuitionistic-fuzzy alternatives fail to preserve the SVNWA ranking. A formal Bayesian dual of the framework is left for future work (Section 7), but the bootstrap Lotka profile of Equation (2) already admits a direct Bayesian re-interpretation as a posterior distribution over a model space.</w:t>
      </w:r>
    </w:p>
    <w:p>
      <w:pPr>
        <w:spacing w:after="80"/>
        <w:ind w:firstLine="340"/>
        <w:jc w:val="both"/>
      </w:pPr>
      <w:r>
        <w:rPr>
          <w:rFonts w:ascii="Times New Roman" w:hAnsi="Times New Roman" w:cs="Times New Roman"/>
          <w:b w:val="0"/>
          <w:i w:val="0"/>
          <w:sz w:val="20"/>
        </w:rPr>
        <w:t>On point (iii): the classical retrospective of Section 4.4 documents empirically that 17.2% of NCML's journal citations go to NSS and NCML themselves, that 94.9% of authorships are Iberoamerican, and that the topic model identifies no fewer than four distinct legal-medical applied clusters whose methodological apparatus is essentially AHP-TOPSIS neutrosofico. These are confirmations, not refutations, of the Woodall concerns. The editorial roadmap of Section 7 proposes concrete mitigations.</w:t>
      </w:r>
    </w:p>
    <w:p>
      <w:pPr>
        <w:spacing w:before="200" w:after="80"/>
      </w:pPr>
      <w:r>
        <w:rPr>
          <w:rFonts w:ascii="Arial" w:hAnsi="Arial" w:cs="Arial"/>
          <w:b/>
          <w:i w:val="0"/>
          <w:sz w:val="22"/>
        </w:rPr>
        <w:t>6.3 Editorial implications for NCML</w:t>
      </w:r>
    </w:p>
    <w:p>
      <w:pPr>
        <w:spacing w:after="80"/>
        <w:ind w:firstLine="340"/>
        <w:jc w:val="both"/>
      </w:pPr>
      <w:r>
        <w:rPr>
          <w:rFonts w:ascii="Times New Roman" w:hAnsi="Times New Roman" w:cs="Times New Roman"/>
          <w:b w:val="0"/>
          <w:i w:val="0"/>
          <w:sz w:val="20"/>
        </w:rPr>
        <w:t>The combined analysis leads to four editorial implications that reshape how NCML should communicate its own impact and structure its own growth.</w:t>
      </w:r>
    </w:p>
    <w:p>
      <w:pPr>
        <w:spacing w:after="80"/>
        <w:ind w:firstLine="340"/>
        <w:jc w:val="both"/>
      </w:pPr>
      <w:r>
        <w:rPr>
          <w:rFonts w:ascii="Times New Roman" w:hAnsi="Times New Roman" w:cs="Times New Roman"/>
          <w:b w:val="0"/>
          <w:i w:val="0"/>
          <w:sz w:val="20"/>
        </w:rPr>
        <w:t xml:space="preserve">1. </w:t>
      </w:r>
      <w:r>
        <w:rPr>
          <w:rFonts w:ascii="Times New Roman" w:hAnsi="Times New Roman" w:cs="Times New Roman"/>
          <w:b/>
          <w:i w:val="0"/>
          <w:sz w:val="20"/>
        </w:rPr>
        <w:t>Report bounded h-indices.</w:t>
      </w:r>
      <w:r>
        <w:rPr>
          <w:rFonts w:ascii="Times New Roman" w:hAnsi="Times New Roman" w:cs="Times New Roman"/>
          <w:b w:val="0"/>
          <w:i w:val="0"/>
          <w:sz w:val="20"/>
        </w:rPr>
        <w:t xml:space="preserve"> The journal's h5-index = 10 in Google Scholar Metrics and h = 1 in OpenAlex should be reported jointly, with the evidence-membership triple (T = 0.04, I = 0.50, F = 0.46) made explicit. Single-number reporting (either bound alone) is informationally incomplete.</w:t>
      </w:r>
    </w:p>
    <w:p>
      <w:pPr>
        <w:spacing w:after="80"/>
        <w:ind w:firstLine="340"/>
        <w:jc w:val="both"/>
      </w:pPr>
      <w:r>
        <w:rPr>
          <w:rFonts w:ascii="Times New Roman" w:hAnsi="Times New Roman" w:cs="Times New Roman"/>
          <w:b w:val="0"/>
          <w:i w:val="0"/>
          <w:sz w:val="20"/>
        </w:rPr>
        <w:t xml:space="preserve">2. </w:t>
      </w:r>
      <w:r>
        <w:rPr>
          <w:rFonts w:ascii="Times New Roman" w:hAnsi="Times New Roman" w:cs="Times New Roman"/>
          <w:b/>
          <w:i w:val="0"/>
          <w:sz w:val="20"/>
        </w:rPr>
        <w:t>Acknowledge productivity-distribution shape divergence.</w:t>
      </w:r>
      <w:r>
        <w:rPr>
          <w:rFonts w:ascii="Times New Roman" w:hAnsi="Times New Roman" w:cs="Times New Roman"/>
          <w:b w:val="0"/>
          <w:i w:val="0"/>
          <w:sz w:val="20"/>
        </w:rPr>
        <w:t xml:space="preserve"> The neutrosophic Lotka profile (T = 0, I = 1, F = 0) confirms the classical exponent and confirms the K-S failure. The journal should communicate that it follows Lotka in </w:t>
      </w:r>
      <w:r>
        <w:rPr>
          <w:rFonts w:ascii="Times New Roman" w:hAnsi="Times New Roman" w:cs="Times New Roman"/>
          <w:b w:val="0"/>
          <w:i/>
          <w:sz w:val="20"/>
        </w:rPr>
        <w:t>parameters</w:t>
      </w:r>
      <w:r>
        <w:rPr>
          <w:rFonts w:ascii="Times New Roman" w:hAnsi="Times New Roman" w:cs="Times New Roman"/>
          <w:b w:val="0"/>
          <w:i w:val="0"/>
          <w:sz w:val="20"/>
        </w:rPr>
        <w:t xml:space="preserve"> but not in </w:t>
      </w:r>
      <w:r>
        <w:rPr>
          <w:rFonts w:ascii="Times New Roman" w:hAnsi="Times New Roman" w:cs="Times New Roman"/>
          <w:b w:val="0"/>
          <w:i/>
          <w:sz w:val="20"/>
        </w:rPr>
        <w:t>shape</w:t>
      </w:r>
      <w:r>
        <w:rPr>
          <w:rFonts w:ascii="Times New Roman" w:hAnsi="Times New Roman" w:cs="Times New Roman"/>
          <w:b w:val="0"/>
          <w:i w:val="0"/>
          <w:sz w:val="20"/>
        </w:rPr>
        <w:t>, reflecting its training-venue function.</w:t>
      </w:r>
    </w:p>
    <w:p>
      <w:pPr>
        <w:spacing w:after="80"/>
        <w:ind w:firstLine="340"/>
        <w:jc w:val="both"/>
      </w:pPr>
      <w:r>
        <w:rPr>
          <w:rFonts w:ascii="Times New Roman" w:hAnsi="Times New Roman" w:cs="Times New Roman"/>
          <w:b w:val="0"/>
          <w:i w:val="0"/>
          <w:sz w:val="20"/>
        </w:rPr>
        <w:t xml:space="preserve">3. </w:t>
      </w:r>
      <w:r>
        <w:rPr>
          <w:rFonts w:ascii="Times New Roman" w:hAnsi="Times New Roman" w:cs="Times New Roman"/>
          <w:b/>
          <w:i w:val="0"/>
          <w:sz w:val="20"/>
        </w:rPr>
        <w:t>Distinguish strong, boundary, and peripheral citation sources.</w:t>
      </w:r>
      <w:r>
        <w:rPr>
          <w:rFonts w:ascii="Times New Roman" w:hAnsi="Times New Roman" w:cs="Times New Roman"/>
          <w:b w:val="0"/>
          <w:i w:val="0"/>
          <w:sz w:val="20"/>
        </w:rPr>
        <w:t xml:space="preserve"> Graded Bradford nucleus membership recommends an auto-citation policy for T &gt; 0.7 sources (NSS, NCML itself), diversification for T = 0.5-0.7 (the three Cuban journals), and outreach for T &lt; 0.4 (international fuzzy / soft computing venues).</w:t>
      </w:r>
    </w:p>
    <w:p>
      <w:pPr>
        <w:spacing w:after="80"/>
        <w:ind w:firstLine="340"/>
        <w:jc w:val="both"/>
      </w:pPr>
      <w:r>
        <w:rPr>
          <w:rFonts w:ascii="Times New Roman" w:hAnsi="Times New Roman" w:cs="Times New Roman"/>
          <w:b w:val="0"/>
          <w:i w:val="0"/>
          <w:sz w:val="20"/>
        </w:rPr>
        <w:t xml:space="preserve">4. </w:t>
      </w:r>
      <w:r>
        <w:rPr>
          <w:rFonts w:ascii="Times New Roman" w:hAnsi="Times New Roman" w:cs="Times New Roman"/>
          <w:b/>
          <w:i w:val="0"/>
          <w:sz w:val="20"/>
        </w:rPr>
        <w:t>Rank authors by neutrosophic aggregate.</w:t>
      </w:r>
      <w:r>
        <w:rPr>
          <w:rFonts w:ascii="Times New Roman" w:hAnsi="Times New Roman" w:cs="Times New Roman"/>
          <w:b w:val="0"/>
          <w:i w:val="0"/>
          <w:sz w:val="20"/>
        </w:rPr>
        <w:t xml:space="preserve"> The SVNWA ranking of Section 5.6 identifies the authors whose contribution to NCML is not captured by raw article count. Editorial recognition (guest editorships, invited reviews, thematic issues) should follow the aggregate, not the count. Conversely, prolific authors whose neutrosophic score drops sharply have contributed volume without external citation evidence or theoretical focus, and editorial decisions about these authors should reflect that.</w:t>
      </w:r>
    </w:p>
    <w:p>
      <w:pPr>
        <w:spacing w:before="200" w:after="80"/>
      </w:pPr>
      <w:r>
        <w:rPr>
          <w:rFonts w:ascii="Arial" w:hAnsi="Arial" w:cs="Arial"/>
          <w:b/>
          <w:i w:val="0"/>
          <w:sz w:val="22"/>
        </w:rPr>
        <w:t>6.4 Limitations</w:t>
      </w:r>
    </w:p>
    <w:p>
      <w:pPr>
        <w:spacing w:after="80"/>
        <w:ind w:firstLine="340"/>
        <w:jc w:val="both"/>
      </w:pPr>
      <w:r>
        <w:rPr>
          <w:rFonts w:ascii="Times New Roman" w:hAnsi="Times New Roman" w:cs="Times New Roman"/>
          <w:b w:val="0"/>
          <w:i w:val="0"/>
          <w:sz w:val="20"/>
        </w:rPr>
        <w:t>Five limitations qualify the conclusions.</w:t>
      </w:r>
    </w:p>
    <w:p>
      <w:pPr>
        <w:pStyle w:val="ListBullet"/>
        <w:spacing w:after="40"/>
      </w:pPr>
      <w:r>
        <w:rPr>
          <w:rFonts w:ascii="Times New Roman" w:hAnsi="Times New Roman" w:cs="Times New Roman"/>
          <w:b/>
          <w:i w:val="0"/>
          <w:sz w:val="20"/>
        </w:rPr>
        <w:t>Sampled Scholar citations.</w:t>
      </w:r>
      <w:r>
        <w:rPr>
          <w:rFonts w:ascii="Times New Roman" w:hAnsi="Times New Roman" w:cs="Times New Roman"/>
          <w:b w:val="0"/>
          <w:i w:val="0"/>
          <w:sz w:val="20"/>
        </w:rPr>
        <w:t xml:space="preserve"> The neutrosophic </w:t>
      </w:r>
      <w:r>
        <w:rPr>
          <w:rFonts w:ascii="Times New Roman" w:hAnsi="Times New Roman" w:cs="Times New Roman"/>
          <w:b w:val="0"/>
          <w:i/>
          <w:sz w:val="20"/>
        </w:rPr>
        <w:t>h</w:t>
      </w:r>
      <w:r>
        <w:rPr>
          <w:rFonts w:ascii="Times New Roman" w:hAnsi="Times New Roman" w:cs="Times New Roman"/>
          <w:b w:val="0"/>
          <w:i w:val="0"/>
          <w:sz w:val="20"/>
        </w:rPr>
        <w:t>-index is</w:t>
      </w:r>
    </w:p>
    <w:p>
      <w:pPr>
        <w:spacing w:after="80"/>
        <w:ind w:firstLine="340"/>
        <w:jc w:val="both"/>
      </w:pPr>
      <w:r>
        <w:rPr>
          <w:rFonts w:ascii="Times New Roman" w:hAnsi="Times New Roman" w:cs="Times New Roman"/>
          <w:b w:val="0"/>
          <w:i w:val="0"/>
          <w:sz w:val="20"/>
        </w:rPr>
        <w:t>computed on a stratified sample of n = 26 articles for which Scholar counts are manually verified. Generalising the (T, I, F) proportions to the full population requires either an exhaustive Scholar scrape (impractical without paid tools) or a larger stratified sample. Bootstrap intervals on the (T, I, F) proportions themselves would be a useful refinement.</w:t>
      </w:r>
    </w:p>
    <w:p>
      <w:pPr>
        <w:pStyle w:val="ListBullet"/>
        <w:spacing w:after="40"/>
      </w:pPr>
      <w:r>
        <w:rPr>
          <w:rFonts w:ascii="Times New Roman" w:hAnsi="Times New Roman" w:cs="Times New Roman"/>
          <w:b/>
          <w:i w:val="0"/>
          <w:sz w:val="20"/>
        </w:rPr>
        <w:t>Heuristic reference extraction.</w:t>
      </w:r>
      <w:r>
        <w:rPr>
          <w:rFonts w:ascii="Times New Roman" w:hAnsi="Times New Roman" w:cs="Times New Roman"/>
          <w:b w:val="0"/>
          <w:i w:val="0"/>
          <w:sz w:val="20"/>
        </w:rPr>
        <w:t xml:space="preserve"> The Bradford analysis of</w:t>
      </w:r>
    </w:p>
    <w:p>
      <w:pPr>
        <w:spacing w:after="80"/>
        <w:ind w:firstLine="340"/>
        <w:jc w:val="both"/>
      </w:pPr>
      <w:r>
        <w:rPr>
          <w:rFonts w:ascii="Times New Roman" w:hAnsi="Times New Roman" w:cs="Times New Roman"/>
          <w:b w:val="0"/>
          <w:i w:val="0"/>
          <w:sz w:val="20"/>
        </w:rPr>
        <w:t>Section 4.4 uses regex-based parsing of reference blocks, which misses 46% of references (mostly books, theses, URLs, and irregularly-formatted Iberoamerican journals). GROBID-quality parsing would sharpen the Bradford nucleus at the tail; the top-10 rankings are robust.</w:t>
      </w:r>
    </w:p>
    <w:p>
      <w:pPr>
        <w:pStyle w:val="ListBullet"/>
        <w:spacing w:after="40"/>
      </w:pPr>
      <w:r>
        <w:rPr>
          <w:rFonts w:ascii="Times New Roman" w:hAnsi="Times New Roman" w:cs="Times New Roman"/>
          <w:b/>
          <w:i w:val="0"/>
          <w:sz w:val="20"/>
        </w:rPr>
        <w:t>Two-dimensional topic distances.</w:t>
      </w:r>
      <w:r>
        <w:rPr>
          <w:rFonts w:ascii="Times New Roman" w:hAnsi="Times New Roman" w:cs="Times New Roman"/>
          <w:b w:val="0"/>
          <w:i w:val="0"/>
          <w:sz w:val="20"/>
        </w:rPr>
        <w:t xml:space="preserve"> The neutrosophic topic</w:t>
      </w:r>
    </w:p>
    <w:p>
      <w:pPr>
        <w:spacing w:after="80"/>
        <w:ind w:firstLine="340"/>
        <w:jc w:val="both"/>
      </w:pPr>
      <w:r>
        <w:rPr>
          <w:rFonts w:ascii="Times New Roman" w:hAnsi="Times New Roman" w:cs="Times New Roman"/>
          <w:b w:val="0"/>
          <w:i w:val="0"/>
          <w:sz w:val="20"/>
        </w:rPr>
        <w:t>membership uses 2D UMAP coordinates as a proxy for the 5D clustering space. This compresses distances slightly and may inflate the indeterminacy estimate.</w:t>
      </w:r>
    </w:p>
    <w:p>
      <w:pPr>
        <w:pStyle w:val="ListBullet"/>
        <w:spacing w:after="40"/>
      </w:pPr>
      <w:r>
        <w:rPr>
          <w:rFonts w:ascii="Times New Roman" w:hAnsi="Times New Roman" w:cs="Times New Roman"/>
          <w:b/>
          <w:i w:val="0"/>
          <w:sz w:val="20"/>
        </w:rPr>
        <w:t>Single-journal scope.</w:t>
      </w:r>
      <w:r>
        <w:rPr>
          <w:rFonts w:ascii="Times New Roman" w:hAnsi="Times New Roman" w:cs="Times New Roman"/>
          <w:b w:val="0"/>
          <w:i w:val="0"/>
          <w:sz w:val="20"/>
        </w:rPr>
        <w:t xml:space="preserve"> The retrospective is confined to NCML;</w:t>
      </w:r>
    </w:p>
    <w:p>
      <w:pPr>
        <w:spacing w:after="80"/>
        <w:ind w:firstLine="340"/>
        <w:jc w:val="both"/>
      </w:pPr>
      <w:r>
        <w:rPr>
          <w:rFonts w:ascii="Times New Roman" w:hAnsi="Times New Roman" w:cs="Times New Roman"/>
          <w:b w:val="0"/>
          <w:i w:val="0"/>
          <w:sz w:val="20"/>
        </w:rPr>
        <w:t>comparison with NSS and IJNS applying the same pipeline is a direct and valuable extension.</w:t>
      </w:r>
    </w:p>
    <w:p>
      <w:pPr>
        <w:pStyle w:val="ListBullet"/>
        <w:spacing w:after="40"/>
      </w:pPr>
      <w:r>
        <w:rPr>
          <w:rFonts w:ascii="Times New Roman" w:hAnsi="Times New Roman" w:cs="Times New Roman"/>
          <w:b/>
          <w:i w:val="0"/>
          <w:sz w:val="20"/>
        </w:rPr>
        <w:t>Editorial conflict of interest.</w:t>
      </w:r>
      <w:r>
        <w:rPr>
          <w:rFonts w:ascii="Times New Roman" w:hAnsi="Times New Roman" w:cs="Times New Roman"/>
          <w:b w:val="0"/>
          <w:i w:val="0"/>
          <w:sz w:val="20"/>
        </w:rPr>
        <w:t xml:space="preserve"> Two of the three authors are</w:t>
      </w:r>
    </w:p>
    <w:p>
      <w:pPr>
        <w:spacing w:after="80"/>
        <w:ind w:firstLine="340"/>
        <w:jc w:val="both"/>
      </w:pPr>
      <w:r>
        <w:rPr>
          <w:rFonts w:ascii="Times New Roman" w:hAnsi="Times New Roman" w:cs="Times New Roman"/>
          <w:b w:val="0"/>
          <w:i w:val="0"/>
          <w:sz w:val="20"/>
        </w:rPr>
        <w:t>Editors-in-Chief of NCML and NSS. The third author, from ALCN, is not editorial but is institutionally linked to the neutrosophic community. Mitigation has been attempted through explicit disclosure and a request for fully external peer review (see cover letter accompanying this manuscript). Readers should form their own judgement about residual bias.</w:t>
      </w:r>
    </w:p>
    <w:p>
      <w:pPr>
        <w:spacing w:before="200" w:after="80"/>
      </w:pPr>
      <w:r>
        <w:rPr>
          <w:rFonts w:ascii="Arial" w:hAnsi="Arial" w:cs="Arial"/>
          <w:b/>
          <w:i w:val="0"/>
          <w:sz w:val="22"/>
        </w:rPr>
        <w:t>6.5 Comparison with alternative formalisms</w:t>
      </w:r>
    </w:p>
    <w:p>
      <w:pPr>
        <w:spacing w:after="80"/>
        <w:ind w:firstLine="340"/>
        <w:jc w:val="both"/>
      </w:pPr>
      <w:r>
        <w:rPr>
          <w:rFonts w:ascii="Times New Roman" w:hAnsi="Times New Roman" w:cs="Times New Roman"/>
          <w:b w:val="0"/>
          <w:i w:val="0"/>
          <w:sz w:val="20"/>
        </w:rPr>
        <w:t>The choice of SVN over alternative uncertainty formalisms merits brief discussion.</w:t>
      </w:r>
    </w:p>
    <w:p>
      <w:pPr>
        <w:spacing w:after="80"/>
        <w:ind w:firstLine="340"/>
        <w:jc w:val="both"/>
      </w:pPr>
      <w:r>
        <w:rPr>
          <w:rFonts w:ascii="Times New Roman" w:hAnsi="Times New Roman" w:cs="Times New Roman"/>
          <w:b w:val="0"/>
          <w:i/>
          <w:sz w:val="20"/>
        </w:rPr>
        <w:t>Probability</w:t>
      </w:r>
      <w:r>
        <w:rPr>
          <w:rFonts w:ascii="Times New Roman" w:hAnsi="Times New Roman" w:cs="Times New Roman"/>
          <w:b w:val="0"/>
          <w:i w:val="0"/>
          <w:sz w:val="20"/>
        </w:rPr>
        <w:t xml:space="preserve"> is suited when the data-generation process can be modeled with a likelihood. The bootstrap Lotka profile is a probabilistic computation, and the neutrosophic profile inherits its statistical foundation. But for the h-index decomposition, Bradford membership, topic membership, and edge weight, no single likelihood model captures the multiplicity of independent sources; the neutrosophic triple naturally accommodates this without forcing a Bayesian commitment to a prior.</w:t>
      </w:r>
    </w:p>
    <w:p>
      <w:pPr>
        <w:spacing w:after="80"/>
        <w:ind w:firstLine="340"/>
        <w:jc w:val="both"/>
      </w:pPr>
      <w:r>
        <w:rPr>
          <w:rFonts w:ascii="Times New Roman" w:hAnsi="Times New Roman" w:cs="Times New Roman"/>
          <w:b w:val="0"/>
          <w:i/>
          <w:sz w:val="20"/>
        </w:rPr>
        <w:t>Fuzzy sets</w:t>
      </w:r>
      <w:r>
        <w:rPr>
          <w:rFonts w:ascii="Times New Roman" w:hAnsi="Times New Roman" w:cs="Times New Roman"/>
          <w:b w:val="0"/>
          <w:i w:val="0"/>
          <w:sz w:val="20"/>
        </w:rPr>
        <w:t xml:space="preserve"> model graded membership but lack a separate falsity component. Table 2 in Section 5.6 illustrates the value of an explicit F: authors with small T and substantial F are qualitatively different from those with the same T and F = 0, and the SVNWA ranking captures this distinction. Fuzzy aggregation does not.</w:t>
      </w:r>
    </w:p>
    <w:p>
      <w:pPr>
        <w:spacing w:after="80"/>
        <w:ind w:firstLine="340"/>
        <w:jc w:val="both"/>
      </w:pPr>
      <w:r>
        <w:rPr>
          <w:rFonts w:ascii="Times New Roman" w:hAnsi="Times New Roman" w:cs="Times New Roman"/>
          <w:b w:val="0"/>
          <w:i/>
          <w:sz w:val="20"/>
        </w:rPr>
        <w:t>Intuitionistic fuzzy sets</w:t>
      </w:r>
      <w:r>
        <w:rPr>
          <w:rFonts w:ascii="Times New Roman" w:hAnsi="Times New Roman" w:cs="Times New Roman"/>
          <w:b w:val="0"/>
          <w:i w:val="0"/>
          <w:sz w:val="20"/>
        </w:rPr>
        <w:t xml:space="preserve"> introduce a non-membership degree but maintain T + F ≤ 1. For bibliometric data where an author can simultaneously show high positive evidence in one source and high negative evidence in another, the constraint T + F ≤ 1 is empirically violated. Neutrosophy relaxes the constraint (T + I + F ≤ 3) and treats I as an independent measurement, matching the empirical situation.</w:t>
      </w:r>
    </w:p>
    <w:p>
      <w:pPr>
        <w:spacing w:after="80"/>
        <w:ind w:firstLine="340"/>
        <w:jc w:val="both"/>
      </w:pPr>
      <w:r>
        <w:rPr>
          <w:rFonts w:ascii="Times New Roman" w:hAnsi="Times New Roman" w:cs="Times New Roman"/>
          <w:b w:val="0"/>
          <w:i w:val="0"/>
          <w:sz w:val="20"/>
        </w:rPr>
        <w:t>In sum, the neutrosophic formalism is not the only option; for the data structure at hand it is the most natural option that makes indeterminacy visible without artificial compression.</w:t>
      </w:r>
    </w:p>
    <w:p>
      <w:pPr>
        <w:spacing w:before="280" w:after="120"/>
      </w:pPr>
      <w:r>
        <w:rPr>
          <w:rFonts w:ascii="Arial" w:hAnsi="Arial" w:cs="Arial"/>
          <w:b/>
          <w:i w:val="0"/>
          <w:sz w:val="24"/>
        </w:rPr>
        <w:t>7. Editorial Roadmap</w:t>
      </w:r>
    </w:p>
    <w:p>
      <w:pPr>
        <w:spacing w:after="80"/>
        <w:ind w:firstLine="340"/>
        <w:jc w:val="both"/>
      </w:pPr>
      <w:r>
        <w:rPr>
          <w:rFonts w:ascii="Times New Roman" w:hAnsi="Times New Roman" w:cs="Times New Roman"/>
          <w:b w:val="0"/>
          <w:i w:val="0"/>
          <w:sz w:val="20"/>
        </w:rPr>
        <w:t>The empirical findings of Sections 4 and 5 translate into a concrete editorial agenda. We organise fifteen recommendations in three horizons of six months, six to eighteen months, and eighteen to thirty-six months. Each recommendation is assessed by effort (low / medium / high) and expected return.</w:t>
      </w:r>
    </w:p>
    <w:p>
      <w:pPr>
        <w:spacing w:before="200" w:after="80"/>
      </w:pPr>
      <w:r>
        <w:rPr>
          <w:rFonts w:ascii="Arial" w:hAnsi="Arial" w:cs="Arial"/>
          <w:b/>
          <w:i w:val="0"/>
          <w:sz w:val="22"/>
        </w:rPr>
        <w:t>7.1 Short horizon (0–6 months)</w:t>
      </w:r>
    </w:p>
    <w:p>
      <w:pPr>
        <w:spacing w:after="80"/>
        <w:ind w:firstLine="340"/>
        <w:jc w:val="both"/>
      </w:pPr>
      <w:r>
        <w:rPr>
          <w:rFonts w:ascii="Times New Roman" w:hAnsi="Times New Roman" w:cs="Times New Roman"/>
          <w:b/>
          <w:i w:val="0"/>
          <w:sz w:val="20"/>
        </w:rPr>
        <w:t>R1. Request an independent electronic ISSN.</w:t>
      </w:r>
      <w:r>
        <w:rPr>
          <w:rFonts w:ascii="Times New Roman" w:hAnsi="Times New Roman" w:cs="Times New Roman"/>
          <w:b w:val="0"/>
          <w:i w:val="0"/>
          <w:sz w:val="20"/>
        </w:rPr>
        <w:t xml:space="preserve"> (Low effort, high return.) Without ISSN the journal is ineligible for DOAJ, Latindex, REDIB, Redalyc, and ERIH Plus. Submission through NSIA Publishing or directly to ISSN International. Without this step, R3 and R11 remain blocked.</w:t>
      </w:r>
    </w:p>
    <w:p>
      <w:pPr>
        <w:spacing w:after="80"/>
        <w:ind w:firstLine="340"/>
        <w:jc w:val="both"/>
      </w:pPr>
      <w:r>
        <w:rPr>
          <w:rFonts w:ascii="Times New Roman" w:hAnsi="Times New Roman" w:cs="Times New Roman"/>
          <w:b w:val="0"/>
          <w:i w:val="0"/>
          <w:sz w:val="20"/>
        </w:rPr>
        <w:t>*</w:t>
      </w:r>
      <w:r>
        <w:rPr>
          <w:rFonts w:ascii="Times New Roman" w:hAnsi="Times New Roman" w:cs="Times New Roman"/>
          <w:b w:val="0"/>
          <w:i/>
          <w:sz w:val="20"/>
        </w:rPr>
        <w:t>R2. Add `citation_</w:t>
      </w:r>
      <w:r>
        <w:rPr>
          <w:rFonts w:ascii="Consolas" w:hAnsi="Consolas" w:cs="Consolas"/>
          <w:b w:val="0"/>
          <w:i w:val="0"/>
          <w:sz w:val="18"/>
        </w:rPr>
        <w:t xml:space="preserve"> and Dublin Core metadata to per-article HTML pages.** (Medium effort, high return.) Generate from the structured corpus of this study a landing page per article under </w:t>
      </w:r>
      <w:r>
        <w:rPr>
          <w:rFonts w:ascii="Times New Roman" w:hAnsi="Times New Roman" w:cs="Times New Roman"/>
          <w:b w:val="0"/>
          <w:i w:val="0"/>
          <w:sz w:val="20"/>
        </w:rPr>
        <w:t>fs.unm.edu/NCML/&lt;vol&gt;/&lt;doi&gt;/</w:t>
      </w:r>
      <w:r>
        <w:rPr>
          <w:rFonts w:ascii="Consolas" w:hAnsi="Consolas" w:cs="Consolas"/>
          <w:b w:val="0"/>
          <w:i w:val="0"/>
          <w:sz w:val="18"/>
        </w:rPr>
        <w:t xml:space="preserve"> with </w:t>
      </w:r>
      <w:r>
        <w:rPr>
          <w:rFonts w:ascii="Times New Roman" w:hAnsi="Times New Roman" w:cs="Times New Roman"/>
          <w:b w:val="0"/>
          <w:i w:val="0"/>
          <w:sz w:val="20"/>
        </w:rPr>
        <w:t>&lt;meta name="citation_*"&gt;` tags. One week of work with a standard static site generator (Hugo / Jekyll) suffices.</w:t>
      </w:r>
    </w:p>
    <w:p>
      <w:pPr>
        <w:spacing w:after="80"/>
        <w:ind w:firstLine="340"/>
        <w:jc w:val="both"/>
      </w:pPr>
      <w:r>
        <w:rPr>
          <w:rFonts w:ascii="Times New Roman" w:hAnsi="Times New Roman" w:cs="Times New Roman"/>
          <w:b/>
          <w:i w:val="0"/>
          <w:sz w:val="20"/>
        </w:rPr>
        <w:t>R3. Submit to DOAJ and Latindex.</w:t>
      </w:r>
      <w:r>
        <w:rPr>
          <w:rFonts w:ascii="Times New Roman" w:hAnsi="Times New Roman" w:cs="Times New Roman"/>
          <w:b w:val="0"/>
          <w:i w:val="0"/>
          <w:sz w:val="20"/>
        </w:rPr>
        <w:t xml:space="preserve"> (Low effort, high return.) Submission is free; evaluation takes 3-5 months.</w:t>
      </w:r>
    </w:p>
    <w:p>
      <w:pPr>
        <w:spacing w:after="80"/>
        <w:ind w:firstLine="340"/>
        <w:jc w:val="both"/>
      </w:pPr>
      <w:r>
        <w:rPr>
          <w:rFonts w:ascii="Times New Roman" w:hAnsi="Times New Roman" w:cs="Times New Roman"/>
          <w:b/>
          <w:i w:val="0"/>
          <w:sz w:val="20"/>
        </w:rPr>
        <w:t>R4. Publish explicit author instructions.</w:t>
      </w:r>
      <w:r>
        <w:rPr>
          <w:rFonts w:ascii="Times New Roman" w:hAnsi="Times New Roman" w:cs="Times New Roman"/>
          <w:b w:val="0"/>
          <w:i w:val="0"/>
          <w:sz w:val="20"/>
        </w:rPr>
        <w:t xml:space="preserve"> (Low effort, medium return.) The Scopus CSAB evaluates editorial policy as a pillar.</w:t>
      </w:r>
    </w:p>
    <w:p>
      <w:pPr>
        <w:spacing w:after="80"/>
        <w:ind w:firstLine="340"/>
        <w:jc w:val="both"/>
      </w:pPr>
      <w:r>
        <w:rPr>
          <w:rFonts w:ascii="Times New Roman" w:hAnsi="Times New Roman" w:cs="Times New Roman"/>
          <w:b/>
          <w:i w:val="0"/>
          <w:sz w:val="20"/>
        </w:rPr>
        <w:t>R5. Complete Zenodo deposit metadata.</w:t>
      </w:r>
      <w:r>
        <w:rPr>
          <w:rFonts w:ascii="Times New Roman" w:hAnsi="Times New Roman" w:cs="Times New Roman"/>
          <w:b w:val="0"/>
          <w:i w:val="0"/>
          <w:sz w:val="20"/>
        </w:rPr>
        <w:t xml:space="preserve"> (Low effort, medium return.) Eight fields (subject, language, rights, keywords, etc.) improve discoverability via OpenAIRE.</w:t>
      </w:r>
    </w:p>
    <w:p>
      <w:pPr>
        <w:spacing w:before="200" w:after="80"/>
      </w:pPr>
      <w:r>
        <w:rPr>
          <w:rFonts w:ascii="Arial" w:hAnsi="Arial" w:cs="Arial"/>
          <w:b/>
          <w:i w:val="0"/>
          <w:sz w:val="22"/>
        </w:rPr>
        <w:t>7.2 Medium horizon (6–18 months)</w:t>
      </w:r>
    </w:p>
    <w:p>
      <w:pPr>
        <w:spacing w:after="80"/>
        <w:ind w:firstLine="340"/>
        <w:jc w:val="both"/>
      </w:pPr>
      <w:r>
        <w:rPr>
          <w:rFonts w:ascii="Times New Roman" w:hAnsi="Times New Roman" w:cs="Times New Roman"/>
          <w:b/>
          <w:i w:val="0"/>
          <w:sz w:val="20"/>
        </w:rPr>
        <w:t>R6. Internationalise the Editorial Board.</w:t>
      </w:r>
      <w:r>
        <w:rPr>
          <w:rFonts w:ascii="Times New Roman" w:hAnsi="Times New Roman" w:cs="Times New Roman"/>
          <w:b w:val="0"/>
          <w:i w:val="0"/>
          <w:sz w:val="20"/>
        </w:rPr>
        <w:t xml:space="preserve"> (High effort, high return.) Target at least 40% of members from outside Iberoamerica within 18 months. Priority regions: Eastern Europe, Asia, North America, with researchers previously active in fuzzy logic or soft computing but without neutrosophic work, to widen the methodological dialogue.</w:t>
      </w:r>
    </w:p>
    <w:p>
      <w:pPr>
        <w:spacing w:after="80"/>
        <w:ind w:firstLine="340"/>
        <w:jc w:val="both"/>
      </w:pPr>
      <w:r>
        <w:rPr>
          <w:rFonts w:ascii="Times New Roman" w:hAnsi="Times New Roman" w:cs="Times New Roman"/>
          <w:b/>
          <w:i w:val="0"/>
          <w:sz w:val="20"/>
        </w:rPr>
        <w:t>R7. Recruit external reviewers.</w:t>
      </w:r>
      <w:r>
        <w:rPr>
          <w:rFonts w:ascii="Times New Roman" w:hAnsi="Times New Roman" w:cs="Times New Roman"/>
          <w:b w:val="0"/>
          <w:i w:val="0"/>
          <w:sz w:val="20"/>
        </w:rPr>
        <w:t xml:space="preserve"> (Medium effort, high return.) A pool of 30-50 reviewers external to the neutrosophic ecosystem (experts in classical AHP-TOPSIS, Bayesian MCDM, statistical process control). Every methodological paper should pass through at least one external reviewer. This directly addresses the external validation concern of Woodall et al. (2025) [18].</w:t>
      </w:r>
    </w:p>
    <w:p>
      <w:pPr>
        <w:spacing w:after="80"/>
        <w:ind w:firstLine="340"/>
        <w:jc w:val="both"/>
      </w:pPr>
      <w:r>
        <w:rPr>
          <w:rFonts w:ascii="Times New Roman" w:hAnsi="Times New Roman" w:cs="Times New Roman"/>
          <w:b/>
          <w:i w:val="0"/>
          <w:sz w:val="20"/>
        </w:rPr>
        <w:t>R8. Programme of thematic special issues with mandatory international co-authorship.</w:t>
      </w:r>
      <w:r>
        <w:rPr>
          <w:rFonts w:ascii="Times New Roman" w:hAnsi="Times New Roman" w:cs="Times New Roman"/>
          <w:b w:val="0"/>
          <w:i w:val="0"/>
          <w:sz w:val="20"/>
        </w:rPr>
        <w:t xml:space="preserve"> (Medium effort, high return.) Two to three special issues per year, each coordinated by a non- Iberoamerican guest editor. Minimum 50% of articles with inter- institutional co-authorship and 30% with inter-continental co-authorship. Target topics: "Neutrosophic methods in climate risk assessment: methodological comparisons", "Explainable AI with neutrosophic reasoning", "Neutrosophic statistics vs Bayesian alternatives".</w:t>
      </w:r>
    </w:p>
    <w:p>
      <w:pPr>
        <w:spacing w:after="80"/>
        <w:ind w:firstLine="340"/>
        <w:jc w:val="both"/>
      </w:pPr>
      <w:r>
        <w:rPr>
          <w:rFonts w:ascii="Times New Roman" w:hAnsi="Times New Roman" w:cs="Times New Roman"/>
          <w:b/>
          <w:i w:val="0"/>
          <w:sz w:val="20"/>
        </w:rPr>
        <w:t>R9. Editorial reserve for theoretical work.</w:t>
      </w:r>
      <w:r>
        <w:rPr>
          <w:rFonts w:ascii="Times New Roman" w:hAnsi="Times New Roman" w:cs="Times New Roman"/>
          <w:b w:val="0"/>
          <w:i w:val="0"/>
          <w:sz w:val="20"/>
        </w:rPr>
        <w:t xml:space="preserve"> (Medium effort, medium return.) Preserve 15-20 pages per volume for substantive theoretical articles to counter the decline of topic T7 (Smarandache/theory, -9.0 pp) documented in Section 4.5.</w:t>
      </w:r>
    </w:p>
    <w:p>
      <w:pPr>
        <w:spacing w:after="80"/>
        <w:ind w:firstLine="340"/>
        <w:jc w:val="both"/>
      </w:pPr>
      <w:r>
        <w:rPr>
          <w:rFonts w:ascii="Times New Roman" w:hAnsi="Times New Roman" w:cs="Times New Roman"/>
          <w:b/>
          <w:i w:val="0"/>
          <w:sz w:val="20"/>
        </w:rPr>
        <w:t>R10. Explicit self-citation policy.</w:t>
      </w:r>
      <w:r>
        <w:rPr>
          <w:rFonts w:ascii="Times New Roman" w:hAnsi="Times New Roman" w:cs="Times New Roman"/>
          <w:b w:val="0"/>
          <w:i w:val="0"/>
          <w:sz w:val="20"/>
        </w:rPr>
        <w:t xml:space="preserve"> (Low effort, medium return.) Introduce in the author instructions a guideline explicitly discouraging citation of more than three articles from the same ecosystem (NSS + NCML + IJNS) without justification. Reviewers have a mandate to block articles exceeding five auto-citations. Target: reduce the current 17.2% NSS+NCML auto-citation ratio below 15% within 18 months.</w:t>
      </w:r>
    </w:p>
    <w:p>
      <w:pPr>
        <w:spacing w:after="80"/>
        <w:ind w:firstLine="340"/>
        <w:jc w:val="both"/>
      </w:pPr>
      <w:r>
        <w:rPr>
          <w:rFonts w:ascii="Times New Roman" w:hAnsi="Times New Roman" w:cs="Times New Roman"/>
          <w:b/>
          <w:i w:val="0"/>
          <w:sz w:val="20"/>
        </w:rPr>
        <w:t>R11. Migrate to a professional editorial platform (OJS 3.x).</w:t>
      </w:r>
      <w:r>
        <w:rPr>
          <w:rFonts w:ascii="Times New Roman" w:hAnsi="Times New Roman" w:cs="Times New Roman"/>
          <w:b w:val="0"/>
          <w:i w:val="0"/>
          <w:sz w:val="20"/>
        </w:rPr>
        <w:t xml:space="preserve"> (High effort, high return.) The current </w:t>
      </w:r>
      <w:r>
        <w:rPr>
          <w:rFonts w:ascii="Consolas" w:hAnsi="Consolas" w:cs="Consolas"/>
          <w:b w:val="0"/>
          <w:i w:val="0"/>
          <w:sz w:val="18"/>
        </w:rPr>
        <w:t>fs.unm.edu/NCML/ Articles.htm</w:t>
      </w:r>
      <w:r>
        <w:rPr>
          <w:rFonts w:ascii="Times New Roman" w:hAnsi="Times New Roman" w:cs="Times New Roman"/>
          <w:b w:val="0"/>
          <w:i w:val="0"/>
          <w:sz w:val="20"/>
        </w:rPr>
        <w:t xml:space="preserve"> page carries encoding corruption (400+ U+FFFD replacement characters) and manages no editorial workflow. OJS installation and migration of the 2018-2026 archive: six months.</w:t>
      </w:r>
    </w:p>
    <w:p>
      <w:pPr>
        <w:spacing w:before="200" w:after="80"/>
      </w:pPr>
      <w:r>
        <w:rPr>
          <w:rFonts w:ascii="Arial" w:hAnsi="Arial" w:cs="Arial"/>
          <w:b/>
          <w:i w:val="0"/>
          <w:sz w:val="22"/>
        </w:rPr>
        <w:t>7.3 Long horizon (18–36 months)</w:t>
      </w:r>
    </w:p>
    <w:p>
      <w:pPr>
        <w:spacing w:after="80"/>
        <w:ind w:firstLine="340"/>
        <w:jc w:val="both"/>
      </w:pPr>
      <w:r>
        <w:rPr>
          <w:rFonts w:ascii="Times New Roman" w:hAnsi="Times New Roman" w:cs="Times New Roman"/>
          <w:b/>
          <w:i w:val="0"/>
          <w:sz w:val="20"/>
        </w:rPr>
        <w:t>R12. Apply formally to Scopus (CSAB).</w:t>
      </w:r>
      <w:r>
        <w:rPr>
          <w:rFonts w:ascii="Times New Roman" w:hAnsi="Times New Roman" w:cs="Times New Roman"/>
          <w:b w:val="0"/>
          <w:i w:val="0"/>
          <w:sz w:val="20"/>
        </w:rPr>
        <w:t xml:space="preserve"> (High effort, very high return.) With R1-R11 executed, prepare the Scopus Content Selection Advisory Board submission. Estimated probability of acceptance conditional on successful execution: 40-50%.</w:t>
      </w:r>
    </w:p>
    <w:p>
      <w:pPr>
        <w:spacing w:after="80"/>
        <w:ind w:firstLine="340"/>
        <w:jc w:val="both"/>
      </w:pPr>
      <w:r>
        <w:rPr>
          <w:rFonts w:ascii="Times New Roman" w:hAnsi="Times New Roman" w:cs="Times New Roman"/>
          <w:b/>
          <w:i w:val="0"/>
          <w:sz w:val="20"/>
        </w:rPr>
        <w:t>R13. Submit to Web of Science ESCI.</w:t>
      </w:r>
      <w:r>
        <w:rPr>
          <w:rFonts w:ascii="Times New Roman" w:hAnsi="Times New Roman" w:cs="Times New Roman"/>
          <w:b w:val="0"/>
          <w:i w:val="0"/>
          <w:sz w:val="20"/>
        </w:rPr>
        <w:t xml:space="preserve"> (High effort, high return.) The Emerging Sources Citation Index is the antechamber of SCIE/SSCI. Less strict on geographic diversity than Scopus. Parallel submission.</w:t>
      </w:r>
    </w:p>
    <w:p>
      <w:pPr>
        <w:spacing w:after="80"/>
        <w:ind w:firstLine="340"/>
        <w:jc w:val="both"/>
      </w:pPr>
      <w:r>
        <w:rPr>
          <w:rFonts w:ascii="Times New Roman" w:hAnsi="Times New Roman" w:cs="Times New Roman"/>
          <w:b/>
          <w:i w:val="0"/>
          <w:sz w:val="20"/>
        </w:rPr>
        <w:t>R14. Formal alliance with a non-Iberoamerican university as co-publisher.</w:t>
      </w:r>
      <w:r>
        <w:rPr>
          <w:rFonts w:ascii="Times New Roman" w:hAnsi="Times New Roman" w:cs="Times New Roman"/>
          <w:b w:val="0"/>
          <w:i w:val="0"/>
          <w:sz w:val="20"/>
        </w:rPr>
        <w:t xml:space="preserve"> (Very high effort, very high return.) Explore a partnership with a European or Asian institution with tradition in fuzzy logic or soft computing (TU Eindhoven, AGH Krakow, Budapest University of Technology). Maximum signal of professionalisation for Scopus CSAB and the international community.</w:t>
      </w:r>
    </w:p>
    <w:p>
      <w:pPr>
        <w:spacing w:after="80"/>
        <w:ind w:firstLine="340"/>
        <w:jc w:val="both"/>
      </w:pPr>
      <w:r>
        <w:rPr>
          <w:rFonts w:ascii="Times New Roman" w:hAnsi="Times New Roman" w:cs="Times New Roman"/>
          <w:b/>
          <w:i w:val="0"/>
          <w:sz w:val="20"/>
        </w:rPr>
        <w:t>R15. Document and publish peer-review times and acceptance rates.</w:t>
      </w:r>
      <w:r>
        <w:rPr>
          <w:rFonts w:ascii="Times New Roman" w:hAnsi="Times New Roman" w:cs="Times New Roman"/>
          <w:b w:val="0"/>
          <w:i w:val="0"/>
          <w:sz w:val="20"/>
        </w:rPr>
        <w:t xml:space="preserve"> (Medium effort, medium return.) Transition the editorial workflow to documented double-blind review. Publishing average review times and acceptance rates is the cheapest and most effective tool against the perception of fast-track low-control journals.</w:t>
      </w:r>
    </w:p>
    <w:p>
      <w:pPr>
        <w:spacing w:before="200" w:after="80"/>
      </w:pPr>
      <w:r>
        <w:rPr>
          <w:rFonts w:ascii="Arial" w:hAnsi="Arial" w:cs="Arial"/>
          <w:b/>
          <w:i w:val="0"/>
          <w:sz w:val="22"/>
        </w:rPr>
        <w:t>7.4 Cross-cutting measures</w:t>
      </w:r>
    </w:p>
    <w:p>
      <w:pPr>
        <w:pStyle w:val="ListBullet"/>
        <w:spacing w:after="40"/>
      </w:pPr>
      <w:r>
        <w:rPr>
          <w:rFonts w:ascii="Times New Roman" w:hAnsi="Times New Roman" w:cs="Times New Roman"/>
          <w:b/>
          <w:i w:val="0"/>
          <w:sz w:val="20"/>
        </w:rPr>
        <w:t>M1. Public editorial indicators dashboard.</w:t>
      </w:r>
      <w:r>
        <w:rPr>
          <w:rFonts w:ascii="Times New Roman" w:hAnsi="Times New Roman" w:cs="Times New Roman"/>
          <w:b w:val="0"/>
          <w:i w:val="0"/>
          <w:sz w:val="20"/>
        </w:rPr>
        <w:t xml:space="preserve"> Publish quarterly</w:t>
      </w:r>
    </w:p>
    <w:p>
      <w:pPr>
        <w:spacing w:after="80"/>
        <w:ind w:firstLine="340"/>
        <w:jc w:val="both"/>
      </w:pPr>
      <w:r>
        <w:rPr>
          <w:rFonts w:ascii="Times New Roman" w:hAnsi="Times New Roman" w:cs="Times New Roman"/>
          <w:b w:val="0"/>
          <w:i w:val="0"/>
          <w:sz w:val="20"/>
        </w:rPr>
        <w:t>on the journal page: articles published, countries represented, ecosystem-auto-citation rate, mean review time, acceptance rate.</w:t>
      </w:r>
    </w:p>
    <w:p>
      <w:pPr>
        <w:pStyle w:val="ListBullet"/>
        <w:spacing w:after="40"/>
      </w:pPr>
      <w:r>
        <w:rPr>
          <w:rFonts w:ascii="Times New Roman" w:hAnsi="Times New Roman" w:cs="Times New Roman"/>
          <w:b/>
          <w:i w:val="0"/>
          <w:sz w:val="20"/>
        </w:rPr>
        <w:t>M2. Formal COPE membership.</w:t>
      </w:r>
      <w:r>
        <w:rPr>
          <w:rFonts w:ascii="Times New Roman" w:hAnsi="Times New Roman" w:cs="Times New Roman"/>
          <w:b w:val="0"/>
          <w:i w:val="0"/>
          <w:sz w:val="20"/>
        </w:rPr>
        <w:t xml:space="preserve"> Free, high signal of editorial</w:t>
      </w:r>
    </w:p>
    <w:p>
      <w:pPr>
        <w:spacing w:after="80"/>
        <w:ind w:firstLine="340"/>
        <w:jc w:val="both"/>
      </w:pPr>
      <w:r>
        <w:rPr>
          <w:rFonts w:ascii="Times New Roman" w:hAnsi="Times New Roman" w:cs="Times New Roman"/>
          <w:b w:val="0"/>
          <w:i w:val="0"/>
          <w:sz w:val="20"/>
        </w:rPr>
        <w:t>quality.</w:t>
      </w:r>
    </w:p>
    <w:p>
      <w:pPr>
        <w:pStyle w:val="ListBullet"/>
        <w:spacing w:after="40"/>
      </w:pPr>
      <w:r>
        <w:rPr>
          <w:rFonts w:ascii="Times New Roman" w:hAnsi="Times New Roman" w:cs="Times New Roman"/>
          <w:b/>
          <w:i w:val="0"/>
          <w:sz w:val="20"/>
        </w:rPr>
        <w:t>M3. Annual bibliometric retrospective.</w:t>
      </w:r>
      <w:r>
        <w:rPr>
          <w:rFonts w:ascii="Times New Roman" w:hAnsi="Times New Roman" w:cs="Times New Roman"/>
          <w:b w:val="0"/>
          <w:i w:val="0"/>
          <w:sz w:val="20"/>
        </w:rPr>
        <w:t xml:space="preserve"> Repeat the methodology</w:t>
      </w:r>
    </w:p>
    <w:p>
      <w:pPr>
        <w:spacing w:after="80"/>
        <w:ind w:firstLine="340"/>
        <w:jc w:val="both"/>
      </w:pPr>
      <w:r>
        <w:rPr>
          <w:rFonts w:ascii="Times New Roman" w:hAnsi="Times New Roman" w:cs="Times New Roman"/>
          <w:b w:val="0"/>
          <w:i w:val="0"/>
          <w:sz w:val="20"/>
        </w:rPr>
        <w:t>of the present paper every 12 months and publish an update.</w:t>
      </w:r>
    </w:p>
    <w:p>
      <w:pPr>
        <w:spacing w:before="200" w:after="80"/>
      </w:pPr>
      <w:r>
        <w:rPr>
          <w:rFonts w:ascii="Arial" w:hAnsi="Arial" w:cs="Arial"/>
          <w:b/>
          <w:i w:val="0"/>
          <w:sz w:val="22"/>
        </w:rPr>
        <w:t>7.5 Priority matrix</w:t>
      </w:r>
    </w:p>
    <w:tbl>
      <w:tblPr>
        <w:tblStyle w:val="Light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Arial" w:hAnsi="Arial" w:cs="Arial"/>
                <w:b/>
                <w:i w:val="0"/>
                <w:sz w:val="18"/>
              </w:rPr>
              <w:t>Action</w:t>
            </w:r>
          </w:p>
        </w:tc>
        <w:tc>
          <w:tcPr>
            <w:tcW w:type="dxa" w:w="1881"/>
          </w:tcPr>
          <w:p>
            <w:r/>
            <w:r>
              <w:rPr>
                <w:rFonts w:ascii="Arial" w:hAnsi="Arial" w:cs="Arial"/>
                <w:b/>
                <w:i w:val="0"/>
                <w:sz w:val="18"/>
              </w:rPr>
              <w:t>Effort</w:t>
            </w:r>
          </w:p>
        </w:tc>
        <w:tc>
          <w:tcPr>
            <w:tcW w:type="dxa" w:w="1881"/>
          </w:tcPr>
          <w:p>
            <w:r/>
            <w:r>
              <w:rPr>
                <w:rFonts w:ascii="Arial" w:hAnsi="Arial" w:cs="Arial"/>
                <w:b/>
                <w:i w:val="0"/>
                <w:sz w:val="18"/>
              </w:rPr>
              <w:t>Return</w:t>
            </w:r>
          </w:p>
        </w:tc>
        <w:tc>
          <w:tcPr>
            <w:tcW w:type="dxa" w:w="1881"/>
          </w:tcPr>
          <w:p>
            <w:r/>
            <w:r>
              <w:rPr>
                <w:rFonts w:ascii="Arial" w:hAnsi="Arial" w:cs="Arial"/>
                <w:b/>
                <w:i w:val="0"/>
                <w:sz w:val="18"/>
              </w:rPr>
              <w:t>Horizon</w:t>
            </w:r>
          </w:p>
        </w:tc>
        <w:tc>
          <w:tcPr>
            <w:tcW w:type="dxa" w:w="1881"/>
          </w:tcPr>
          <w:p>
            <w:r/>
            <w:r>
              <w:rPr>
                <w:rFonts w:ascii="Arial" w:hAnsi="Arial" w:cs="Arial"/>
                <w:b/>
                <w:i w:val="0"/>
                <w:sz w:val="18"/>
              </w:rPr>
              <w:t>Prerequisite for</w:t>
            </w:r>
          </w:p>
        </w:tc>
      </w:tr>
      <w:tr>
        <w:tc>
          <w:tcPr>
            <w:tcW w:type="dxa" w:w="1881"/>
          </w:tcPr>
          <w:p>
            <w:r/>
            <w:r>
              <w:rPr>
                <w:rFonts w:ascii="Times New Roman" w:hAnsi="Times New Roman" w:cs="Times New Roman"/>
                <w:b w:val="0"/>
                <w:i w:val="0"/>
                <w:sz w:val="18"/>
              </w:rPr>
              <w:t>R1 ISSN</w:t>
            </w:r>
          </w:p>
        </w:tc>
        <w:tc>
          <w:tcPr>
            <w:tcW w:type="dxa" w:w="1881"/>
          </w:tcPr>
          <w:p>
            <w:r/>
            <w:r>
              <w:rPr>
                <w:rFonts w:ascii="Times New Roman" w:hAnsi="Times New Roman" w:cs="Times New Roman"/>
                <w:b w:val="0"/>
                <w:i w:val="0"/>
                <w:sz w:val="18"/>
              </w:rPr>
              <w:t>Low</w:t>
            </w:r>
          </w:p>
        </w:tc>
        <w:tc>
          <w:tcPr>
            <w:tcW w:type="dxa" w:w="1881"/>
          </w:tcPr>
          <w:p>
            <w:r/>
            <w:r>
              <w:rPr>
                <w:rFonts w:ascii="Times New Roman" w:hAnsi="Times New Roman" w:cs="Times New Roman"/>
                <w:b w:val="0"/>
                <w:i w:val="0"/>
                <w:sz w:val="18"/>
              </w:rPr>
              <w:t>High</w:t>
            </w:r>
          </w:p>
        </w:tc>
        <w:tc>
          <w:tcPr>
            <w:tcW w:type="dxa" w:w="1881"/>
          </w:tcPr>
          <w:p>
            <w:r/>
            <w:r>
              <w:rPr>
                <w:rFonts w:ascii="Times New Roman" w:hAnsi="Times New Roman" w:cs="Times New Roman"/>
                <w:b w:val="0"/>
                <w:i w:val="0"/>
                <w:sz w:val="18"/>
              </w:rPr>
              <w:t>0-6 m</w:t>
            </w:r>
          </w:p>
        </w:tc>
        <w:tc>
          <w:tcPr>
            <w:tcW w:type="dxa" w:w="1881"/>
          </w:tcPr>
          <w:p>
            <w:r/>
            <w:r>
              <w:rPr>
                <w:rFonts w:ascii="Times New Roman" w:hAnsi="Times New Roman" w:cs="Times New Roman"/>
                <w:b w:val="0"/>
                <w:i w:val="0"/>
                <w:sz w:val="18"/>
              </w:rPr>
              <w:t>R3, R11</w:t>
            </w:r>
          </w:p>
        </w:tc>
      </w:tr>
      <w:tr>
        <w:tc>
          <w:tcPr>
            <w:tcW w:type="dxa" w:w="1881"/>
          </w:tcPr>
          <w:p>
            <w:r/>
            <w:r>
              <w:rPr>
                <w:rFonts w:ascii="Times New Roman" w:hAnsi="Times New Roman" w:cs="Times New Roman"/>
                <w:b w:val="0"/>
                <w:i w:val="0"/>
                <w:sz w:val="18"/>
              </w:rPr>
              <w:t>R2 HTML metadata</w:t>
            </w:r>
          </w:p>
        </w:tc>
        <w:tc>
          <w:tcPr>
            <w:tcW w:type="dxa" w:w="1881"/>
          </w:tcPr>
          <w:p>
            <w:r/>
            <w:r>
              <w:rPr>
                <w:rFonts w:ascii="Times New Roman" w:hAnsi="Times New Roman" w:cs="Times New Roman"/>
                <w:b w:val="0"/>
                <w:i w:val="0"/>
                <w:sz w:val="18"/>
              </w:rPr>
              <w:t>Medium</w:t>
            </w:r>
          </w:p>
        </w:tc>
        <w:tc>
          <w:tcPr>
            <w:tcW w:type="dxa" w:w="1881"/>
          </w:tcPr>
          <w:p>
            <w:r/>
            <w:r>
              <w:rPr>
                <w:rFonts w:ascii="Times New Roman" w:hAnsi="Times New Roman" w:cs="Times New Roman"/>
                <w:b w:val="0"/>
                <w:i w:val="0"/>
                <w:sz w:val="18"/>
              </w:rPr>
              <w:t>High</w:t>
            </w:r>
          </w:p>
        </w:tc>
        <w:tc>
          <w:tcPr>
            <w:tcW w:type="dxa" w:w="1881"/>
          </w:tcPr>
          <w:p>
            <w:r/>
            <w:r>
              <w:rPr>
                <w:rFonts w:ascii="Times New Roman" w:hAnsi="Times New Roman" w:cs="Times New Roman"/>
                <w:b w:val="0"/>
                <w:i w:val="0"/>
                <w:sz w:val="18"/>
              </w:rPr>
              <w:t>0-6 m</w:t>
            </w:r>
          </w:p>
        </w:tc>
        <w:tc>
          <w:tcPr>
            <w:tcW w:type="dxa" w:w="1881"/>
          </w:tcPr>
          <w:p>
            <w:r/>
            <w:r>
              <w:rPr>
                <w:rFonts w:ascii="Times New Roman" w:hAnsi="Times New Roman" w:cs="Times New Roman"/>
                <w:b w:val="0"/>
                <w:i w:val="0"/>
                <w:sz w:val="18"/>
              </w:rPr>
              <w:t>Scholar indexing</w:t>
            </w:r>
          </w:p>
        </w:tc>
      </w:tr>
      <w:tr>
        <w:tc>
          <w:tcPr>
            <w:tcW w:type="dxa" w:w="1881"/>
          </w:tcPr>
          <w:p>
            <w:r/>
            <w:r>
              <w:rPr>
                <w:rFonts w:ascii="Times New Roman" w:hAnsi="Times New Roman" w:cs="Times New Roman"/>
                <w:b w:val="0"/>
                <w:i w:val="0"/>
                <w:sz w:val="18"/>
              </w:rPr>
              <w:t>R3 DOAJ + Latindex</w:t>
            </w:r>
          </w:p>
        </w:tc>
        <w:tc>
          <w:tcPr>
            <w:tcW w:type="dxa" w:w="1881"/>
          </w:tcPr>
          <w:p>
            <w:r/>
            <w:r>
              <w:rPr>
                <w:rFonts w:ascii="Times New Roman" w:hAnsi="Times New Roman" w:cs="Times New Roman"/>
                <w:b w:val="0"/>
                <w:i w:val="0"/>
                <w:sz w:val="18"/>
              </w:rPr>
              <w:t>Low</w:t>
            </w:r>
          </w:p>
        </w:tc>
        <w:tc>
          <w:tcPr>
            <w:tcW w:type="dxa" w:w="1881"/>
          </w:tcPr>
          <w:p>
            <w:r/>
            <w:r>
              <w:rPr>
                <w:rFonts w:ascii="Times New Roman" w:hAnsi="Times New Roman" w:cs="Times New Roman"/>
                <w:b w:val="0"/>
                <w:i w:val="0"/>
                <w:sz w:val="18"/>
              </w:rPr>
              <w:t>High</w:t>
            </w:r>
          </w:p>
        </w:tc>
        <w:tc>
          <w:tcPr>
            <w:tcW w:type="dxa" w:w="1881"/>
          </w:tcPr>
          <w:p>
            <w:r/>
            <w:r>
              <w:rPr>
                <w:rFonts w:ascii="Times New Roman" w:hAnsi="Times New Roman" w:cs="Times New Roman"/>
                <w:b w:val="0"/>
                <w:i w:val="0"/>
                <w:sz w:val="18"/>
              </w:rPr>
              <w:t>0-6 m</w:t>
            </w:r>
          </w:p>
        </w:tc>
        <w:tc>
          <w:tcPr>
            <w:tcW w:type="dxa" w:w="1881"/>
          </w:tcPr>
          <w:p>
            <w:r/>
            <w:r>
              <w:rPr>
                <w:rFonts w:ascii="Times New Roman" w:hAnsi="Times New Roman" w:cs="Times New Roman"/>
                <w:b w:val="0"/>
                <w:i w:val="0"/>
                <w:sz w:val="18"/>
              </w:rPr>
              <w:t>OA visibility</w:t>
            </w:r>
          </w:p>
        </w:tc>
      </w:tr>
      <w:tr>
        <w:tc>
          <w:tcPr>
            <w:tcW w:type="dxa" w:w="1881"/>
          </w:tcPr>
          <w:p>
            <w:r/>
            <w:r>
              <w:rPr>
                <w:rFonts w:ascii="Times New Roman" w:hAnsi="Times New Roman" w:cs="Times New Roman"/>
                <w:b w:val="0"/>
                <w:i w:val="0"/>
                <w:sz w:val="18"/>
              </w:rPr>
              <w:t>R4 Author instructions</w:t>
            </w:r>
          </w:p>
        </w:tc>
        <w:tc>
          <w:tcPr>
            <w:tcW w:type="dxa" w:w="1881"/>
          </w:tcPr>
          <w:p>
            <w:r/>
            <w:r>
              <w:rPr>
                <w:rFonts w:ascii="Times New Roman" w:hAnsi="Times New Roman" w:cs="Times New Roman"/>
                <w:b w:val="0"/>
                <w:i w:val="0"/>
                <w:sz w:val="18"/>
              </w:rPr>
              <w:t>Low</w:t>
            </w:r>
          </w:p>
        </w:tc>
        <w:tc>
          <w:tcPr>
            <w:tcW w:type="dxa" w:w="1881"/>
          </w:tcPr>
          <w:p>
            <w:r/>
            <w:r>
              <w:rPr>
                <w:rFonts w:ascii="Times New Roman" w:hAnsi="Times New Roman" w:cs="Times New Roman"/>
                <w:b w:val="0"/>
                <w:i w:val="0"/>
                <w:sz w:val="18"/>
              </w:rPr>
              <w:t>Medium</w:t>
            </w:r>
          </w:p>
        </w:tc>
        <w:tc>
          <w:tcPr>
            <w:tcW w:type="dxa" w:w="1881"/>
          </w:tcPr>
          <w:p>
            <w:r/>
            <w:r>
              <w:rPr>
                <w:rFonts w:ascii="Times New Roman" w:hAnsi="Times New Roman" w:cs="Times New Roman"/>
                <w:b w:val="0"/>
                <w:i w:val="0"/>
                <w:sz w:val="18"/>
              </w:rPr>
              <w:t>0-6 m</w:t>
            </w:r>
          </w:p>
        </w:tc>
        <w:tc>
          <w:tcPr>
            <w:tcW w:type="dxa" w:w="1881"/>
          </w:tcPr>
          <w:p>
            <w:r/>
            <w:r>
              <w:rPr>
                <w:rFonts w:ascii="Times New Roman" w:hAnsi="Times New Roman" w:cs="Times New Roman"/>
                <w:b w:val="0"/>
                <w:i w:val="0"/>
                <w:sz w:val="18"/>
              </w:rPr>
              <w:t>CSAB criterion</w:t>
            </w:r>
          </w:p>
        </w:tc>
      </w:tr>
      <w:tr>
        <w:tc>
          <w:tcPr>
            <w:tcW w:type="dxa" w:w="1881"/>
          </w:tcPr>
          <w:p>
            <w:r/>
            <w:r>
              <w:rPr>
                <w:rFonts w:ascii="Times New Roman" w:hAnsi="Times New Roman" w:cs="Times New Roman"/>
                <w:b w:val="0"/>
                <w:i w:val="0"/>
                <w:sz w:val="18"/>
              </w:rPr>
              <w:t>R5 Zenodo tags</w:t>
            </w:r>
          </w:p>
        </w:tc>
        <w:tc>
          <w:tcPr>
            <w:tcW w:type="dxa" w:w="1881"/>
          </w:tcPr>
          <w:p>
            <w:r/>
            <w:r>
              <w:rPr>
                <w:rFonts w:ascii="Times New Roman" w:hAnsi="Times New Roman" w:cs="Times New Roman"/>
                <w:b w:val="0"/>
                <w:i w:val="0"/>
                <w:sz w:val="18"/>
              </w:rPr>
              <w:t>Low</w:t>
            </w:r>
          </w:p>
        </w:tc>
        <w:tc>
          <w:tcPr>
            <w:tcW w:type="dxa" w:w="1881"/>
          </w:tcPr>
          <w:p>
            <w:r/>
            <w:r>
              <w:rPr>
                <w:rFonts w:ascii="Times New Roman" w:hAnsi="Times New Roman" w:cs="Times New Roman"/>
                <w:b w:val="0"/>
                <w:i w:val="0"/>
                <w:sz w:val="18"/>
              </w:rPr>
              <w:t>Medium</w:t>
            </w:r>
          </w:p>
        </w:tc>
        <w:tc>
          <w:tcPr>
            <w:tcW w:type="dxa" w:w="1881"/>
          </w:tcPr>
          <w:p>
            <w:r/>
            <w:r>
              <w:rPr>
                <w:rFonts w:ascii="Times New Roman" w:hAnsi="Times New Roman" w:cs="Times New Roman"/>
                <w:b w:val="0"/>
                <w:i w:val="0"/>
                <w:sz w:val="18"/>
              </w:rPr>
              <w:t>0-6 m</w:t>
            </w:r>
          </w:p>
        </w:tc>
        <w:tc>
          <w:tcPr>
            <w:tcW w:type="dxa" w:w="1881"/>
          </w:tcPr>
          <w:p>
            <w:r/>
            <w:r>
              <w:rPr>
                <w:rFonts w:ascii="Times New Roman" w:hAnsi="Times New Roman" w:cs="Times New Roman"/>
                <w:b w:val="0"/>
                <w:i w:val="0"/>
                <w:sz w:val="18"/>
              </w:rPr>
              <w:t>OpenAIRE</w:t>
            </w:r>
          </w:p>
        </w:tc>
      </w:tr>
      <w:tr>
        <w:tc>
          <w:tcPr>
            <w:tcW w:type="dxa" w:w="1881"/>
          </w:tcPr>
          <w:p>
            <w:r/>
            <w:r>
              <w:rPr>
                <w:rFonts w:ascii="Times New Roman" w:hAnsi="Times New Roman" w:cs="Times New Roman"/>
                <w:b w:val="0"/>
                <w:i w:val="0"/>
                <w:sz w:val="18"/>
              </w:rPr>
              <w:t>R6 International Board</w:t>
            </w:r>
          </w:p>
        </w:tc>
        <w:tc>
          <w:tcPr>
            <w:tcW w:type="dxa" w:w="1881"/>
          </w:tcPr>
          <w:p>
            <w:r/>
            <w:r>
              <w:rPr>
                <w:rFonts w:ascii="Times New Roman" w:hAnsi="Times New Roman" w:cs="Times New Roman"/>
                <w:b w:val="0"/>
                <w:i w:val="0"/>
                <w:sz w:val="18"/>
              </w:rPr>
              <w:t>High</w:t>
            </w:r>
          </w:p>
        </w:tc>
        <w:tc>
          <w:tcPr>
            <w:tcW w:type="dxa" w:w="1881"/>
          </w:tcPr>
          <w:p>
            <w:r/>
            <w:r>
              <w:rPr>
                <w:rFonts w:ascii="Times New Roman" w:hAnsi="Times New Roman" w:cs="Times New Roman"/>
                <w:b w:val="0"/>
                <w:i w:val="0"/>
                <w:sz w:val="18"/>
              </w:rPr>
              <w:t>High</w:t>
            </w:r>
          </w:p>
        </w:tc>
        <w:tc>
          <w:tcPr>
            <w:tcW w:type="dxa" w:w="1881"/>
          </w:tcPr>
          <w:p>
            <w:r/>
            <w:r>
              <w:rPr>
                <w:rFonts w:ascii="Times New Roman" w:hAnsi="Times New Roman" w:cs="Times New Roman"/>
                <w:b w:val="0"/>
                <w:i w:val="0"/>
                <w:sz w:val="18"/>
              </w:rPr>
              <w:t>6-18 m</w:t>
            </w:r>
          </w:p>
        </w:tc>
        <w:tc>
          <w:tcPr>
            <w:tcW w:type="dxa" w:w="1881"/>
          </w:tcPr>
          <w:p>
            <w:r/>
            <w:r>
              <w:rPr>
                <w:rFonts w:ascii="Times New Roman" w:hAnsi="Times New Roman" w:cs="Times New Roman"/>
                <w:b w:val="0"/>
                <w:i w:val="0"/>
                <w:sz w:val="18"/>
              </w:rPr>
              <w:t>Scopus</w:t>
            </w:r>
          </w:p>
        </w:tc>
      </w:tr>
      <w:tr>
        <w:tc>
          <w:tcPr>
            <w:tcW w:type="dxa" w:w="1881"/>
          </w:tcPr>
          <w:p>
            <w:r/>
            <w:r>
              <w:rPr>
                <w:rFonts w:ascii="Times New Roman" w:hAnsi="Times New Roman" w:cs="Times New Roman"/>
                <w:b w:val="0"/>
                <w:i w:val="0"/>
                <w:sz w:val="18"/>
              </w:rPr>
              <w:t>R7 External reviewers</w:t>
            </w:r>
          </w:p>
        </w:tc>
        <w:tc>
          <w:tcPr>
            <w:tcW w:type="dxa" w:w="1881"/>
          </w:tcPr>
          <w:p>
            <w:r/>
            <w:r>
              <w:rPr>
                <w:rFonts w:ascii="Times New Roman" w:hAnsi="Times New Roman" w:cs="Times New Roman"/>
                <w:b w:val="0"/>
                <w:i w:val="0"/>
                <w:sz w:val="18"/>
              </w:rPr>
              <w:t>Medium</w:t>
            </w:r>
          </w:p>
        </w:tc>
        <w:tc>
          <w:tcPr>
            <w:tcW w:type="dxa" w:w="1881"/>
          </w:tcPr>
          <w:p>
            <w:r/>
            <w:r>
              <w:rPr>
                <w:rFonts w:ascii="Times New Roman" w:hAnsi="Times New Roman" w:cs="Times New Roman"/>
                <w:b w:val="0"/>
                <w:i w:val="0"/>
                <w:sz w:val="18"/>
              </w:rPr>
              <w:t>High</w:t>
            </w:r>
          </w:p>
        </w:tc>
        <w:tc>
          <w:tcPr>
            <w:tcW w:type="dxa" w:w="1881"/>
          </w:tcPr>
          <w:p>
            <w:r/>
            <w:r>
              <w:rPr>
                <w:rFonts w:ascii="Times New Roman" w:hAnsi="Times New Roman" w:cs="Times New Roman"/>
                <w:b w:val="0"/>
                <w:i w:val="0"/>
                <w:sz w:val="18"/>
              </w:rPr>
              <w:t>6-18 m</w:t>
            </w:r>
          </w:p>
        </w:tc>
        <w:tc>
          <w:tcPr>
            <w:tcW w:type="dxa" w:w="1881"/>
          </w:tcPr>
          <w:p>
            <w:r/>
            <w:r>
              <w:rPr>
                <w:rFonts w:ascii="Times New Roman" w:hAnsi="Times New Roman" w:cs="Times New Roman"/>
                <w:b w:val="0"/>
                <w:i w:val="0"/>
                <w:sz w:val="18"/>
              </w:rPr>
              <w:t>Woodall validation</w:t>
            </w:r>
          </w:p>
        </w:tc>
      </w:tr>
      <w:tr>
        <w:tc>
          <w:tcPr>
            <w:tcW w:type="dxa" w:w="1881"/>
          </w:tcPr>
          <w:p>
            <w:r/>
            <w:r>
              <w:rPr>
                <w:rFonts w:ascii="Times New Roman" w:hAnsi="Times New Roman" w:cs="Times New Roman"/>
                <w:b w:val="0"/>
                <w:i w:val="0"/>
                <w:sz w:val="18"/>
              </w:rPr>
              <w:t>R8 Thematic issues</w:t>
            </w:r>
          </w:p>
        </w:tc>
        <w:tc>
          <w:tcPr>
            <w:tcW w:type="dxa" w:w="1881"/>
          </w:tcPr>
          <w:p>
            <w:r/>
            <w:r>
              <w:rPr>
                <w:rFonts w:ascii="Times New Roman" w:hAnsi="Times New Roman" w:cs="Times New Roman"/>
                <w:b w:val="0"/>
                <w:i w:val="0"/>
                <w:sz w:val="18"/>
              </w:rPr>
              <w:t>Medium</w:t>
            </w:r>
          </w:p>
        </w:tc>
        <w:tc>
          <w:tcPr>
            <w:tcW w:type="dxa" w:w="1881"/>
          </w:tcPr>
          <w:p>
            <w:r/>
            <w:r>
              <w:rPr>
                <w:rFonts w:ascii="Times New Roman" w:hAnsi="Times New Roman" w:cs="Times New Roman"/>
                <w:b w:val="0"/>
                <w:i w:val="0"/>
                <w:sz w:val="18"/>
              </w:rPr>
              <w:t>High</w:t>
            </w:r>
          </w:p>
        </w:tc>
        <w:tc>
          <w:tcPr>
            <w:tcW w:type="dxa" w:w="1881"/>
          </w:tcPr>
          <w:p>
            <w:r/>
            <w:r>
              <w:rPr>
                <w:rFonts w:ascii="Times New Roman" w:hAnsi="Times New Roman" w:cs="Times New Roman"/>
                <w:b w:val="0"/>
                <w:i w:val="0"/>
                <w:sz w:val="18"/>
              </w:rPr>
              <w:t>6-18 m</w:t>
            </w:r>
          </w:p>
        </w:tc>
        <w:tc>
          <w:tcPr>
            <w:tcW w:type="dxa" w:w="1881"/>
          </w:tcPr>
          <w:p>
            <w:r/>
            <w:r>
              <w:rPr>
                <w:rFonts w:ascii="Times New Roman" w:hAnsi="Times New Roman" w:cs="Times New Roman"/>
                <w:b w:val="0"/>
                <w:i w:val="0"/>
                <w:sz w:val="18"/>
              </w:rPr>
              <w:t>Intl. co-authorship</w:t>
            </w:r>
          </w:p>
        </w:tc>
      </w:tr>
      <w:tr>
        <w:tc>
          <w:tcPr>
            <w:tcW w:type="dxa" w:w="1881"/>
          </w:tcPr>
          <w:p>
            <w:r/>
            <w:r>
              <w:rPr>
                <w:rFonts w:ascii="Times New Roman" w:hAnsi="Times New Roman" w:cs="Times New Roman"/>
                <w:b w:val="0"/>
                <w:i w:val="0"/>
                <w:sz w:val="18"/>
              </w:rPr>
              <w:t>R9 Theoretical reserve</w:t>
            </w:r>
          </w:p>
        </w:tc>
        <w:tc>
          <w:tcPr>
            <w:tcW w:type="dxa" w:w="1881"/>
          </w:tcPr>
          <w:p>
            <w:r/>
            <w:r>
              <w:rPr>
                <w:rFonts w:ascii="Times New Roman" w:hAnsi="Times New Roman" w:cs="Times New Roman"/>
                <w:b w:val="0"/>
                <w:i w:val="0"/>
                <w:sz w:val="18"/>
              </w:rPr>
              <w:t>Medium</w:t>
            </w:r>
          </w:p>
        </w:tc>
        <w:tc>
          <w:tcPr>
            <w:tcW w:type="dxa" w:w="1881"/>
          </w:tcPr>
          <w:p>
            <w:r/>
            <w:r>
              <w:rPr>
                <w:rFonts w:ascii="Times New Roman" w:hAnsi="Times New Roman" w:cs="Times New Roman"/>
                <w:b w:val="0"/>
                <w:i w:val="0"/>
                <w:sz w:val="18"/>
              </w:rPr>
              <w:t>Medium</w:t>
            </w:r>
          </w:p>
        </w:tc>
        <w:tc>
          <w:tcPr>
            <w:tcW w:type="dxa" w:w="1881"/>
          </w:tcPr>
          <w:p>
            <w:r/>
            <w:r>
              <w:rPr>
                <w:rFonts w:ascii="Times New Roman" w:hAnsi="Times New Roman" w:cs="Times New Roman"/>
                <w:b w:val="0"/>
                <w:i w:val="0"/>
                <w:sz w:val="18"/>
              </w:rPr>
              <w:t>6-18 m</w:t>
            </w:r>
          </w:p>
        </w:tc>
        <w:tc>
          <w:tcPr>
            <w:tcW w:type="dxa" w:w="1881"/>
          </w:tcPr>
          <w:p>
            <w:r/>
            <w:r>
              <w:rPr>
                <w:rFonts w:ascii="Times New Roman" w:hAnsi="Times New Roman" w:cs="Times New Roman"/>
                <w:b w:val="0"/>
                <w:i w:val="0"/>
                <w:sz w:val="18"/>
              </w:rPr>
              <w:t>Journal identity</w:t>
            </w:r>
          </w:p>
        </w:tc>
      </w:tr>
      <w:tr>
        <w:tc>
          <w:tcPr>
            <w:tcW w:type="dxa" w:w="1881"/>
          </w:tcPr>
          <w:p>
            <w:r/>
            <w:r>
              <w:rPr>
                <w:rFonts w:ascii="Times New Roman" w:hAnsi="Times New Roman" w:cs="Times New Roman"/>
                <w:b w:val="0"/>
                <w:i w:val="0"/>
                <w:sz w:val="18"/>
              </w:rPr>
              <w:t>R10 Auto-citation policy</w:t>
            </w:r>
          </w:p>
        </w:tc>
        <w:tc>
          <w:tcPr>
            <w:tcW w:type="dxa" w:w="1881"/>
          </w:tcPr>
          <w:p>
            <w:r/>
            <w:r>
              <w:rPr>
                <w:rFonts w:ascii="Times New Roman" w:hAnsi="Times New Roman" w:cs="Times New Roman"/>
                <w:b w:val="0"/>
                <w:i w:val="0"/>
                <w:sz w:val="18"/>
              </w:rPr>
              <w:t>Low</w:t>
            </w:r>
          </w:p>
        </w:tc>
        <w:tc>
          <w:tcPr>
            <w:tcW w:type="dxa" w:w="1881"/>
          </w:tcPr>
          <w:p>
            <w:r/>
            <w:r>
              <w:rPr>
                <w:rFonts w:ascii="Times New Roman" w:hAnsi="Times New Roman" w:cs="Times New Roman"/>
                <w:b w:val="0"/>
                <w:i w:val="0"/>
                <w:sz w:val="18"/>
              </w:rPr>
              <w:t>Medium</w:t>
            </w:r>
          </w:p>
        </w:tc>
        <w:tc>
          <w:tcPr>
            <w:tcW w:type="dxa" w:w="1881"/>
          </w:tcPr>
          <w:p>
            <w:r/>
            <w:r>
              <w:rPr>
                <w:rFonts w:ascii="Times New Roman" w:hAnsi="Times New Roman" w:cs="Times New Roman"/>
                <w:b w:val="0"/>
                <w:i w:val="0"/>
                <w:sz w:val="18"/>
              </w:rPr>
              <w:t>6-18 m</w:t>
            </w:r>
          </w:p>
        </w:tc>
        <w:tc>
          <w:tcPr>
            <w:tcW w:type="dxa" w:w="1881"/>
          </w:tcPr>
          <w:p>
            <w:r/>
            <w:r>
              <w:rPr>
                <w:rFonts w:ascii="Times New Roman" w:hAnsi="Times New Roman" w:cs="Times New Roman"/>
                <w:b w:val="0"/>
                <w:i w:val="0"/>
                <w:sz w:val="18"/>
              </w:rPr>
              <w:t>Scopus</w:t>
            </w:r>
          </w:p>
        </w:tc>
      </w:tr>
      <w:tr>
        <w:tc>
          <w:tcPr>
            <w:tcW w:type="dxa" w:w="1881"/>
          </w:tcPr>
          <w:p>
            <w:r/>
            <w:r>
              <w:rPr>
                <w:rFonts w:ascii="Times New Roman" w:hAnsi="Times New Roman" w:cs="Times New Roman"/>
                <w:b w:val="0"/>
                <w:i w:val="0"/>
                <w:sz w:val="18"/>
              </w:rPr>
              <w:t>R11 OJS platform</w:t>
            </w:r>
          </w:p>
        </w:tc>
        <w:tc>
          <w:tcPr>
            <w:tcW w:type="dxa" w:w="1881"/>
          </w:tcPr>
          <w:p>
            <w:r/>
            <w:r>
              <w:rPr>
                <w:rFonts w:ascii="Times New Roman" w:hAnsi="Times New Roman" w:cs="Times New Roman"/>
                <w:b w:val="0"/>
                <w:i w:val="0"/>
                <w:sz w:val="18"/>
              </w:rPr>
              <w:t>High</w:t>
            </w:r>
          </w:p>
        </w:tc>
        <w:tc>
          <w:tcPr>
            <w:tcW w:type="dxa" w:w="1881"/>
          </w:tcPr>
          <w:p>
            <w:r/>
            <w:r>
              <w:rPr>
                <w:rFonts w:ascii="Times New Roman" w:hAnsi="Times New Roman" w:cs="Times New Roman"/>
                <w:b w:val="0"/>
                <w:i w:val="0"/>
                <w:sz w:val="18"/>
              </w:rPr>
              <w:t>High</w:t>
            </w:r>
          </w:p>
        </w:tc>
        <w:tc>
          <w:tcPr>
            <w:tcW w:type="dxa" w:w="1881"/>
          </w:tcPr>
          <w:p>
            <w:r/>
            <w:r>
              <w:rPr>
                <w:rFonts w:ascii="Times New Roman" w:hAnsi="Times New Roman" w:cs="Times New Roman"/>
                <w:b w:val="0"/>
                <w:i w:val="0"/>
                <w:sz w:val="18"/>
              </w:rPr>
              <w:t>6-18 m</w:t>
            </w:r>
          </w:p>
        </w:tc>
        <w:tc>
          <w:tcPr>
            <w:tcW w:type="dxa" w:w="1881"/>
          </w:tcPr>
          <w:p>
            <w:r/>
            <w:r>
              <w:rPr>
                <w:rFonts w:ascii="Times New Roman" w:hAnsi="Times New Roman" w:cs="Times New Roman"/>
                <w:b w:val="0"/>
                <w:i w:val="0"/>
                <w:sz w:val="18"/>
              </w:rPr>
              <w:t>Professionalisation</w:t>
            </w:r>
          </w:p>
        </w:tc>
      </w:tr>
      <w:tr>
        <w:tc>
          <w:tcPr>
            <w:tcW w:type="dxa" w:w="1881"/>
          </w:tcPr>
          <w:p>
            <w:r/>
            <w:r>
              <w:rPr>
                <w:rFonts w:ascii="Times New Roman" w:hAnsi="Times New Roman" w:cs="Times New Roman"/>
                <w:b w:val="0"/>
                <w:i w:val="0"/>
                <w:sz w:val="18"/>
              </w:rPr>
              <w:t>R12 Scopus CSAB</w:t>
            </w:r>
          </w:p>
        </w:tc>
        <w:tc>
          <w:tcPr>
            <w:tcW w:type="dxa" w:w="1881"/>
          </w:tcPr>
          <w:p>
            <w:r/>
            <w:r>
              <w:rPr>
                <w:rFonts w:ascii="Times New Roman" w:hAnsi="Times New Roman" w:cs="Times New Roman"/>
                <w:b w:val="0"/>
                <w:i w:val="0"/>
                <w:sz w:val="18"/>
              </w:rPr>
              <w:t>High</w:t>
            </w:r>
          </w:p>
        </w:tc>
        <w:tc>
          <w:tcPr>
            <w:tcW w:type="dxa" w:w="1881"/>
          </w:tcPr>
          <w:p>
            <w:r/>
            <w:r>
              <w:rPr>
                <w:rFonts w:ascii="Times New Roman" w:hAnsi="Times New Roman" w:cs="Times New Roman"/>
                <w:b w:val="0"/>
                <w:i w:val="0"/>
                <w:sz w:val="18"/>
              </w:rPr>
              <w:t>Very high</w:t>
            </w:r>
          </w:p>
        </w:tc>
        <w:tc>
          <w:tcPr>
            <w:tcW w:type="dxa" w:w="1881"/>
          </w:tcPr>
          <w:p>
            <w:r/>
            <w:r>
              <w:rPr>
                <w:rFonts w:ascii="Times New Roman" w:hAnsi="Times New Roman" w:cs="Times New Roman"/>
                <w:b w:val="0"/>
                <w:i w:val="0"/>
                <w:sz w:val="18"/>
              </w:rPr>
              <w:t>18-36 m</w:t>
            </w:r>
          </w:p>
        </w:tc>
        <w:tc>
          <w:tcPr>
            <w:tcW w:type="dxa" w:w="1881"/>
          </w:tcPr>
          <w:p>
            <w:r/>
            <w:r>
              <w:rPr>
                <w:rFonts w:ascii="Times New Roman" w:hAnsi="Times New Roman" w:cs="Times New Roman"/>
                <w:b w:val="0"/>
                <w:i w:val="0"/>
                <w:sz w:val="18"/>
              </w:rPr>
              <w:t>Categorical leap</w:t>
            </w:r>
          </w:p>
        </w:tc>
      </w:tr>
      <w:tr>
        <w:tc>
          <w:tcPr>
            <w:tcW w:type="dxa" w:w="1881"/>
          </w:tcPr>
          <w:p>
            <w:r/>
            <w:r>
              <w:rPr>
                <w:rFonts w:ascii="Times New Roman" w:hAnsi="Times New Roman" w:cs="Times New Roman"/>
                <w:b w:val="0"/>
                <w:i w:val="0"/>
                <w:sz w:val="18"/>
              </w:rPr>
              <w:t>R13 WoS ESCI</w:t>
            </w:r>
          </w:p>
        </w:tc>
        <w:tc>
          <w:tcPr>
            <w:tcW w:type="dxa" w:w="1881"/>
          </w:tcPr>
          <w:p>
            <w:r/>
            <w:r>
              <w:rPr>
                <w:rFonts w:ascii="Times New Roman" w:hAnsi="Times New Roman" w:cs="Times New Roman"/>
                <w:b w:val="0"/>
                <w:i w:val="0"/>
                <w:sz w:val="18"/>
              </w:rPr>
              <w:t>High</w:t>
            </w:r>
          </w:p>
        </w:tc>
        <w:tc>
          <w:tcPr>
            <w:tcW w:type="dxa" w:w="1881"/>
          </w:tcPr>
          <w:p>
            <w:r/>
            <w:r>
              <w:rPr>
                <w:rFonts w:ascii="Times New Roman" w:hAnsi="Times New Roman" w:cs="Times New Roman"/>
                <w:b w:val="0"/>
                <w:i w:val="0"/>
                <w:sz w:val="18"/>
              </w:rPr>
              <w:t>High</w:t>
            </w:r>
          </w:p>
        </w:tc>
        <w:tc>
          <w:tcPr>
            <w:tcW w:type="dxa" w:w="1881"/>
          </w:tcPr>
          <w:p>
            <w:r/>
            <w:r>
              <w:rPr>
                <w:rFonts w:ascii="Times New Roman" w:hAnsi="Times New Roman" w:cs="Times New Roman"/>
                <w:b w:val="0"/>
                <w:i w:val="0"/>
                <w:sz w:val="18"/>
              </w:rPr>
              <w:t>18-36 m</w:t>
            </w:r>
          </w:p>
        </w:tc>
        <w:tc>
          <w:tcPr>
            <w:tcW w:type="dxa" w:w="1881"/>
          </w:tcPr>
          <w:p>
            <w:r/>
            <w:r>
              <w:rPr>
                <w:rFonts w:ascii="Times New Roman" w:hAnsi="Times New Roman" w:cs="Times New Roman"/>
                <w:b w:val="0"/>
                <w:i w:val="0"/>
                <w:sz w:val="18"/>
              </w:rPr>
              <w:t>JCI observable</w:t>
            </w:r>
          </w:p>
        </w:tc>
      </w:tr>
      <w:tr>
        <w:tc>
          <w:tcPr>
            <w:tcW w:type="dxa" w:w="1881"/>
          </w:tcPr>
          <w:p>
            <w:r/>
            <w:r>
              <w:rPr>
                <w:rFonts w:ascii="Times New Roman" w:hAnsi="Times New Roman" w:cs="Times New Roman"/>
                <w:b w:val="0"/>
                <w:i w:val="0"/>
                <w:sz w:val="18"/>
              </w:rPr>
              <w:t>R14 Co-publisher</w:t>
            </w:r>
          </w:p>
        </w:tc>
        <w:tc>
          <w:tcPr>
            <w:tcW w:type="dxa" w:w="1881"/>
          </w:tcPr>
          <w:p>
            <w:r/>
            <w:r>
              <w:rPr>
                <w:rFonts w:ascii="Times New Roman" w:hAnsi="Times New Roman" w:cs="Times New Roman"/>
                <w:b w:val="0"/>
                <w:i w:val="0"/>
                <w:sz w:val="18"/>
              </w:rPr>
              <w:t>Very high</w:t>
            </w:r>
          </w:p>
        </w:tc>
        <w:tc>
          <w:tcPr>
            <w:tcW w:type="dxa" w:w="1881"/>
          </w:tcPr>
          <w:p>
            <w:r/>
            <w:r>
              <w:rPr>
                <w:rFonts w:ascii="Times New Roman" w:hAnsi="Times New Roman" w:cs="Times New Roman"/>
                <w:b w:val="0"/>
                <w:i w:val="0"/>
                <w:sz w:val="18"/>
              </w:rPr>
              <w:t>Very high</w:t>
            </w:r>
          </w:p>
        </w:tc>
        <w:tc>
          <w:tcPr>
            <w:tcW w:type="dxa" w:w="1881"/>
          </w:tcPr>
          <w:p>
            <w:r/>
            <w:r>
              <w:rPr>
                <w:rFonts w:ascii="Times New Roman" w:hAnsi="Times New Roman" w:cs="Times New Roman"/>
                <w:b w:val="0"/>
                <w:i w:val="0"/>
                <w:sz w:val="18"/>
              </w:rPr>
              <w:t>18-36 m</w:t>
            </w:r>
          </w:p>
        </w:tc>
        <w:tc>
          <w:tcPr>
            <w:tcW w:type="dxa" w:w="1881"/>
          </w:tcPr>
          <w:p>
            <w:r/>
            <w:r>
              <w:rPr>
                <w:rFonts w:ascii="Times New Roman" w:hAnsi="Times New Roman" w:cs="Times New Roman"/>
                <w:b w:val="0"/>
                <w:i w:val="0"/>
                <w:sz w:val="18"/>
              </w:rPr>
              <w:t>Prestige</w:t>
            </w:r>
          </w:p>
        </w:tc>
      </w:tr>
      <w:tr>
        <w:tc>
          <w:tcPr>
            <w:tcW w:type="dxa" w:w="1881"/>
          </w:tcPr>
          <w:p>
            <w:r/>
            <w:r>
              <w:rPr>
                <w:rFonts w:ascii="Times New Roman" w:hAnsi="Times New Roman" w:cs="Times New Roman"/>
                <w:b w:val="0"/>
                <w:i w:val="0"/>
                <w:sz w:val="18"/>
              </w:rPr>
              <w:t>R15 Double-blind review</w:t>
            </w:r>
          </w:p>
        </w:tc>
        <w:tc>
          <w:tcPr>
            <w:tcW w:type="dxa" w:w="1881"/>
          </w:tcPr>
          <w:p>
            <w:r/>
            <w:r>
              <w:rPr>
                <w:rFonts w:ascii="Times New Roman" w:hAnsi="Times New Roman" w:cs="Times New Roman"/>
                <w:b w:val="0"/>
                <w:i w:val="0"/>
                <w:sz w:val="18"/>
              </w:rPr>
              <w:t>Medium</w:t>
            </w:r>
          </w:p>
        </w:tc>
        <w:tc>
          <w:tcPr>
            <w:tcW w:type="dxa" w:w="1881"/>
          </w:tcPr>
          <w:p>
            <w:r/>
            <w:r>
              <w:rPr>
                <w:rFonts w:ascii="Times New Roman" w:hAnsi="Times New Roman" w:cs="Times New Roman"/>
                <w:b w:val="0"/>
                <w:i w:val="0"/>
                <w:sz w:val="18"/>
              </w:rPr>
              <w:t>Medium</w:t>
            </w:r>
          </w:p>
        </w:tc>
        <w:tc>
          <w:tcPr>
            <w:tcW w:type="dxa" w:w="1881"/>
          </w:tcPr>
          <w:p>
            <w:r/>
            <w:r>
              <w:rPr>
                <w:rFonts w:ascii="Times New Roman" w:hAnsi="Times New Roman" w:cs="Times New Roman"/>
                <w:b w:val="0"/>
                <w:i w:val="0"/>
                <w:sz w:val="18"/>
              </w:rPr>
              <w:t>18-36 m</w:t>
            </w:r>
          </w:p>
        </w:tc>
        <w:tc>
          <w:tcPr>
            <w:tcW w:type="dxa" w:w="1881"/>
          </w:tcPr>
          <w:p>
            <w:r/>
            <w:r>
              <w:rPr>
                <w:rFonts w:ascii="Times New Roman" w:hAnsi="Times New Roman" w:cs="Times New Roman"/>
                <w:b w:val="0"/>
                <w:i w:val="0"/>
                <w:sz w:val="18"/>
              </w:rPr>
              <w:t>Transparency</w:t>
            </w:r>
          </w:p>
        </w:tc>
      </w:tr>
    </w:tbl>
    <w:p/>
    <w:p>
      <w:pPr>
        <w:spacing w:after="80"/>
        <w:ind w:firstLine="340"/>
        <w:jc w:val="both"/>
      </w:pPr>
      <w:r>
        <w:rPr>
          <w:rFonts w:ascii="Times New Roman" w:hAnsi="Times New Roman" w:cs="Times New Roman"/>
          <w:b w:val="0"/>
          <w:i w:val="0"/>
          <w:sz w:val="20"/>
        </w:rPr>
        <w:t>The six actions R1, R2, R3, R6, R7, R11 constitute the critical path. Executing them brings NCML to the Scopus CSAB eligibility threshold within three years. Estimated monetary cost of the full fifteen-recommendation program: approximately USD 1 000 per year recurring plus USD 2 000 initial — modest; the binding constraint is editorial time and the willingness to renew the Editorial Board composition.</w:t>
      </w:r>
    </w:p>
    <w:p>
      <w:pPr>
        <w:spacing w:before="280" w:after="120"/>
      </w:pPr>
      <w:r>
        <w:rPr>
          <w:rFonts w:ascii="Arial" w:hAnsi="Arial" w:cs="Arial"/>
          <w:b/>
          <w:i w:val="0"/>
          <w:sz w:val="24"/>
        </w:rPr>
        <w:t>8. Conclusion</w:t>
      </w:r>
    </w:p>
    <w:p>
      <w:pPr>
        <w:spacing w:after="80"/>
        <w:ind w:firstLine="340"/>
        <w:jc w:val="both"/>
      </w:pPr>
      <w:r>
        <w:rPr>
          <w:rFonts w:ascii="Times New Roman" w:hAnsi="Times New Roman" w:cs="Times New Roman"/>
          <w:b w:val="0"/>
          <w:i w:val="0"/>
          <w:sz w:val="20"/>
        </w:rPr>
        <w:t xml:space="preserve">This paper presented the first systematic bibliometric retrospective of </w:t>
      </w:r>
      <w:r>
        <w:rPr>
          <w:rFonts w:ascii="Times New Roman" w:hAnsi="Times New Roman" w:cs="Times New Roman"/>
          <w:b w:val="0"/>
          <w:i/>
          <w:sz w:val="20"/>
        </w:rPr>
        <w:t>Neutrosophic Computing and Machine Learning</w:t>
      </w:r>
      <w:r>
        <w:rPr>
          <w:rFonts w:ascii="Times New Roman" w:hAnsi="Times New Roman" w:cs="Times New Roman"/>
          <w:b w:val="0"/>
          <w:i w:val="0"/>
          <w:sz w:val="20"/>
        </w:rPr>
        <w:t xml:space="preserve"> (NCML) over its 42 published volumes (2018 to April 2026), combined with a methodological contribution: a neutrosophic framework that extends five classical bibliometric indicators into single-valued neutrosophic triples (T, I, F) whose indeterminacy component is computed from the data rather than elicited from experts. The operative validation of the framework — the SVNWA aggregated ranking of 146 authors — demonstrates that the (T, I, F) structure produces conclusions unreachable by alternative formalisms (fuzzy, intuitionistic fuzzy, probabilistic) of comparable conceptual parsimony.</w:t>
      </w:r>
    </w:p>
    <w:p>
      <w:pPr>
        <w:spacing w:after="80"/>
        <w:ind w:firstLine="340"/>
        <w:jc w:val="both"/>
      </w:pPr>
      <w:r>
        <w:rPr>
          <w:rFonts w:ascii="Times New Roman" w:hAnsi="Times New Roman" w:cs="Times New Roman"/>
          <w:b w:val="0"/>
          <w:i w:val="0"/>
          <w:sz w:val="20"/>
        </w:rPr>
        <w:t>Six findings structure the paper's conclusion.</w:t>
      </w:r>
    </w:p>
    <w:p>
      <w:pPr>
        <w:spacing w:after="80"/>
        <w:ind w:firstLine="340"/>
        <w:jc w:val="both"/>
      </w:pPr>
      <w:r>
        <w:rPr>
          <w:rFonts w:ascii="Times New Roman" w:hAnsi="Times New Roman" w:cs="Times New Roman"/>
          <w:b w:val="0"/>
          <w:i w:val="0"/>
          <w:sz w:val="20"/>
        </w:rPr>
        <w:t xml:space="preserve">1. </w:t>
      </w:r>
      <w:r>
        <w:rPr>
          <w:rFonts w:ascii="Times New Roman" w:hAnsi="Times New Roman" w:cs="Times New Roman"/>
          <w:b/>
          <w:i w:val="0"/>
          <w:sz w:val="20"/>
        </w:rPr>
        <w:t>Editorial growth of 42% CAGR</w:t>
      </w:r>
      <w:r>
        <w:rPr>
          <w:rFonts w:ascii="Times New Roman" w:hAnsi="Times New Roman" w:cs="Times New Roman"/>
          <w:b w:val="0"/>
          <w:i w:val="0"/>
          <w:sz w:val="20"/>
        </w:rPr>
        <w:t xml:space="preserve"> (2018-2025) accompanied by a 27-fold expansion of the unique-author community, with the acceleration concentrated in 2022-2025 and driven mainly by Ecuadorian university groups.</w:t>
      </w:r>
    </w:p>
    <w:p>
      <w:pPr>
        <w:spacing w:after="80"/>
        <w:ind w:firstLine="340"/>
        <w:jc w:val="both"/>
      </w:pPr>
      <w:r>
        <w:rPr>
          <w:rFonts w:ascii="Times New Roman" w:hAnsi="Times New Roman" w:cs="Times New Roman"/>
          <w:b w:val="0"/>
          <w:i w:val="0"/>
          <w:sz w:val="20"/>
        </w:rPr>
        <w:t xml:space="preserve">2. </w:t>
      </w:r>
      <w:r>
        <w:rPr>
          <w:rFonts w:ascii="Times New Roman" w:hAnsi="Times New Roman" w:cs="Times New Roman"/>
          <w:b/>
          <w:i w:val="0"/>
          <w:sz w:val="20"/>
        </w:rPr>
        <w:t>Classical Lotka exponent (α = 2.03) with failed K-S test</w:t>
      </w:r>
      <w:r>
        <w:rPr>
          <w:rFonts w:ascii="Times New Roman" w:hAnsi="Times New Roman" w:cs="Times New Roman"/>
          <w:b w:val="0"/>
          <w:i w:val="0"/>
          <w:sz w:val="20"/>
        </w:rPr>
        <w:t xml:space="preserve"> — a configuration that the neutrosophic profile (T = 0, I = 1, F = 0) resolves honestly, attributing the divergence to the journal's training-venue function and the dominance of one-shot authors.</w:t>
      </w:r>
    </w:p>
    <w:p>
      <w:pPr>
        <w:spacing w:after="80"/>
        <w:ind w:firstLine="340"/>
        <w:jc w:val="both"/>
      </w:pPr>
      <w:r>
        <w:rPr>
          <w:rFonts w:ascii="Times New Roman" w:hAnsi="Times New Roman" w:cs="Times New Roman"/>
          <w:b w:val="0"/>
          <w:i w:val="0"/>
          <w:sz w:val="20"/>
        </w:rPr>
        <w:t xml:space="preserve">3. </w:t>
      </w:r>
      <w:r>
        <w:rPr>
          <w:rFonts w:ascii="Times New Roman" w:hAnsi="Times New Roman" w:cs="Times New Roman"/>
          <w:b/>
          <w:i w:val="0"/>
          <w:sz w:val="20"/>
        </w:rPr>
        <w:t>Extreme Bradford concentration</w:t>
      </w:r>
      <w:r>
        <w:rPr>
          <w:rFonts w:ascii="Times New Roman" w:hAnsi="Times New Roman" w:cs="Times New Roman"/>
          <w:b w:val="0"/>
          <w:i w:val="0"/>
          <w:sz w:val="20"/>
        </w:rPr>
        <w:t xml:space="preserve"> (5 journals = 33% of citations, k = 14.8-30.5) that graded neutrosophic membership refines into three strata: strong nucleus (T &gt; 0.7: NSS, NCML), boundary nucleus (T = 0.5-0.7: three Cuban journals), peripheral (T &lt; 0.4: mainstream fuzzy / soft computing venues).</w:t>
      </w:r>
    </w:p>
    <w:p>
      <w:pPr>
        <w:spacing w:after="80"/>
        <w:ind w:firstLine="340"/>
        <w:jc w:val="both"/>
      </w:pPr>
      <w:r>
        <w:rPr>
          <w:rFonts w:ascii="Times New Roman" w:hAnsi="Times New Roman" w:cs="Times New Roman"/>
          <w:b w:val="0"/>
          <w:i w:val="0"/>
          <w:sz w:val="20"/>
        </w:rPr>
        <w:t xml:space="preserve">4. </w:t>
      </w:r>
      <w:r>
        <w:rPr>
          <w:rFonts w:ascii="Times New Roman" w:hAnsi="Times New Roman" w:cs="Times New Roman"/>
          <w:b/>
          <w:i w:val="0"/>
          <w:sz w:val="20"/>
        </w:rPr>
        <w:t>Drastic thematic identity shift</w:t>
      </w:r>
      <w:r>
        <w:rPr>
          <w:rFonts w:ascii="Times New Roman" w:hAnsi="Times New Roman" w:cs="Times New Roman"/>
          <w:b w:val="0"/>
          <w:i w:val="0"/>
          <w:sz w:val="20"/>
        </w:rPr>
        <w:t>: the education topic (T14) fell -21.6 percentage points between 2018-2020 and 2023-2025, replaced by applied legal and medical topics concentrated in Ecuadorian contexts.</w:t>
      </w:r>
    </w:p>
    <w:p>
      <w:pPr>
        <w:spacing w:after="80"/>
        <w:ind w:firstLine="340"/>
        <w:jc w:val="both"/>
      </w:pPr>
      <w:r>
        <w:rPr>
          <w:rFonts w:ascii="Times New Roman" w:hAnsi="Times New Roman" w:cs="Times New Roman"/>
          <w:b w:val="0"/>
          <w:i w:val="0"/>
          <w:sz w:val="20"/>
        </w:rPr>
        <w:t xml:space="preserve">5. </w:t>
      </w:r>
      <w:r>
        <w:rPr>
          <w:rFonts w:ascii="Times New Roman" w:hAnsi="Times New Roman" w:cs="Times New Roman"/>
          <w:b/>
          <w:i w:val="0"/>
          <w:sz w:val="20"/>
        </w:rPr>
        <w:t>Order-of-magnitude citational discrepancy</w:t>
      </w:r>
      <w:r>
        <w:rPr>
          <w:rFonts w:ascii="Times New Roman" w:hAnsi="Times New Roman" w:cs="Times New Roman"/>
          <w:b w:val="0"/>
          <w:i w:val="0"/>
          <w:sz w:val="20"/>
        </w:rPr>
        <w:t xml:space="preserve"> between Google Scholar (h5 = 10) and OpenAlex (h = 1), decomposed by the neutrosophic </w:t>
      </w:r>
      <w:r>
        <w:rPr>
          <w:rFonts w:ascii="Times New Roman" w:hAnsi="Times New Roman" w:cs="Times New Roman"/>
          <w:b w:val="0"/>
          <w:i/>
          <w:sz w:val="20"/>
        </w:rPr>
        <w:t>h</w:t>
      </w:r>
      <w:r>
        <w:rPr>
          <w:rFonts w:ascii="Times New Roman" w:hAnsi="Times New Roman" w:cs="Times New Roman"/>
          <w:b w:val="0"/>
          <w:i w:val="0"/>
          <w:sz w:val="20"/>
        </w:rPr>
        <w:t>-index profile (T = 0.04, I = 0.50, F = 0.46) into a small verified core and a large source-disagreement band.</w:t>
      </w:r>
    </w:p>
    <w:p>
      <w:pPr>
        <w:spacing w:after="80"/>
        <w:ind w:firstLine="340"/>
        <w:jc w:val="both"/>
      </w:pPr>
      <w:r>
        <w:rPr>
          <w:rFonts w:ascii="Times New Roman" w:hAnsi="Times New Roman" w:cs="Times New Roman"/>
          <w:b w:val="0"/>
          <w:i w:val="0"/>
          <w:sz w:val="20"/>
        </w:rPr>
        <w:t xml:space="preserve">6. </w:t>
      </w:r>
      <w:r>
        <w:rPr>
          <w:rFonts w:ascii="Times New Roman" w:hAnsi="Times New Roman" w:cs="Times New Roman"/>
          <w:b/>
          <w:i w:val="0"/>
          <w:sz w:val="20"/>
        </w:rPr>
        <w:t>SVNWA-aggregated author ranking diverges substantially from article-count ranking</w:t>
      </w:r>
      <w:r>
        <w:rPr>
          <w:rFonts w:ascii="Times New Roman" w:hAnsi="Times New Roman" w:cs="Times New Roman"/>
          <w:b w:val="0"/>
          <w:i w:val="0"/>
          <w:sz w:val="20"/>
        </w:rPr>
        <w:t xml:space="preserve"> (Kendall τ = 0.20, top-10 overlap 5/10) in a pattern that re-orders the journal's visible leadership by editorially interpretable dimensions (theoretical focus, cross-source evidence, co-authorship centrality). This divergence cannot be reproduced by alternative formalisms without introducing structure equivalent to the (T, I, F) triple.</w:t>
      </w:r>
    </w:p>
    <w:p>
      <w:pPr>
        <w:spacing w:after="80"/>
        <w:ind w:firstLine="340"/>
        <w:jc w:val="both"/>
      </w:pPr>
      <w:r>
        <w:rPr>
          <w:rFonts w:ascii="Times New Roman" w:hAnsi="Times New Roman" w:cs="Times New Roman"/>
          <w:b w:val="0"/>
          <w:i w:val="0"/>
          <w:sz w:val="20"/>
        </w:rPr>
        <w:t>The paper engaged the recent methodological critique of Woodall et al. (2025) [18] directly: two of the three empirical concerns (methodological concentration, citational concentration) are confirmed by the classical retrospective; the third (external validation) is partially confirmed and fully addressable by the fifteen-recommendation editorial roadmap of Section 7. The appropriate response is not defensive but reflexive: absorb the critique as an agenda and execute the mitigations.</w:t>
      </w:r>
    </w:p>
    <w:p>
      <w:pPr>
        <w:spacing w:after="80"/>
        <w:ind w:firstLine="340"/>
        <w:jc w:val="both"/>
      </w:pPr>
      <w:r>
        <w:rPr>
          <w:rFonts w:ascii="Times New Roman" w:hAnsi="Times New Roman" w:cs="Times New Roman"/>
          <w:b w:val="0"/>
          <w:i w:val="0"/>
          <w:sz w:val="20"/>
        </w:rPr>
        <w:t xml:space="preserve">Five lines of future work follow naturally. First, a </w:t>
      </w:r>
      <w:r>
        <w:rPr>
          <w:rFonts w:ascii="Times New Roman" w:hAnsi="Times New Roman" w:cs="Times New Roman"/>
          <w:b/>
          <w:i w:val="0"/>
          <w:sz w:val="20"/>
        </w:rPr>
        <w:t>comparative application</w:t>
      </w:r>
      <w:r>
        <w:rPr>
          <w:rFonts w:ascii="Times New Roman" w:hAnsi="Times New Roman" w:cs="Times New Roman"/>
          <w:b w:val="0"/>
          <w:i w:val="0"/>
          <w:sz w:val="20"/>
        </w:rPr>
        <w:t xml:space="preserve"> of the pipeline to NSS and IJNS would yield a comparative neutrosophic profile of the entire ecosystem. Second, </w:t>
      </w:r>
      <w:r>
        <w:rPr>
          <w:rFonts w:ascii="Times New Roman" w:hAnsi="Times New Roman" w:cs="Times New Roman"/>
          <w:b/>
          <w:i w:val="0"/>
          <w:sz w:val="20"/>
        </w:rPr>
        <w:t>GROBID-quality reference extraction</w:t>
      </w:r>
      <w:r>
        <w:rPr>
          <w:rFonts w:ascii="Times New Roman" w:hAnsi="Times New Roman" w:cs="Times New Roman"/>
          <w:b w:val="0"/>
          <w:i w:val="0"/>
          <w:sz w:val="20"/>
        </w:rPr>
        <w:t xml:space="preserve"> would sharpen the Bradford tail and enable citation-network analysis. Third, a </w:t>
      </w:r>
      <w:r>
        <w:rPr>
          <w:rFonts w:ascii="Times New Roman" w:hAnsi="Times New Roman" w:cs="Times New Roman"/>
          <w:b/>
          <w:i w:val="0"/>
          <w:sz w:val="20"/>
        </w:rPr>
        <w:t>Bayesian dual</w:t>
      </w:r>
      <w:r>
        <w:rPr>
          <w:rFonts w:ascii="Times New Roman" w:hAnsi="Times New Roman" w:cs="Times New Roman"/>
          <w:b w:val="0"/>
          <w:i w:val="0"/>
          <w:sz w:val="20"/>
        </w:rPr>
        <w:t xml:space="preserve"> of the neutrosophic profile would address the Woodall concern about comparison with probabilistic alternatives and produce a unified inferential framework. Fourth, a </w:t>
      </w:r>
      <w:r>
        <w:rPr>
          <w:rFonts w:ascii="Times New Roman" w:hAnsi="Times New Roman" w:cs="Times New Roman"/>
          <w:b/>
          <w:i w:val="0"/>
          <w:sz w:val="20"/>
        </w:rPr>
        <w:t>plithogenic generalisation</w:t>
      </w:r>
      <w:r>
        <w:rPr>
          <w:rFonts w:ascii="Times New Roman" w:hAnsi="Times New Roman" w:cs="Times New Roman"/>
          <w:b w:val="0"/>
          <w:i w:val="0"/>
          <w:sz w:val="20"/>
        </w:rPr>
        <w:t xml:space="preserve"> [21] would accommodate multi-valued attributes (e.g., multi-source citation evidence as a degree distribution over sources). Fifth, </w:t>
      </w:r>
      <w:r>
        <w:rPr>
          <w:rFonts w:ascii="Times New Roman" w:hAnsi="Times New Roman" w:cs="Times New Roman"/>
          <w:b/>
          <w:i w:val="0"/>
          <w:sz w:val="20"/>
        </w:rPr>
        <w:t>editorial adoption</w:t>
      </w:r>
      <w:r>
        <w:rPr>
          <w:rFonts w:ascii="Times New Roman" w:hAnsi="Times New Roman" w:cs="Times New Roman"/>
          <w:b w:val="0"/>
          <w:i w:val="0"/>
          <w:sz w:val="20"/>
        </w:rPr>
        <w:t xml:space="preserve"> by journals outside the neutrosophic ecosystem would test the framework's generality; we invite replication.</w:t>
      </w:r>
    </w:p>
    <w:p>
      <w:pPr>
        <w:spacing w:after="80"/>
        <w:ind w:firstLine="340"/>
        <w:jc w:val="both"/>
      </w:pPr>
      <w:r>
        <w:rPr>
          <w:rFonts w:ascii="Times New Roman" w:hAnsi="Times New Roman" w:cs="Times New Roman"/>
          <w:b w:val="0"/>
          <w:i w:val="0"/>
          <w:sz w:val="20"/>
        </w:rPr>
        <w:t>A final methodological remark. The framework we presented is not a panegyric of neutrosophic logic; its value rests on a single empirical claim — that the indeterminacy of citation evidence, model fit, zone membership, topic assignment, and collaboration intensity is measurable and substantial in contemporary bibliographic data, and that reporting it explicitly is more informative than concealing it behind a single number. Whether the formalism used to report the indeterminacy is neutrosophic, fuzzy, intuitionistic-fuzzy, or probabilistic is secondary. The neutrosophic formalism happens to fit the data structure naturally and to enable the SVNWA aggregation that distinguishes it operatively; we leave to future researchers the task of demonstrating that an alternative formalism can do the same work with equal parsimony.</w:t>
      </w:r>
    </w:p>
    <w:p>
      <w:pPr>
        <w:spacing w:after="80"/>
        <w:ind w:firstLine="340"/>
        <w:jc w:val="both"/>
      </w:pPr>
      <w:r>
        <w:rPr>
          <w:rFonts w:ascii="Times New Roman" w:hAnsi="Times New Roman" w:cs="Times New Roman"/>
          <w:b w:val="0"/>
          <w:i w:val="0"/>
          <w:sz w:val="20"/>
        </w:rPr>
        <w:t>The code, datasets, and figures of this study are released as an open repository at https://github.com/mleyvaz/ncml-bibliometric-2026 under MIT (code) and CC-BY 4.0 (data) licences.</w:t>
      </w:r>
    </w:p>
    <w:p>
      <w:pPr>
        <w:spacing w:before="280" w:after="120"/>
      </w:pPr>
      <w:r>
        <w:rPr>
          <w:rFonts w:ascii="Arial" w:hAnsi="Arial" w:cs="Arial"/>
          <w:b/>
          <w:i w:val="0"/>
          <w:sz w:val="24"/>
        </w:rPr>
        <w:t>Author Contributions</w:t>
      </w:r>
    </w:p>
    <w:p>
      <w:pPr>
        <w:spacing w:after="80"/>
        <w:ind w:firstLine="340"/>
        <w:jc w:val="both"/>
      </w:pPr>
      <w:r>
        <w:rPr>
          <w:rFonts w:ascii="Times New Roman" w:hAnsi="Times New Roman" w:cs="Times New Roman"/>
          <w:b w:val="0"/>
          <w:i w:val="0"/>
          <w:sz w:val="20"/>
        </w:rPr>
        <w:t>Conceptualization: M.L.V. and F.S. Methodology: M.L.V. and Y.G.V. Software: M.L.V. (scraping pipeline, API enrichment, classical and neutrosophic indicator computation, bootstrap, topic modeling, network analysis, SVNWA aggregation, visualisation in Python). Validation: Y.G.V. (independent review of code and manual verification of the Scholar sample) and F.S. (validation of the neutrosophic-theoretical framework). Formal analysis: M.L.V. and Y.G.V. Data curation: M.L.V. Writing — original draft: M.L.V. Writing — review and editing: M.L.V., Y.G.V., F.S. Visualization: M.L.V. Supervision: F.S. Project administration: M.L.V. All authors read and approved the final version of the manuscript. Roles follow the NISO CRediT Contributor Roles Taxonomy.</w:t>
      </w:r>
    </w:p>
    <w:p>
      <w:pPr>
        <w:spacing w:before="280" w:after="120"/>
      </w:pPr>
      <w:r>
        <w:rPr>
          <w:rFonts w:ascii="Arial" w:hAnsi="Arial" w:cs="Arial"/>
          <w:b/>
          <w:i w:val="0"/>
          <w:sz w:val="24"/>
        </w:rPr>
        <w:t>Funding</w:t>
      </w:r>
    </w:p>
    <w:p>
      <w:pPr>
        <w:spacing w:after="80"/>
        <w:ind w:firstLine="340"/>
        <w:jc w:val="both"/>
      </w:pPr>
      <w:r>
        <w:rPr>
          <w:rFonts w:ascii="Times New Roman" w:hAnsi="Times New Roman" w:cs="Times New Roman"/>
          <w:b w:val="0"/>
          <w:i w:val="0"/>
          <w:sz w:val="20"/>
        </w:rPr>
        <w:t>This research received no external funding, either public or private. Infrastructure, storage, and authorial time were provided by the authors.</w:t>
      </w:r>
    </w:p>
    <w:p>
      <w:pPr>
        <w:spacing w:before="280" w:after="120"/>
      </w:pPr>
      <w:r>
        <w:rPr>
          <w:rFonts w:ascii="Arial" w:hAnsi="Arial" w:cs="Arial"/>
          <w:b/>
          <w:i w:val="0"/>
          <w:sz w:val="24"/>
        </w:rPr>
        <w:t>Conflict of Interest</w:t>
      </w:r>
    </w:p>
    <w:p>
      <w:pPr>
        <w:spacing w:after="80"/>
        <w:ind w:firstLine="340"/>
        <w:jc w:val="both"/>
      </w:pPr>
      <w:r>
        <w:rPr>
          <w:rFonts w:ascii="Times New Roman" w:hAnsi="Times New Roman" w:cs="Times New Roman"/>
          <w:b w:val="0"/>
          <w:i w:val="0"/>
          <w:sz w:val="20"/>
        </w:rPr>
        <w:t xml:space="preserve">Maikel Leyva Vazquez is Editor-in-Chief of </w:t>
      </w:r>
      <w:r>
        <w:rPr>
          <w:rFonts w:ascii="Times New Roman" w:hAnsi="Times New Roman" w:cs="Times New Roman"/>
          <w:b w:val="0"/>
          <w:i/>
          <w:sz w:val="20"/>
        </w:rPr>
        <w:t>Neutrosophic Computing and Machine Learning</w:t>
      </w:r>
      <w:r>
        <w:rPr>
          <w:rFonts w:ascii="Times New Roman" w:hAnsi="Times New Roman" w:cs="Times New Roman"/>
          <w:b w:val="0"/>
          <w:i w:val="0"/>
          <w:sz w:val="20"/>
        </w:rPr>
        <w:t xml:space="preserve"> (NCML) and Florentin Smarandache is Editor-in-Chief of </w:t>
      </w:r>
      <w:r>
        <w:rPr>
          <w:rFonts w:ascii="Times New Roman" w:hAnsi="Times New Roman" w:cs="Times New Roman"/>
          <w:b w:val="0"/>
          <w:i/>
          <w:sz w:val="20"/>
        </w:rPr>
        <w:t>Neutrosophic Sets and Systems</w:t>
      </w:r>
      <w:r>
        <w:rPr>
          <w:rFonts w:ascii="Times New Roman" w:hAnsi="Times New Roman" w:cs="Times New Roman"/>
          <w:b w:val="0"/>
          <w:i w:val="0"/>
          <w:sz w:val="20"/>
        </w:rPr>
        <w:t xml:space="preserve"> (NSS). Yismandry Gonzalez Vargas (Asociacion Latinoamericana de Ciencias Neutrosoficas, ALCN) holds no editorial role at either journal. The authors declare this potential conflict of interest and request the NCML Editorial Board to conduct peer review exclusively with reviewers external to the NSIA ecosystem. The authors will not participate in the editorial decision on this manuscript.</w:t>
      </w:r>
    </w:p>
    <w:p>
      <w:pPr>
        <w:spacing w:before="280" w:after="120"/>
      </w:pPr>
      <w:r>
        <w:rPr>
          <w:rFonts w:ascii="Arial" w:hAnsi="Arial" w:cs="Arial"/>
          <w:b/>
          <w:i w:val="0"/>
          <w:sz w:val="24"/>
        </w:rPr>
        <w:t>Acknowledgements</w:t>
      </w:r>
    </w:p>
    <w:p>
      <w:pPr>
        <w:spacing w:after="80"/>
        <w:ind w:firstLine="340"/>
        <w:jc w:val="both"/>
      </w:pPr>
      <w:r>
        <w:rPr>
          <w:rFonts w:ascii="Times New Roman" w:hAnsi="Times New Roman" w:cs="Times New Roman"/>
          <w:b w:val="0"/>
          <w:i w:val="0"/>
          <w:sz w:val="20"/>
        </w:rPr>
        <w:t>The authors thank the NSIA Publishing community and the Latin-American Association of Neutrosophic Sciences (ALCN) for facilitating access to the historical NCML corpus, and the developers of OpenAlex, DataCite, BERTopic, UMAP, NetworkX, python-louvain, PyMuPDF, and sentence- transformers, whose open-source tools made this study possible. Any errors or omissions in the interpretation of the data are the sole responsibility of the authors.</w:t>
      </w:r>
    </w:p>
    <w:p>
      <w:pPr>
        <w:spacing w:before="280" w:after="120"/>
      </w:pPr>
      <w:r>
        <w:rPr>
          <w:rFonts w:ascii="Arial" w:hAnsi="Arial" w:cs="Arial"/>
          <w:b/>
          <w:i w:val="0"/>
          <w:sz w:val="24"/>
        </w:rPr>
        <w:t>Data and Code Availability</w:t>
      </w:r>
    </w:p>
    <w:p>
      <w:pPr>
        <w:spacing w:after="80"/>
        <w:ind w:firstLine="340"/>
        <w:jc w:val="both"/>
      </w:pPr>
      <w:r>
        <w:rPr>
          <w:rFonts w:ascii="Times New Roman" w:hAnsi="Times New Roman" w:cs="Times New Roman"/>
          <w:b w:val="0"/>
          <w:i w:val="0"/>
          <w:sz w:val="20"/>
        </w:rPr>
        <w:t>The complete pipeline (scraping, PDF download, text extraction, disambiguation, Lotka and Bradford fits, co-authorship network, topic modeling, and neutrosophic extensions) is available as open source at https://github.com/mleyvaz/ncml-bibliometric-2026 under MIT (code) and CC-BY 4.0 (data) licences. The repository contains twenty- nine numbered reproducible scripts, the NCML_bibliometric_dataset.xlsx consolidation (19 sheets covering all analytical tables), the ZIP backups with the 728 downloaded PDFs and intermediate data, and the figures in PNG format at 160-170 dpi. Researchers interested in verifying, replicating, or extending the analysis can clone the repository and run the scripts in numerical order (01 through 29). Intermediate datasets are published with SHA-256 integrity hashes.</w:t>
      </w:r>
    </w:p>
    <w:p>
      <w:pPr>
        <w:spacing w:before="280" w:after="120"/>
      </w:pPr>
      <w:r>
        <w:rPr>
          <w:rFonts w:ascii="Arial" w:hAnsi="Arial" w:cs="Arial"/>
          <w:b/>
          <w:i w:val="0"/>
          <w:sz w:val="24"/>
        </w:rPr>
        <w:t>References</w:t>
      </w:r>
    </w:p>
    <w:p>
      <w:pPr>
        <w:spacing w:after="60"/>
        <w:ind w:left="397" w:hanging="397"/>
        <w:jc w:val="left"/>
      </w:pPr>
      <w:r>
        <w:rPr>
          <w:rFonts w:ascii="Times New Roman" w:hAnsi="Times New Roman" w:cs="Times New Roman"/>
          <w:b w:val="0"/>
          <w:i w:val="0"/>
          <w:sz w:val="18"/>
        </w:rPr>
        <w:t xml:space="preserve">[1] Priem, J., Piwowar, H., &amp; Orr, R. (2022). OpenAlex: A fully-open index of scholarly works, authors, venues, institutions, and concepts. </w:t>
      </w:r>
      <w:r>
        <w:rPr>
          <w:rFonts w:ascii="Times New Roman" w:hAnsi="Times New Roman" w:cs="Times New Roman"/>
          <w:b w:val="0"/>
          <w:i/>
          <w:sz w:val="18"/>
        </w:rPr>
        <w:t>arXiv</w:t>
      </w:r>
      <w:r>
        <w:rPr>
          <w:rFonts w:ascii="Times New Roman" w:hAnsi="Times New Roman" w:cs="Times New Roman"/>
          <w:b w:val="0"/>
          <w:i w:val="0"/>
          <w:sz w:val="18"/>
        </w:rPr>
        <w:t xml:space="preserve"> preprint arXiv:2205.01833. https://doi.org/10.48550/arXiv.2205.01833</w:t>
      </w:r>
    </w:p>
    <w:p>
      <w:pPr>
        <w:spacing w:after="60"/>
        <w:ind w:left="397" w:hanging="397"/>
        <w:jc w:val="left"/>
      </w:pPr>
      <w:r>
        <w:rPr>
          <w:rFonts w:ascii="Times New Roman" w:hAnsi="Times New Roman" w:cs="Times New Roman"/>
          <w:b w:val="0"/>
          <w:i w:val="0"/>
          <w:sz w:val="18"/>
        </w:rPr>
        <w:t xml:space="preserve">[2] Bradford, S. C. (1934). Sources of information on specific subjects. </w:t>
      </w:r>
      <w:r>
        <w:rPr>
          <w:rFonts w:ascii="Times New Roman" w:hAnsi="Times New Roman" w:cs="Times New Roman"/>
          <w:b w:val="0"/>
          <w:i/>
          <w:sz w:val="18"/>
        </w:rPr>
        <w:t>Engineering</w:t>
      </w:r>
      <w:r>
        <w:rPr>
          <w:rFonts w:ascii="Times New Roman" w:hAnsi="Times New Roman" w:cs="Times New Roman"/>
          <w:b w:val="0"/>
          <w:i w:val="0"/>
          <w:sz w:val="18"/>
        </w:rPr>
        <w:t>, 137(3550), 85–86.</w:t>
      </w:r>
    </w:p>
    <w:p>
      <w:pPr>
        <w:spacing w:after="60"/>
        <w:ind w:left="397" w:hanging="397"/>
        <w:jc w:val="left"/>
      </w:pPr>
      <w:r>
        <w:rPr>
          <w:rFonts w:ascii="Times New Roman" w:hAnsi="Times New Roman" w:cs="Times New Roman"/>
          <w:b w:val="0"/>
          <w:i w:val="0"/>
          <w:sz w:val="18"/>
        </w:rPr>
        <w:t xml:space="preserve">[3] Garfield, E. (1972). Citation analysis as a tool in journal evaluation. </w:t>
      </w:r>
      <w:r>
        <w:rPr>
          <w:rFonts w:ascii="Times New Roman" w:hAnsi="Times New Roman" w:cs="Times New Roman"/>
          <w:b w:val="0"/>
          <w:i/>
          <w:sz w:val="18"/>
        </w:rPr>
        <w:t>Science</w:t>
      </w:r>
      <w:r>
        <w:rPr>
          <w:rFonts w:ascii="Times New Roman" w:hAnsi="Times New Roman" w:cs="Times New Roman"/>
          <w:b w:val="0"/>
          <w:i w:val="0"/>
          <w:sz w:val="18"/>
        </w:rPr>
        <w:t>, 178(4060), 471–479. https://doi.org/10.1126/science.178.4060.471</w:t>
      </w:r>
    </w:p>
    <w:p>
      <w:pPr>
        <w:spacing w:after="60"/>
        <w:ind w:left="397" w:hanging="397"/>
        <w:jc w:val="left"/>
      </w:pPr>
      <w:r>
        <w:rPr>
          <w:rFonts w:ascii="Times New Roman" w:hAnsi="Times New Roman" w:cs="Times New Roman"/>
          <w:b w:val="0"/>
          <w:i w:val="0"/>
          <w:sz w:val="18"/>
        </w:rPr>
        <w:t xml:space="preserve">[4] Smarandache, F. (1998). </w:t>
      </w:r>
      <w:r>
        <w:rPr>
          <w:rFonts w:ascii="Times New Roman" w:hAnsi="Times New Roman" w:cs="Times New Roman"/>
          <w:b w:val="0"/>
          <w:i/>
          <w:sz w:val="18"/>
        </w:rPr>
        <w:t>A Unifying Field in Logics: Neutrosophic Logic. Neutrosophy, Neutrosophic Set, Neutrosophic Probability</w:t>
      </w:r>
      <w:r>
        <w:rPr>
          <w:rFonts w:ascii="Times New Roman" w:hAnsi="Times New Roman" w:cs="Times New Roman"/>
          <w:b w:val="0"/>
          <w:i w:val="0"/>
          <w:sz w:val="18"/>
        </w:rPr>
        <w:t>. Rehoboth, NM: American Research Press.</w:t>
      </w:r>
    </w:p>
    <w:p>
      <w:pPr>
        <w:spacing w:after="60"/>
        <w:ind w:left="397" w:hanging="397"/>
        <w:jc w:val="left"/>
      </w:pPr>
      <w:r>
        <w:rPr>
          <w:rFonts w:ascii="Times New Roman" w:hAnsi="Times New Roman" w:cs="Times New Roman"/>
          <w:b w:val="0"/>
          <w:i w:val="0"/>
          <w:sz w:val="18"/>
        </w:rPr>
        <w:t xml:space="preserve">[5] Smarandache, F. (1999). </w:t>
      </w:r>
      <w:r>
        <w:rPr>
          <w:rFonts w:ascii="Times New Roman" w:hAnsi="Times New Roman" w:cs="Times New Roman"/>
          <w:b w:val="0"/>
          <w:i/>
          <w:sz w:val="18"/>
        </w:rPr>
        <w:t>A Unifying Field in Logics: Neutrosophic Logic. Neutrosophy, Neutrosophic Set, Neutrosophic Probability and Statistics</w:t>
      </w:r>
      <w:r>
        <w:rPr>
          <w:rFonts w:ascii="Times New Roman" w:hAnsi="Times New Roman" w:cs="Times New Roman"/>
          <w:b w:val="0"/>
          <w:i w:val="0"/>
          <w:sz w:val="18"/>
        </w:rPr>
        <w:t xml:space="preserve"> (2nd ed.). Rehoboth, NM: American Research Press.</w:t>
      </w:r>
    </w:p>
    <w:p>
      <w:pPr>
        <w:spacing w:after="60"/>
        <w:ind w:left="397" w:hanging="397"/>
        <w:jc w:val="left"/>
      </w:pPr>
      <w:r>
        <w:rPr>
          <w:rFonts w:ascii="Times New Roman" w:hAnsi="Times New Roman" w:cs="Times New Roman"/>
          <w:b w:val="0"/>
          <w:i w:val="0"/>
          <w:sz w:val="18"/>
        </w:rPr>
        <w:t xml:space="preserve">[6] Wang, H., Smarandache, F., Zhang, Y. Q., &amp; Sunderraman, R. (2010). Single valued neutrosophic sets. </w:t>
      </w:r>
      <w:r>
        <w:rPr>
          <w:rFonts w:ascii="Times New Roman" w:hAnsi="Times New Roman" w:cs="Times New Roman"/>
          <w:b w:val="0"/>
          <w:i/>
          <w:sz w:val="18"/>
        </w:rPr>
        <w:t>Multispace and Multistructure</w:t>
      </w:r>
      <w:r>
        <w:rPr>
          <w:rFonts w:ascii="Times New Roman" w:hAnsi="Times New Roman" w:cs="Times New Roman"/>
          <w:b w:val="0"/>
          <w:i w:val="0"/>
          <w:sz w:val="18"/>
        </w:rPr>
        <w:t>, 4, 410–413.</w:t>
      </w:r>
    </w:p>
    <w:p>
      <w:pPr>
        <w:spacing w:after="60"/>
        <w:ind w:left="397" w:hanging="397"/>
        <w:jc w:val="left"/>
      </w:pPr>
      <w:r>
        <w:rPr>
          <w:rFonts w:ascii="Times New Roman" w:hAnsi="Times New Roman" w:cs="Times New Roman"/>
          <w:b w:val="0"/>
          <w:i w:val="0"/>
          <w:sz w:val="18"/>
        </w:rPr>
        <w:t xml:space="preserve">[7] Abdel-Basset, M., Mohamed, M., &amp; Smarandache, F. (2018). An extension of neutrosophic AHP–SWOT analysis for strategic planning and decision-making. </w:t>
      </w:r>
      <w:r>
        <w:rPr>
          <w:rFonts w:ascii="Times New Roman" w:hAnsi="Times New Roman" w:cs="Times New Roman"/>
          <w:b w:val="0"/>
          <w:i/>
          <w:sz w:val="18"/>
        </w:rPr>
        <w:t>Symmetry</w:t>
      </w:r>
      <w:r>
        <w:rPr>
          <w:rFonts w:ascii="Times New Roman" w:hAnsi="Times New Roman" w:cs="Times New Roman"/>
          <w:b w:val="0"/>
          <w:i w:val="0"/>
          <w:sz w:val="18"/>
        </w:rPr>
        <w:t>, 10(4), 116. https://doi.org/10.3390/sym10040116</w:t>
      </w:r>
    </w:p>
    <w:p>
      <w:pPr>
        <w:spacing w:after="60"/>
        <w:ind w:left="397" w:hanging="397"/>
        <w:jc w:val="left"/>
      </w:pPr>
      <w:r>
        <w:rPr>
          <w:rFonts w:ascii="Times New Roman" w:hAnsi="Times New Roman" w:cs="Times New Roman"/>
          <w:b w:val="0"/>
          <w:i w:val="0"/>
          <w:sz w:val="18"/>
        </w:rPr>
        <w:t xml:space="preserve">[8] Pramanik, S., Mallick, R., &amp; Dasgupta, A. (2018). Contributions of selected Indian researchers to multi-attribute decision making in neutrosophic environment: An overview. </w:t>
      </w:r>
      <w:r>
        <w:rPr>
          <w:rFonts w:ascii="Times New Roman" w:hAnsi="Times New Roman" w:cs="Times New Roman"/>
          <w:b w:val="0"/>
          <w:i/>
          <w:sz w:val="18"/>
        </w:rPr>
        <w:t>Neutrosophic Sets and Systems</w:t>
      </w:r>
      <w:r>
        <w:rPr>
          <w:rFonts w:ascii="Times New Roman" w:hAnsi="Times New Roman" w:cs="Times New Roman"/>
          <w:b w:val="0"/>
          <w:i w:val="0"/>
          <w:sz w:val="18"/>
        </w:rPr>
        <w:t>, 20, 109–130.</w:t>
      </w:r>
    </w:p>
    <w:p>
      <w:pPr>
        <w:spacing w:after="60"/>
        <w:ind w:left="397" w:hanging="397"/>
        <w:jc w:val="left"/>
      </w:pPr>
      <w:r>
        <w:rPr>
          <w:rFonts w:ascii="Times New Roman" w:hAnsi="Times New Roman" w:cs="Times New Roman"/>
          <w:b w:val="0"/>
          <w:i w:val="0"/>
          <w:sz w:val="18"/>
        </w:rPr>
        <w:t xml:space="preserve">[9] Seglen, P. O. (1992). How representative is the journal impact factor? </w:t>
      </w:r>
      <w:r>
        <w:rPr>
          <w:rFonts w:ascii="Times New Roman" w:hAnsi="Times New Roman" w:cs="Times New Roman"/>
          <w:b w:val="0"/>
          <w:i/>
          <w:sz w:val="18"/>
        </w:rPr>
        <w:t>Research Evaluation</w:t>
      </w:r>
      <w:r>
        <w:rPr>
          <w:rFonts w:ascii="Times New Roman" w:hAnsi="Times New Roman" w:cs="Times New Roman"/>
          <w:b w:val="0"/>
          <w:i w:val="0"/>
          <w:sz w:val="18"/>
        </w:rPr>
        <w:t>, 2(3), 143–149. https://doi.org/10.1093/rev/2.3.143</w:t>
      </w:r>
    </w:p>
    <w:p>
      <w:pPr>
        <w:spacing w:after="60"/>
        <w:ind w:left="397" w:hanging="397"/>
        <w:jc w:val="left"/>
      </w:pPr>
      <w:r>
        <w:rPr>
          <w:rFonts w:ascii="Times New Roman" w:hAnsi="Times New Roman" w:cs="Times New Roman"/>
          <w:b w:val="0"/>
          <w:i w:val="0"/>
          <w:sz w:val="18"/>
        </w:rPr>
        <w:t xml:space="preserve">[10] Haas, P. M. (1992). Introduction: Epistemic communities and international policy coordination. </w:t>
      </w:r>
      <w:r>
        <w:rPr>
          <w:rFonts w:ascii="Times New Roman" w:hAnsi="Times New Roman" w:cs="Times New Roman"/>
          <w:b w:val="0"/>
          <w:i/>
          <w:sz w:val="18"/>
        </w:rPr>
        <w:t>International Organization</w:t>
      </w:r>
      <w:r>
        <w:rPr>
          <w:rFonts w:ascii="Times New Roman" w:hAnsi="Times New Roman" w:cs="Times New Roman"/>
          <w:b w:val="0"/>
          <w:i w:val="0"/>
          <w:sz w:val="18"/>
        </w:rPr>
        <w:t>, 46(1), 1–35. https://doi.org/10.1017/S0020818300001442</w:t>
      </w:r>
    </w:p>
    <w:p>
      <w:pPr>
        <w:spacing w:after="60"/>
        <w:ind w:left="397" w:hanging="397"/>
        <w:jc w:val="left"/>
      </w:pPr>
      <w:r>
        <w:rPr>
          <w:rFonts w:ascii="Times New Roman" w:hAnsi="Times New Roman" w:cs="Times New Roman"/>
          <w:b w:val="0"/>
          <w:i w:val="0"/>
          <w:sz w:val="18"/>
        </w:rPr>
        <w:t xml:space="preserve">[11] Ye, J. (2014). A multicriteria decision-making method using aggregation operators for simplified neutrosophic sets. </w:t>
      </w:r>
      <w:r>
        <w:rPr>
          <w:rFonts w:ascii="Times New Roman" w:hAnsi="Times New Roman" w:cs="Times New Roman"/>
          <w:b w:val="0"/>
          <w:i/>
          <w:sz w:val="18"/>
        </w:rPr>
        <w:t>Journal of Intelligent and Fuzzy Systems</w:t>
      </w:r>
      <w:r>
        <w:rPr>
          <w:rFonts w:ascii="Times New Roman" w:hAnsi="Times New Roman" w:cs="Times New Roman"/>
          <w:b w:val="0"/>
          <w:i w:val="0"/>
          <w:sz w:val="18"/>
        </w:rPr>
        <w:t>, 26(5), 2459–2466. https://doi.org/10.3233/IFS-130916</w:t>
      </w:r>
    </w:p>
    <w:p>
      <w:pPr>
        <w:spacing w:after="60"/>
        <w:ind w:left="397" w:hanging="397"/>
        <w:jc w:val="left"/>
      </w:pPr>
      <w:r>
        <w:rPr>
          <w:rFonts w:ascii="Times New Roman" w:hAnsi="Times New Roman" w:cs="Times New Roman"/>
          <w:b w:val="0"/>
          <w:i w:val="0"/>
          <w:sz w:val="18"/>
        </w:rPr>
        <w:t xml:space="preserve">[12] Harzing, A.-W. K., &amp; van der Wal, R. (2008). Google Scholar as a new source for citation analysis. </w:t>
      </w:r>
      <w:r>
        <w:rPr>
          <w:rFonts w:ascii="Times New Roman" w:hAnsi="Times New Roman" w:cs="Times New Roman"/>
          <w:b w:val="0"/>
          <w:i/>
          <w:sz w:val="18"/>
        </w:rPr>
        <w:t>Ethics in Science and Environmental Politics</w:t>
      </w:r>
      <w:r>
        <w:rPr>
          <w:rFonts w:ascii="Times New Roman" w:hAnsi="Times New Roman" w:cs="Times New Roman"/>
          <w:b w:val="0"/>
          <w:i w:val="0"/>
          <w:sz w:val="18"/>
        </w:rPr>
        <w:t>, 8(1), 61–73. https://doi.org/10.3354/esep00076</w:t>
      </w:r>
    </w:p>
    <w:p>
      <w:pPr>
        <w:spacing w:after="60"/>
        <w:ind w:left="397" w:hanging="397"/>
        <w:jc w:val="left"/>
      </w:pPr>
      <w:r>
        <w:rPr>
          <w:rFonts w:ascii="Times New Roman" w:hAnsi="Times New Roman" w:cs="Times New Roman"/>
          <w:b w:val="0"/>
          <w:i w:val="0"/>
          <w:sz w:val="18"/>
        </w:rPr>
        <w:t xml:space="preserve">[13] Martin-Martin, A., Thelwall, M., Orduna-Malea, E., &amp; Delgado Lopez-Cozar, E. (2021). Google Scholar, Microsoft Academic, Scopus, Dimensions, Web of Science, and OpenCitations' COCI: a multidisciplinary comparison of coverage via citations. </w:t>
      </w:r>
      <w:r>
        <w:rPr>
          <w:rFonts w:ascii="Times New Roman" w:hAnsi="Times New Roman" w:cs="Times New Roman"/>
          <w:b w:val="0"/>
          <w:i/>
          <w:sz w:val="18"/>
        </w:rPr>
        <w:t>Scientometrics</w:t>
      </w:r>
      <w:r>
        <w:rPr>
          <w:rFonts w:ascii="Times New Roman" w:hAnsi="Times New Roman" w:cs="Times New Roman"/>
          <w:b w:val="0"/>
          <w:i w:val="0"/>
          <w:sz w:val="18"/>
        </w:rPr>
        <w:t>, 126(1), 871–906. https://doi.org/10.1007/s11192-020-03690-4</w:t>
      </w:r>
    </w:p>
    <w:p>
      <w:pPr>
        <w:spacing w:after="60"/>
        <w:ind w:left="397" w:hanging="397"/>
        <w:jc w:val="left"/>
      </w:pPr>
      <w:r>
        <w:rPr>
          <w:rFonts w:ascii="Times New Roman" w:hAnsi="Times New Roman" w:cs="Times New Roman"/>
          <w:b w:val="0"/>
          <w:i w:val="0"/>
          <w:sz w:val="18"/>
        </w:rPr>
        <w:t xml:space="preserve">[14] Lotka, A. J. (1926). The frequency distribution of scientific productivity. </w:t>
      </w:r>
      <w:r>
        <w:rPr>
          <w:rFonts w:ascii="Times New Roman" w:hAnsi="Times New Roman" w:cs="Times New Roman"/>
          <w:b w:val="0"/>
          <w:i/>
          <w:sz w:val="18"/>
        </w:rPr>
        <w:t>Journal of the Washington Academy of Sciences</w:t>
      </w:r>
      <w:r>
        <w:rPr>
          <w:rFonts w:ascii="Times New Roman" w:hAnsi="Times New Roman" w:cs="Times New Roman"/>
          <w:b w:val="0"/>
          <w:i w:val="0"/>
          <w:sz w:val="18"/>
        </w:rPr>
        <w:t>, 16(12), 317–323.</w:t>
      </w:r>
    </w:p>
    <w:p>
      <w:pPr>
        <w:spacing w:after="60"/>
        <w:ind w:left="397" w:hanging="397"/>
        <w:jc w:val="left"/>
      </w:pPr>
      <w:r>
        <w:rPr>
          <w:rFonts w:ascii="Times New Roman" w:hAnsi="Times New Roman" w:cs="Times New Roman"/>
          <w:b w:val="0"/>
          <w:i w:val="0"/>
          <w:sz w:val="18"/>
        </w:rPr>
        <w:t xml:space="preserve">[15] Newman, M. E. J. (2005). Power laws, Pareto distributions and Zipf's law. </w:t>
      </w:r>
      <w:r>
        <w:rPr>
          <w:rFonts w:ascii="Times New Roman" w:hAnsi="Times New Roman" w:cs="Times New Roman"/>
          <w:b w:val="0"/>
          <w:i/>
          <w:sz w:val="18"/>
        </w:rPr>
        <w:t>Contemporary Physics</w:t>
      </w:r>
      <w:r>
        <w:rPr>
          <w:rFonts w:ascii="Times New Roman" w:hAnsi="Times New Roman" w:cs="Times New Roman"/>
          <w:b w:val="0"/>
          <w:i w:val="0"/>
          <w:sz w:val="18"/>
        </w:rPr>
        <w:t>, 46(5), 323–351. https://doi.org/10.1080/00107510500052444</w:t>
      </w:r>
    </w:p>
    <w:p>
      <w:pPr>
        <w:spacing w:after="60"/>
        <w:ind w:left="397" w:hanging="397"/>
        <w:jc w:val="left"/>
      </w:pPr>
      <w:r>
        <w:rPr>
          <w:rFonts w:ascii="Times New Roman" w:hAnsi="Times New Roman" w:cs="Times New Roman"/>
          <w:b w:val="0"/>
          <w:i w:val="0"/>
          <w:sz w:val="18"/>
        </w:rPr>
        <w:t xml:space="preserve">[16] Blondel, V. D., Guillaume, J.-L., Lambiotte, R., &amp; Lefebvre, E. (2008). Fast unfolding of communities in large networks. </w:t>
      </w:r>
      <w:r>
        <w:rPr>
          <w:rFonts w:ascii="Times New Roman" w:hAnsi="Times New Roman" w:cs="Times New Roman"/>
          <w:b w:val="0"/>
          <w:i/>
          <w:sz w:val="18"/>
        </w:rPr>
        <w:t>Journal of Statistical Mechanics: Theory and Experiment</w:t>
      </w:r>
      <w:r>
        <w:rPr>
          <w:rFonts w:ascii="Times New Roman" w:hAnsi="Times New Roman" w:cs="Times New Roman"/>
          <w:b w:val="0"/>
          <w:i w:val="0"/>
          <w:sz w:val="18"/>
        </w:rPr>
        <w:t>, 2008(10), P10008. https://doi.org/10.1088/1742-5468/2008/10/P10008</w:t>
      </w:r>
    </w:p>
    <w:p>
      <w:pPr>
        <w:spacing w:after="60"/>
        <w:ind w:left="397" w:hanging="397"/>
        <w:jc w:val="left"/>
      </w:pPr>
      <w:r>
        <w:rPr>
          <w:rFonts w:ascii="Times New Roman" w:hAnsi="Times New Roman" w:cs="Times New Roman"/>
          <w:b w:val="0"/>
          <w:i w:val="0"/>
          <w:sz w:val="18"/>
        </w:rPr>
        <w:t xml:space="preserve">[17] Abdel-Basset, M., Manogaran, G., Gamal, A., &amp; Smarandache, F. (2018). A hybrid approach of neutrosophic sets and DEMATEL method for developing supplier selection criteria. </w:t>
      </w:r>
      <w:r>
        <w:rPr>
          <w:rFonts w:ascii="Times New Roman" w:hAnsi="Times New Roman" w:cs="Times New Roman"/>
          <w:b w:val="0"/>
          <w:i/>
          <w:sz w:val="18"/>
        </w:rPr>
        <w:t>Design Automation for Embedded Systems</w:t>
      </w:r>
      <w:r>
        <w:rPr>
          <w:rFonts w:ascii="Times New Roman" w:hAnsi="Times New Roman" w:cs="Times New Roman"/>
          <w:b w:val="0"/>
          <w:i w:val="0"/>
          <w:sz w:val="18"/>
        </w:rPr>
        <w:t>, 22(3), 257–278. https://doi.org/10.1007/s10617-018-9203-6</w:t>
      </w:r>
    </w:p>
    <w:p>
      <w:pPr>
        <w:spacing w:after="60"/>
        <w:ind w:left="397" w:hanging="397"/>
        <w:jc w:val="left"/>
      </w:pPr>
      <w:r>
        <w:rPr>
          <w:rFonts w:ascii="Times New Roman" w:hAnsi="Times New Roman" w:cs="Times New Roman"/>
          <w:b w:val="0"/>
          <w:i w:val="0"/>
          <w:sz w:val="18"/>
        </w:rPr>
        <w:t xml:space="preserve">[18] Woodall, W. H., Faltin, F. W., &amp; Reynolds, M. R. (2025). A critical evaluation of neutrosophic methods in statistical process control and decision making. </w:t>
      </w:r>
      <w:r>
        <w:rPr>
          <w:rFonts w:ascii="Times New Roman" w:hAnsi="Times New Roman" w:cs="Times New Roman"/>
          <w:b w:val="0"/>
          <w:i/>
          <w:sz w:val="18"/>
        </w:rPr>
        <w:t>Quality Engineering</w:t>
      </w:r>
      <w:r>
        <w:rPr>
          <w:rFonts w:ascii="Times New Roman" w:hAnsi="Times New Roman" w:cs="Times New Roman"/>
          <w:b w:val="0"/>
          <w:i w:val="0"/>
          <w:sz w:val="18"/>
        </w:rPr>
        <w:t>. Advance online publication. https://doi.org/10.1080/08982112.2025.2482198</w:t>
      </w:r>
    </w:p>
    <w:p>
      <w:pPr>
        <w:spacing w:after="60"/>
        <w:ind w:left="397" w:hanging="397"/>
        <w:jc w:val="left"/>
      </w:pPr>
      <w:r>
        <w:rPr>
          <w:rFonts w:ascii="Times New Roman" w:hAnsi="Times New Roman" w:cs="Times New Roman"/>
          <w:b w:val="0"/>
          <w:i w:val="0"/>
          <w:sz w:val="18"/>
        </w:rPr>
        <w:t xml:space="preserve">[19] Hirsch, J. E. (2005). An index to quantify an individual's scientific research output. </w:t>
      </w:r>
      <w:r>
        <w:rPr>
          <w:rFonts w:ascii="Times New Roman" w:hAnsi="Times New Roman" w:cs="Times New Roman"/>
          <w:b w:val="0"/>
          <w:i/>
          <w:sz w:val="18"/>
        </w:rPr>
        <w:t>Proceedings of the National Academy of Sciences</w:t>
      </w:r>
      <w:r>
        <w:rPr>
          <w:rFonts w:ascii="Times New Roman" w:hAnsi="Times New Roman" w:cs="Times New Roman"/>
          <w:b w:val="0"/>
          <w:i w:val="0"/>
          <w:sz w:val="18"/>
        </w:rPr>
        <w:t>, 102(46), 16569–16572. https://doi.org/10.1073/pnas.0507655102</w:t>
      </w:r>
    </w:p>
    <w:p>
      <w:pPr>
        <w:spacing w:after="60"/>
        <w:ind w:left="397" w:hanging="397"/>
        <w:jc w:val="left"/>
      </w:pPr>
      <w:r>
        <w:rPr>
          <w:rFonts w:ascii="Times New Roman" w:hAnsi="Times New Roman" w:cs="Times New Roman"/>
          <w:b w:val="0"/>
          <w:i w:val="0"/>
          <w:sz w:val="18"/>
        </w:rPr>
        <w:t xml:space="preserve">[20] Bradford, S. C. (1948). </w:t>
      </w:r>
      <w:r>
        <w:rPr>
          <w:rFonts w:ascii="Times New Roman" w:hAnsi="Times New Roman" w:cs="Times New Roman"/>
          <w:b w:val="0"/>
          <w:i/>
          <w:sz w:val="18"/>
        </w:rPr>
        <w:t>Documentation</w:t>
      </w:r>
      <w:r>
        <w:rPr>
          <w:rFonts w:ascii="Times New Roman" w:hAnsi="Times New Roman" w:cs="Times New Roman"/>
          <w:b w:val="0"/>
          <w:i w:val="0"/>
          <w:sz w:val="18"/>
        </w:rPr>
        <w:t>. London: Crosby Lockwood.</w:t>
      </w:r>
    </w:p>
    <w:p>
      <w:pPr>
        <w:spacing w:after="60"/>
        <w:ind w:left="397" w:hanging="397"/>
        <w:jc w:val="left"/>
      </w:pPr>
      <w:r>
        <w:rPr>
          <w:rFonts w:ascii="Times New Roman" w:hAnsi="Times New Roman" w:cs="Times New Roman"/>
          <w:b w:val="0"/>
          <w:i w:val="0"/>
          <w:sz w:val="18"/>
        </w:rPr>
        <w:t xml:space="preserve">[21] Smarandache, F. (2018). Plithogeny, plithogenic set, logic, probability, and statistics. </w:t>
      </w:r>
      <w:r>
        <w:rPr>
          <w:rFonts w:ascii="Times New Roman" w:hAnsi="Times New Roman" w:cs="Times New Roman"/>
          <w:b w:val="0"/>
          <w:i/>
          <w:sz w:val="18"/>
        </w:rPr>
        <w:t>arXiv</w:t>
      </w:r>
      <w:r>
        <w:rPr>
          <w:rFonts w:ascii="Times New Roman" w:hAnsi="Times New Roman" w:cs="Times New Roman"/>
          <w:b w:val="0"/>
          <w:i w:val="0"/>
          <w:sz w:val="18"/>
        </w:rPr>
        <w:t xml:space="preserve"> preprint arXiv:1808.03948. https://doi.org/10.48550/arXiv.1808.03948</w:t>
      </w:r>
    </w:p>
    <w:p>
      <w:pPr>
        <w:spacing w:after="60"/>
        <w:ind w:left="397" w:hanging="397"/>
        <w:jc w:val="left"/>
      </w:pPr>
      <w:r>
        <w:rPr>
          <w:rFonts w:ascii="Times New Roman" w:hAnsi="Times New Roman" w:cs="Times New Roman"/>
          <w:b w:val="0"/>
          <w:i w:val="0"/>
          <w:sz w:val="18"/>
        </w:rPr>
        <w:t xml:space="preserve">[22] Reimers, N., &amp; Gurevych, I. (2019). Sentence-BERT: Sentence embeddings using Siamese BERT-networks. In </w:t>
      </w:r>
      <w:r>
        <w:rPr>
          <w:rFonts w:ascii="Times New Roman" w:hAnsi="Times New Roman" w:cs="Times New Roman"/>
          <w:b w:val="0"/>
          <w:i/>
          <w:sz w:val="18"/>
        </w:rPr>
        <w:t>Proceedings of the 2019 Conference on Empirical Methods in Natural Language Processing</w:t>
      </w:r>
      <w:r>
        <w:rPr>
          <w:rFonts w:ascii="Times New Roman" w:hAnsi="Times New Roman" w:cs="Times New Roman"/>
          <w:b w:val="0"/>
          <w:i w:val="0"/>
          <w:sz w:val="18"/>
        </w:rPr>
        <w:t>. https://doi.org/10.18653/v1/D19-1410</w:t>
      </w:r>
    </w:p>
    <w:p>
      <w:pPr>
        <w:spacing w:after="60"/>
        <w:ind w:left="397" w:hanging="397"/>
        <w:jc w:val="left"/>
      </w:pPr>
      <w:r>
        <w:rPr>
          <w:rFonts w:ascii="Times New Roman" w:hAnsi="Times New Roman" w:cs="Times New Roman"/>
          <w:b w:val="0"/>
          <w:i w:val="0"/>
          <w:sz w:val="18"/>
        </w:rPr>
        <w:t xml:space="preserve">[23] McInnes, L., Healy, J., &amp; Melville, J. (2018). UMAP: Uniform manifold approximation and projection for dimension reduction. </w:t>
      </w:r>
      <w:r>
        <w:rPr>
          <w:rFonts w:ascii="Times New Roman" w:hAnsi="Times New Roman" w:cs="Times New Roman"/>
          <w:b w:val="0"/>
          <w:i/>
          <w:sz w:val="18"/>
        </w:rPr>
        <w:t>arXiv</w:t>
      </w:r>
      <w:r>
        <w:rPr>
          <w:rFonts w:ascii="Times New Roman" w:hAnsi="Times New Roman" w:cs="Times New Roman"/>
          <w:b w:val="0"/>
          <w:i w:val="0"/>
          <w:sz w:val="18"/>
        </w:rPr>
        <w:t xml:space="preserve"> preprint arXiv:1802.03426. https://doi.org/10.48550/arXiv.1802.03426</w:t>
      </w:r>
    </w:p>
    <w:p>
      <w:pPr>
        <w:spacing w:after="60"/>
        <w:ind w:left="397" w:hanging="397"/>
        <w:jc w:val="left"/>
      </w:pPr>
      <w:r>
        <w:rPr>
          <w:rFonts w:ascii="Times New Roman" w:hAnsi="Times New Roman" w:cs="Times New Roman"/>
          <w:b w:val="0"/>
          <w:i w:val="0"/>
          <w:sz w:val="18"/>
        </w:rPr>
        <w:t xml:space="preserve">[24] Grootendorst, M. (2022). BERTopic: Neural topic modeling with a class-based TF-IDF procedure. </w:t>
      </w:r>
      <w:r>
        <w:rPr>
          <w:rFonts w:ascii="Times New Roman" w:hAnsi="Times New Roman" w:cs="Times New Roman"/>
          <w:b w:val="0"/>
          <w:i/>
          <w:sz w:val="18"/>
        </w:rPr>
        <w:t>arXiv</w:t>
      </w:r>
      <w:r>
        <w:rPr>
          <w:rFonts w:ascii="Times New Roman" w:hAnsi="Times New Roman" w:cs="Times New Roman"/>
          <w:b w:val="0"/>
          <w:i w:val="0"/>
          <w:sz w:val="18"/>
        </w:rPr>
        <w:t xml:space="preserve"> preprint arXiv:2203.05794. https://doi.org/10.48550/arXiv.2203.05794</w:t>
      </w:r>
    </w:p>
    <w:p>
      <w:pPr>
        <w:spacing w:after="60"/>
        <w:ind w:left="397" w:hanging="397"/>
        <w:jc w:val="left"/>
      </w:pPr>
      <w:r>
        <w:rPr>
          <w:rFonts w:ascii="Times New Roman" w:hAnsi="Times New Roman" w:cs="Times New Roman"/>
          <w:b w:val="0"/>
          <w:i w:val="0"/>
          <w:sz w:val="18"/>
        </w:rPr>
        <w:t xml:space="preserve">[25] Tarjan, R. E. (1975). Efficiency of a good but not linear set union algorithm. </w:t>
      </w:r>
      <w:r>
        <w:rPr>
          <w:rFonts w:ascii="Times New Roman" w:hAnsi="Times New Roman" w:cs="Times New Roman"/>
          <w:b w:val="0"/>
          <w:i/>
          <w:sz w:val="18"/>
        </w:rPr>
        <w:t>Journal of the ACM</w:t>
      </w:r>
      <w:r>
        <w:rPr>
          <w:rFonts w:ascii="Times New Roman" w:hAnsi="Times New Roman" w:cs="Times New Roman"/>
          <w:b w:val="0"/>
          <w:i w:val="0"/>
          <w:sz w:val="18"/>
        </w:rPr>
        <w:t>, 22(2), 215–225. https://doi.org/10.1145/321879.321884</w:t>
      </w:r>
    </w:p>
    <w:p>
      <w:pPr>
        <w:spacing w:after="60"/>
        <w:ind w:left="397" w:hanging="397"/>
        <w:jc w:val="left"/>
      </w:pPr>
      <w:r>
        <w:rPr>
          <w:rFonts w:ascii="Times New Roman" w:hAnsi="Times New Roman" w:cs="Times New Roman"/>
          <w:b w:val="0"/>
          <w:i w:val="0"/>
          <w:sz w:val="18"/>
        </w:rPr>
        <w:t xml:space="preserve">[26] Page, M. J., McKenzie, J. E., Bossuyt, P. M., et al. (2021). The PRISMA 2020 statement: an updated guideline for reporting systematic reviews. </w:t>
      </w:r>
      <w:r>
        <w:rPr>
          <w:rFonts w:ascii="Times New Roman" w:hAnsi="Times New Roman" w:cs="Times New Roman"/>
          <w:b w:val="0"/>
          <w:i/>
          <w:sz w:val="18"/>
        </w:rPr>
        <w:t>BMJ</w:t>
      </w:r>
      <w:r>
        <w:rPr>
          <w:rFonts w:ascii="Times New Roman" w:hAnsi="Times New Roman" w:cs="Times New Roman"/>
          <w:b w:val="0"/>
          <w:i w:val="0"/>
          <w:sz w:val="18"/>
        </w:rPr>
        <w:t>, 372, n71. https://doi.org/10.1136/bmj.n71</w:t>
      </w:r>
    </w:p>
    <w:p>
      <w:pPr>
        <w:spacing w:after="60"/>
        <w:ind w:left="397" w:hanging="397"/>
        <w:jc w:val="left"/>
      </w:pPr>
      <w:r>
        <w:rPr>
          <w:rFonts w:ascii="Times New Roman" w:hAnsi="Times New Roman" w:cs="Times New Roman"/>
          <w:b w:val="0"/>
          <w:i w:val="0"/>
          <w:sz w:val="18"/>
        </w:rPr>
        <w:t xml:space="preserve">[27] Larsen, P. O., &amp; von Ins, M. (2010). The rate of growth in scientific publication and the decline in coverage provided by Science Citation Index. </w:t>
      </w:r>
      <w:r>
        <w:rPr>
          <w:rFonts w:ascii="Times New Roman" w:hAnsi="Times New Roman" w:cs="Times New Roman"/>
          <w:b w:val="0"/>
          <w:i/>
          <w:sz w:val="18"/>
        </w:rPr>
        <w:t>Scientometrics</w:t>
      </w:r>
      <w:r>
        <w:rPr>
          <w:rFonts w:ascii="Times New Roman" w:hAnsi="Times New Roman" w:cs="Times New Roman"/>
          <w:b w:val="0"/>
          <w:i w:val="0"/>
          <w:sz w:val="18"/>
        </w:rPr>
        <w:t>, 84(3), 575–603. https://doi.org/10.1007/s11192-010-0202-z</w:t>
      </w:r>
    </w:p>
    <w:sectPr w:rsidR="00FC693F" w:rsidRPr="0006063C" w:rsidSect="00034616">
      <w:headerReference w:type="default" r:id="rId9"/>
      <w:footerReference w:type="default" r:id="rId2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sz w:val="16"/>
      </w:rPr>
      <w:t>M. Leyva Vazquez, Y. Gonzalez Vargas, F. Smarandache. NCML bibliometric retrospective + neutrosophic extension,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s="Arial"/>
        <w:b/>
        <w:i w:val="0"/>
        <w:sz w:val="20"/>
      </w:rPr>
      <w:t>Neutrosophic Computing and Machine Learning, Vol. ?,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